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pPr w:leftFromText="141" w:rightFromText="141" w:vertAnchor="page" w:horzAnchor="margin" w:tblpY="2131"/>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557"/>
        <w:gridCol w:w="7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251"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ascii="Arial" w:hAnsi="Arial" w:eastAsia="Calibri" w:cs="Arial"/>
                <w:b/>
                <w:color w:val="FF0000"/>
                <w:sz w:val="28"/>
                <w:szCs w:val="28"/>
              </w:rPr>
            </w:pPr>
            <w:r>
              <w:rPr>
                <w:rFonts w:ascii="Arial" w:hAnsi="Arial" w:eastAsia="Calibri" w:cs="Arial"/>
                <w:b/>
                <w:sz w:val="28"/>
                <w:szCs w:val="28"/>
              </w:rPr>
              <w:t>PREGÃO ELETRÔNICO Nº 141/2023</w:t>
            </w:r>
          </w:p>
          <w:p>
            <w:pPr>
              <w:widowControl w:val="0"/>
              <w:spacing w:before="60" w:after="60"/>
              <w:jc w:val="center"/>
              <w:rPr>
                <w:rFonts w:ascii="Arial" w:hAnsi="Arial" w:cs="Arial"/>
                <w:b/>
                <w:bCs/>
                <w:szCs w:val="24"/>
                <w:lang w:bidi="ar"/>
              </w:rPr>
            </w:pPr>
            <w:r>
              <w:rPr>
                <w:rFonts w:ascii="Arial" w:hAnsi="Arial" w:cs="Arial"/>
                <w:b/>
                <w:bCs/>
                <w:szCs w:val="24"/>
                <w:lang w:bidi="ar"/>
              </w:rPr>
              <w:t>Processo nº 2004/2023</w:t>
            </w:r>
          </w:p>
          <w:p>
            <w:pPr>
              <w:widowControl w:val="0"/>
              <w:spacing w:before="60" w:after="60"/>
              <w:jc w:val="both"/>
              <w:rPr>
                <w:rFonts w:ascii="Arial" w:hAnsi="Arial" w:eastAsia="Calibri" w:cs="Arial"/>
                <w:sz w:val="18"/>
              </w:rPr>
            </w:pPr>
            <w:r>
              <w:rPr>
                <w:rFonts w:ascii="Arial" w:hAnsi="Arial" w:eastAsia="Calibri"/>
                <w:szCs w:val="24"/>
              </w:rPr>
              <w:t>(Regido pela Lei nº 10.520/2002, Lei Municipal nº 1.953/2021, Decreto 10.024/19, Decreto Executivo Federal nº 7.892/2013 e subsidiariamente, pelas Leis nº 8.666/93, Nº 9.784/99, LC 123/06 e suas alterações e demais legislação complementar).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2" w:hRule="atLeast"/>
        </w:trPr>
        <w:tc>
          <w:tcPr>
            <w:tcW w:w="255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rPr>
                <w:rFonts w:ascii="Arial" w:hAnsi="Arial" w:eastAsia="Calibri" w:cs="Arial"/>
                <w:szCs w:val="24"/>
              </w:rPr>
            </w:pPr>
            <w:r>
              <w:rPr>
                <w:rFonts w:ascii="Arial" w:hAnsi="Arial" w:eastAsia="Calibri" w:cs="Arial"/>
                <w:szCs w:val="24"/>
              </w:rPr>
              <w:t>Tipo:</w:t>
            </w:r>
          </w:p>
        </w:tc>
        <w:tc>
          <w:tcPr>
            <w:tcW w:w="7152" w:type="dxa"/>
            <w:tcBorders>
              <w:top w:val="single" w:color="auto" w:sz="4" w:space="0"/>
              <w:left w:val="single" w:color="auto" w:sz="4" w:space="0"/>
              <w:bottom w:val="single" w:color="auto" w:sz="4" w:space="0"/>
              <w:right w:val="single" w:color="auto" w:sz="4" w:space="0"/>
              <w:tl2br w:val="nil"/>
              <w:tr2bl w:val="nil"/>
            </w:tcBorders>
            <w:vAlign w:val="center"/>
          </w:tcPr>
          <w:p>
            <w:pPr>
              <w:pStyle w:val="3"/>
              <w:keepNext w:val="0"/>
              <w:widowControl w:val="0"/>
              <w:jc w:val="left"/>
              <w:rPr>
                <w:rFonts w:ascii="Arial" w:hAnsi="Arial" w:eastAsia="Calibri" w:cs="Arial"/>
                <w:color w:val="auto"/>
                <w:szCs w:val="24"/>
              </w:rPr>
            </w:pPr>
            <w:r>
              <w:rPr>
                <w:rFonts w:ascii="Arial" w:hAnsi="Arial" w:eastAsia="Calibri" w:cs="Arial"/>
                <w:color w:val="auto"/>
                <w:szCs w:val="24"/>
              </w:rPr>
              <w:t>“MENOR PREÇO POR LOTE”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rPr>
                <w:rFonts w:ascii="Arial" w:hAnsi="Arial" w:eastAsia="Calibri" w:cs="Arial"/>
                <w:szCs w:val="24"/>
              </w:rPr>
            </w:pPr>
            <w:r>
              <w:rPr>
                <w:rFonts w:ascii="Arial" w:hAnsi="Arial" w:eastAsia="Calibri" w:cs="Arial"/>
                <w:szCs w:val="24"/>
              </w:rPr>
              <w:t>Regime de Execução:</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eastAsia="Calibri" w:cs="Arial"/>
                <w:b/>
                <w:szCs w:val="24"/>
              </w:rPr>
            </w:pPr>
            <w:r>
              <w:rPr>
                <w:rFonts w:ascii="Arial" w:hAnsi="Arial" w:cs="Arial" w:eastAsiaTheme="minorEastAsia"/>
                <w:b/>
                <w:bCs/>
                <w:szCs w:val="24"/>
              </w:rPr>
              <w:t>INDIRETA - MENOR PREÇO POR LOTE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0" w:hRule="atLeast"/>
        </w:trPr>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rPr>
                <w:rFonts w:ascii="Arial" w:hAnsi="Arial" w:eastAsia="Calibri" w:cs="Arial"/>
                <w:szCs w:val="24"/>
              </w:rPr>
            </w:pPr>
            <w:bookmarkStart w:id="0" w:name="_Hlk156981137"/>
            <w:r>
              <w:rPr>
                <w:rFonts w:ascii="Arial" w:hAnsi="Arial" w:eastAsia="Calibri" w:cs="Arial"/>
                <w:szCs w:val="24"/>
              </w:rPr>
              <w:t>Objeto:</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eastAsia="Calibri" w:cs="Arial"/>
                <w:b/>
                <w:szCs w:val="24"/>
              </w:rPr>
            </w:pPr>
            <w:r>
              <w:rPr>
                <w:rFonts w:ascii="Arial" w:hAnsi="Arial" w:eastAsia="Calibri" w:cs="Arial"/>
                <w:b/>
                <w:szCs w:val="24"/>
              </w:rPr>
              <w:t xml:space="preserve">REGISTRO DE PREÇOS, PARA </w:t>
            </w:r>
            <w:r>
              <w:rPr>
                <w:rFonts w:ascii="Arial" w:hAnsi="Arial" w:eastAsia="Calibri" w:cs="Arial"/>
                <w:b/>
                <w:szCs w:val="24"/>
                <w:lang w:eastAsia="zh-CN"/>
              </w:rPr>
              <w:t xml:space="preserve">FUTURA E EVENTUAL </w:t>
            </w:r>
            <w:r>
              <w:rPr>
                <w:rFonts w:ascii="Arial" w:hAnsi="Arial" w:eastAsia="Calibri" w:cs="Arial"/>
                <w:b/>
                <w:szCs w:val="24"/>
              </w:rPr>
              <w:t xml:space="preserve">CONTRATAÇÃO DE EMPRESA ESPECIALIZADA NA </w:t>
            </w:r>
            <w:r>
              <w:rPr>
                <w:rFonts w:ascii="Arial" w:hAnsi="Arial" w:eastAsia="Calibri" w:cs="Arial"/>
                <w:b/>
                <w:szCs w:val="24"/>
                <w:lang w:eastAsia="zh-CN"/>
              </w:rPr>
              <w:t>PRESTAÇÃO DE SERVIÇOS DE COLETA E TRANSPORTE DE RESÍDUOS SÓLIDOS DOMICILIARES E COMERCIAIS DO MUNICÍPIO, COLETA SELETIVA DE MATERIAIS RECICLÁVEIS, TRANSPORTE E DESTINAÇÃO FINAL AMBIENTALMENTE ADEQUADA DOS RESÍDUOS RECICLÁVEIS E IMPLANTAÇÃO E COORDENAÇÃO DA UNIDADE DE TRIAGEM DE PRIMAVERA DO LESTE MT.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rPr>
                <w:rFonts w:ascii="Arial" w:hAnsi="Arial" w:eastAsia="Calibri" w:cs="Arial"/>
                <w:szCs w:val="24"/>
              </w:rPr>
            </w:pPr>
            <w:r>
              <w:rPr>
                <w:rFonts w:ascii="Arial" w:hAnsi="Arial" w:eastAsia="Calibri" w:cs="Arial"/>
                <w:szCs w:val="24"/>
              </w:rPr>
              <w:t>Repartição Interessada:</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cs="Arial"/>
                <w:b/>
                <w:szCs w:val="24"/>
              </w:rPr>
            </w:pPr>
            <w:r>
              <w:rPr>
                <w:rFonts w:ascii="Arial" w:hAnsi="Arial" w:cs="Arial"/>
                <w:b/>
                <w:szCs w:val="24"/>
              </w:rPr>
              <w:t>SECRETARIA MUNICIPAL DE</w:t>
            </w:r>
            <w:r>
              <w:rPr>
                <w:rFonts w:ascii="Arial" w:hAnsi="Arial" w:cs="Arial"/>
                <w:b/>
                <w:szCs w:val="24"/>
                <w:lang w:eastAsia="zh-CN"/>
              </w:rPr>
              <w:t xml:space="preserv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557" w:type="dxa"/>
            <w:tcBorders>
              <w:top w:val="single" w:color="auto" w:sz="4" w:space="0"/>
              <w:left w:val="single" w:color="auto" w:sz="4" w:space="0"/>
              <w:bottom w:val="single" w:color="auto" w:sz="4" w:space="0"/>
              <w:right w:val="single" w:color="auto" w:sz="4" w:space="0"/>
              <w:tl2br w:val="nil"/>
              <w:tr2bl w:val="nil"/>
            </w:tcBorders>
          </w:tcPr>
          <w:p>
            <w:pPr>
              <w:pStyle w:val="21"/>
              <w:widowControl w:val="0"/>
              <w:spacing w:before="40" w:after="40"/>
              <w:rPr>
                <w:rFonts w:ascii="Arial" w:hAnsi="Arial" w:eastAsia="Calibri" w:cs="Arial"/>
                <w:szCs w:val="24"/>
              </w:rPr>
            </w:pPr>
            <w:r>
              <w:rPr>
                <w:rFonts w:ascii="Arial" w:hAnsi="Arial" w:eastAsia="Calibri" w:cs="Arial"/>
                <w:szCs w:val="24"/>
              </w:rPr>
              <w:t>Modo de Disputa:</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40" w:after="40"/>
              <w:jc w:val="both"/>
              <w:rPr>
                <w:rFonts w:ascii="Arial" w:hAnsi="Arial" w:cs="Arial"/>
                <w:b/>
                <w:szCs w:val="24"/>
              </w:rPr>
            </w:pPr>
            <w:r>
              <w:rPr>
                <w:rFonts w:ascii="Arial" w:hAnsi="Arial" w:eastAsia="Calibri" w:cs="Arial"/>
                <w:b/>
                <w:szCs w:val="24"/>
              </w:rPr>
              <w:t>Aberto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tcPr>
          <w:p>
            <w:pPr>
              <w:widowControl w:val="0"/>
              <w:spacing w:before="60"/>
              <w:jc w:val="center"/>
              <w:rPr>
                <w:rFonts w:ascii="Arial" w:hAnsi="Arial" w:eastAsia="Calibri" w:cs="Arial"/>
                <w:b/>
                <w:szCs w:val="24"/>
              </w:rPr>
            </w:pPr>
            <w:r>
              <w:rPr>
                <w:rFonts w:ascii="Arial" w:hAnsi="Arial" w:eastAsia="Calibri" w:cs="Arial"/>
                <w:b/>
                <w:szCs w:val="24"/>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2557" w:type="dxa"/>
            <w:tcBorders>
              <w:top w:val="single" w:color="auto" w:sz="4" w:space="0"/>
              <w:left w:val="single" w:color="auto" w:sz="4" w:space="0"/>
              <w:bottom w:val="single" w:color="auto" w:sz="4" w:space="0"/>
              <w:right w:val="single" w:color="auto" w:sz="4" w:space="0"/>
              <w:tl2br w:val="nil"/>
              <w:tr2bl w:val="nil"/>
            </w:tcBorders>
          </w:tcPr>
          <w:p>
            <w:pPr>
              <w:pStyle w:val="21"/>
              <w:widowControl w:val="0"/>
              <w:spacing w:before="40" w:after="40"/>
              <w:rPr>
                <w:rFonts w:ascii="Arial" w:hAnsi="Arial" w:eastAsia="Calibri" w:cs="Arial"/>
                <w:szCs w:val="24"/>
              </w:rPr>
            </w:pPr>
            <w:r>
              <w:rPr>
                <w:rFonts w:ascii="Arial" w:hAnsi="Arial" w:eastAsia="Calibri" w:cs="Arial"/>
                <w:szCs w:val="24"/>
              </w:rPr>
              <w:t>Dia:</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40" w:after="40"/>
              <w:jc w:val="both"/>
              <w:rPr>
                <w:rFonts w:hint="default" w:ascii="Arial" w:hAnsi="Arial" w:eastAsia="Calibri" w:cs="Arial"/>
                <w:b/>
                <w:szCs w:val="24"/>
                <w:lang w:val="pt-BR"/>
              </w:rPr>
            </w:pPr>
            <w:r>
              <w:rPr>
                <w:rFonts w:ascii="Arial" w:hAnsi="Arial" w:eastAsia="Calibri" w:cs="Arial"/>
                <w:b/>
                <w:szCs w:val="24"/>
                <w:lang w:val="pt-BR"/>
              </w:rPr>
              <w:t>08 de fevereiro de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spacing w:before="40" w:after="40"/>
              <w:rPr>
                <w:rFonts w:ascii="Arial" w:hAnsi="Arial" w:eastAsia="Calibri" w:cs="Arial"/>
                <w:szCs w:val="24"/>
              </w:rPr>
            </w:pPr>
            <w:r>
              <w:rPr>
                <w:rFonts w:ascii="Arial" w:hAnsi="Arial" w:eastAsia="Calibri" w:cs="Arial"/>
                <w:szCs w:val="24"/>
              </w:rPr>
              <w:t>Hora:</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40" w:after="40"/>
              <w:jc w:val="both"/>
              <w:rPr>
                <w:rFonts w:ascii="Arial" w:hAnsi="Arial" w:eastAsia="Calibri" w:cs="Arial"/>
                <w:b/>
                <w:szCs w:val="24"/>
              </w:rPr>
            </w:pPr>
            <w:r>
              <w:rPr>
                <w:rFonts w:hint="default" w:ascii="Arial" w:hAnsi="Arial" w:eastAsia="Calibri" w:cs="Arial"/>
                <w:b/>
                <w:szCs w:val="24"/>
                <w:lang w:val="pt-BR"/>
              </w:rPr>
              <w:t>08</w:t>
            </w:r>
            <w:r>
              <w:rPr>
                <w:rFonts w:ascii="Arial" w:hAnsi="Arial" w:eastAsia="Calibri" w:cs="Arial"/>
                <w:b/>
                <w:szCs w:val="24"/>
              </w:rPr>
              <w:t>:30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spacing w:before="40" w:after="40"/>
              <w:rPr>
                <w:rFonts w:ascii="Arial" w:hAnsi="Arial" w:eastAsia="Calibri" w:cs="Arial"/>
                <w:szCs w:val="24"/>
              </w:rPr>
            </w:pPr>
            <w:r>
              <w:rPr>
                <w:rFonts w:ascii="Arial" w:hAnsi="Arial" w:eastAsia="Calibri" w:cs="Arial"/>
                <w:szCs w:val="24"/>
              </w:rPr>
              <w:t>Local:</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40" w:after="40"/>
              <w:rPr>
                <w:rFonts w:ascii="Arial" w:hAnsi="Arial" w:eastAsia="Calibri" w:cs="Arial"/>
                <w:b/>
                <w:szCs w:val="24"/>
              </w:rPr>
            </w:pPr>
            <w:r>
              <w:fldChar w:fldCharType="begin"/>
            </w:r>
            <w:r>
              <w:instrText xml:space="preserve"> HYPERLINK "http://www.licitanet.com.br" </w:instrText>
            </w:r>
            <w:r>
              <w:fldChar w:fldCharType="separate"/>
            </w:r>
            <w:r>
              <w:rPr>
                <w:rStyle w:val="18"/>
                <w:rFonts w:ascii="Arial" w:hAnsi="Arial" w:eastAsia="Calibri" w:cs="Arial"/>
                <w:b/>
                <w:szCs w:val="24"/>
              </w:rPr>
              <w:t xml:space="preserve">www.licitanet.com.br </w:t>
            </w:r>
            <w:r>
              <w:rPr>
                <w:rStyle w:val="18"/>
                <w:rFonts w:ascii="Arial" w:hAnsi="Arial" w:eastAsia="Calibri" w:cs="Arial"/>
                <w:b/>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center"/>
              <w:rPr>
                <w:rFonts w:ascii="Arial" w:hAnsi="Arial" w:eastAsia="Calibri" w:cs="Arial"/>
                <w:b/>
                <w:szCs w:val="24"/>
              </w:rPr>
            </w:pPr>
            <w:r>
              <w:rPr>
                <w:rFonts w:ascii="Arial" w:hAnsi="Arial" w:eastAsia="Calibri" w:cs="Arial"/>
                <w:b/>
                <w:szCs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rPr>
                <w:rFonts w:ascii="Arial" w:hAnsi="Arial" w:eastAsia="Calibri" w:cs="Arial"/>
                <w:szCs w:val="24"/>
              </w:rPr>
            </w:pPr>
            <w:r>
              <w:rPr>
                <w:rFonts w:ascii="Arial" w:hAnsi="Arial" w:eastAsia="Calibri" w:cs="Arial"/>
                <w:szCs w:val="24"/>
              </w:rPr>
              <w:t>Dias:</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eastAsia="Calibri" w:cs="Arial"/>
                <w:szCs w:val="24"/>
              </w:rPr>
            </w:pPr>
            <w:r>
              <w:rPr>
                <w:rFonts w:ascii="Arial" w:hAnsi="Arial" w:eastAsia="Calibri" w:cs="Arial"/>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eastAsia="Calibri" w:cs="Arial"/>
                <w:szCs w:val="24"/>
              </w:rPr>
            </w:pPr>
            <w:r>
              <w:rPr>
                <w:rFonts w:ascii="Arial" w:hAnsi="Arial" w:eastAsia="Calibri" w:cs="Arial"/>
                <w:szCs w:val="24"/>
              </w:rPr>
              <w:t>Horários:</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eastAsia="Calibri" w:cs="Arial"/>
                <w:szCs w:val="24"/>
              </w:rPr>
            </w:pPr>
            <w:r>
              <w:rPr>
                <w:rFonts w:ascii="Arial" w:hAnsi="Arial" w:eastAsia="Calibri" w:cs="Arial"/>
                <w:szCs w:val="24"/>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557"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eastAsia="Calibri" w:cs="Arial"/>
                <w:szCs w:val="24"/>
              </w:rPr>
            </w:pPr>
            <w:r>
              <w:rPr>
                <w:rFonts w:ascii="Arial" w:hAnsi="Arial" w:eastAsia="Calibri" w:cs="Arial"/>
                <w:szCs w:val="24"/>
              </w:rPr>
              <w:t>LOCAL:</w:t>
            </w:r>
          </w:p>
        </w:tc>
        <w:tc>
          <w:tcPr>
            <w:tcW w:w="7152" w:type="dxa"/>
            <w:tcBorders>
              <w:top w:val="single" w:color="auto" w:sz="4" w:space="0"/>
              <w:left w:val="single" w:color="auto" w:sz="4" w:space="0"/>
              <w:bottom w:val="single" w:color="auto" w:sz="4" w:space="0"/>
              <w:right w:val="single" w:color="auto" w:sz="4" w:space="0"/>
              <w:tl2br w:val="nil"/>
              <w:tr2bl w:val="nil"/>
            </w:tcBorders>
          </w:tcPr>
          <w:p>
            <w:pPr>
              <w:widowControl w:val="0"/>
              <w:spacing w:before="60" w:after="60"/>
              <w:jc w:val="both"/>
              <w:rPr>
                <w:rFonts w:ascii="Arial" w:hAnsi="Arial" w:eastAsia="Calibri" w:cs="Arial"/>
                <w:szCs w:val="24"/>
              </w:rPr>
            </w:pPr>
            <w:r>
              <w:rPr>
                <w:rFonts w:ascii="Arial" w:hAnsi="Arial" w:eastAsia="Calibri" w:cs="Arial"/>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tcPr>
          <w:p>
            <w:pPr>
              <w:pStyle w:val="4"/>
              <w:keepNext w:val="0"/>
              <w:widowControl w:val="0"/>
              <w:spacing w:before="60" w:after="60"/>
              <w:rPr>
                <w:rFonts w:ascii="Arial" w:hAnsi="Arial" w:eastAsia="Calibri" w:cs="Arial"/>
                <w:szCs w:val="24"/>
              </w:rPr>
            </w:pPr>
            <w:r>
              <w:rPr>
                <w:rFonts w:ascii="Arial" w:hAnsi="Arial" w:eastAsia="Calibri" w:cs="Arial"/>
                <w:szCs w:val="24"/>
              </w:rPr>
              <w:t>RETIRADA DE EDITAIS PELA INTERNET</w:t>
            </w:r>
          </w:p>
          <w:p>
            <w:pPr>
              <w:widowControl w:val="0"/>
              <w:spacing w:before="60" w:after="60"/>
              <w:jc w:val="both"/>
              <w:rPr>
                <w:rFonts w:ascii="Arial" w:hAnsi="Arial" w:eastAsia="Calibri" w:cs="Arial"/>
                <w:b/>
                <w:szCs w:val="24"/>
              </w:rPr>
            </w:pPr>
            <w:r>
              <w:rPr>
                <w:rFonts w:ascii="Arial" w:hAnsi="Arial" w:eastAsia="Calibri" w:cs="Arial"/>
                <w:bCs/>
                <w:szCs w:val="24"/>
              </w:rPr>
              <w:t xml:space="preserve">Retire o Edital acessando a página </w:t>
            </w:r>
            <w:r>
              <w:fldChar w:fldCharType="begin"/>
            </w:r>
            <w:r>
              <w:instrText xml:space="preserve"> HYPERLINK "http://www.pva.mt.gov.br" </w:instrText>
            </w:r>
            <w:r>
              <w:fldChar w:fldCharType="separate"/>
            </w:r>
            <w:r>
              <w:rPr>
                <w:rStyle w:val="18"/>
                <w:rFonts w:ascii="Arial" w:hAnsi="Arial" w:eastAsia="Calibri" w:cs="Arial"/>
                <w:b/>
                <w:szCs w:val="24"/>
              </w:rPr>
              <w:t>http://www.primaveradoleste.mt.gov.br</w:t>
            </w:r>
            <w:r>
              <w:rPr>
                <w:rStyle w:val="18"/>
                <w:rFonts w:ascii="Arial" w:hAnsi="Arial" w:eastAsia="Calibri" w:cs="Arial"/>
                <w:b/>
                <w:szCs w:val="24"/>
              </w:rPr>
              <w:fldChar w:fldCharType="end"/>
            </w:r>
            <w:r>
              <w:rPr>
                <w:rFonts w:ascii="Arial" w:hAnsi="Arial" w:eastAsia="Calibri" w:cs="Arial"/>
                <w:bCs/>
                <w:szCs w:val="24"/>
              </w:rPr>
              <w:t xml:space="preserve">, local </w:t>
            </w:r>
            <w:r>
              <w:rPr>
                <w:rFonts w:ascii="Arial" w:hAnsi="Arial" w:eastAsia="Calibri" w:cs="Arial"/>
                <w:bCs/>
                <w:color w:val="FF0000"/>
                <w:szCs w:val="24"/>
              </w:rPr>
              <w:t>“CIDADÃO – Editais e Licitações”</w:t>
            </w:r>
            <w:r>
              <w:rPr>
                <w:rFonts w:ascii="Arial" w:hAnsi="Arial" w:eastAsia="Calibri" w:cs="Arial"/>
                <w:bCs/>
                <w:szCs w:val="24"/>
              </w:rPr>
              <w:t xml:space="preserve">. ou </w:t>
            </w:r>
            <w:r>
              <w:rPr>
                <w:rStyle w:val="18"/>
                <w:rFonts w:ascii="Arial" w:hAnsi="Arial" w:eastAsia="Calibri" w:cs="Arial"/>
                <w:b/>
                <w:szCs w:val="24"/>
              </w:rPr>
              <w:t>www.licitanet.com.br.</w:t>
            </w:r>
          </w:p>
        </w:tc>
      </w:tr>
    </w:tbl>
    <w:p>
      <w:pPr>
        <w:widowControl w:val="0"/>
        <w:autoSpaceDE w:val="0"/>
        <w:autoSpaceDN w:val="0"/>
        <w:adjustRightInd w:val="0"/>
        <w:jc w:val="both"/>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p>
    <w:p>
      <w:pPr>
        <w:widowControl w:val="0"/>
        <w:autoSpaceDE w:val="0"/>
        <w:autoSpaceDN w:val="0"/>
        <w:adjustRightInd w:val="0"/>
        <w:jc w:val="center"/>
        <w:rPr>
          <w:rFonts w:ascii="Arial" w:hAnsi="Arial" w:eastAsia="Calibri" w:cs="Arial"/>
          <w:b/>
          <w:color w:val="FF0000"/>
          <w:sz w:val="28"/>
        </w:rPr>
      </w:pPr>
      <w:r>
        <w:rPr>
          <w:rFonts w:ascii="Arial" w:hAnsi="Arial" w:eastAsia="Calibri" w:cs="Arial"/>
          <w:b/>
          <w:color w:val="FF0000"/>
          <w:sz w:val="28"/>
        </w:rPr>
        <w:t>AVISO IMPORTANTE</w:t>
      </w:r>
    </w:p>
    <w:p>
      <w:pPr>
        <w:widowControl w:val="0"/>
        <w:autoSpaceDE w:val="0"/>
        <w:autoSpaceDN w:val="0"/>
        <w:adjustRightInd w:val="0"/>
        <w:rPr>
          <w:rFonts w:ascii="Arial" w:hAnsi="Arial" w:eastAsia="Calibri" w:cs="Arial"/>
          <w:b/>
          <w:color w:val="FF0000"/>
        </w:rPr>
      </w:pPr>
    </w:p>
    <w:p>
      <w:pPr>
        <w:widowControl w:val="0"/>
        <w:autoSpaceDE w:val="0"/>
        <w:autoSpaceDN w:val="0"/>
        <w:adjustRightInd w:val="0"/>
        <w:spacing w:after="120" w:afterLines="50"/>
        <w:ind w:firstLine="708"/>
        <w:jc w:val="both"/>
        <w:rPr>
          <w:rFonts w:ascii="Arial" w:hAnsi="Arial" w:eastAsia="Calibri" w:cs="Arial"/>
          <w:color w:val="000000"/>
        </w:rPr>
      </w:pPr>
      <w:r>
        <w:rPr>
          <w:rFonts w:ascii="Arial" w:hAnsi="Arial" w:eastAsia="Calibri" w:cs="Arial"/>
          <w:color w:val="000000"/>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after="120" w:afterLines="50"/>
        <w:ind w:firstLine="708"/>
        <w:jc w:val="both"/>
        <w:rPr>
          <w:rFonts w:ascii="Arial" w:hAnsi="Arial" w:eastAsia="Calibri" w:cs="Arial"/>
          <w:color w:val="000000"/>
        </w:rPr>
      </w:pPr>
    </w:p>
    <w:p>
      <w:pPr>
        <w:widowControl w:val="0"/>
        <w:autoSpaceDE w:val="0"/>
        <w:autoSpaceDN w:val="0"/>
        <w:adjustRightInd w:val="0"/>
        <w:spacing w:after="120" w:afterLines="50"/>
        <w:ind w:left="1985"/>
        <w:jc w:val="both"/>
        <w:rPr>
          <w:rFonts w:ascii="Arial" w:hAnsi="Arial" w:eastAsia="Calibri" w:cs="Arial"/>
          <w:color w:val="000000"/>
        </w:rPr>
      </w:pPr>
      <w:r>
        <w:rPr>
          <w:rFonts w:ascii="Arial" w:hAnsi="Arial" w:eastAsia="Calibri" w:cs="Arial"/>
          <w:color w:val="000000"/>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after="120" w:afterLines="50"/>
        <w:ind w:left="1134"/>
        <w:jc w:val="both"/>
        <w:rPr>
          <w:rFonts w:ascii="Arial" w:hAnsi="Arial" w:eastAsia="Calibri" w:cs="Arial"/>
          <w:color w:val="000000"/>
        </w:rPr>
      </w:pPr>
    </w:p>
    <w:p>
      <w:pPr>
        <w:widowControl w:val="0"/>
        <w:autoSpaceDE w:val="0"/>
        <w:autoSpaceDN w:val="0"/>
        <w:adjustRightInd w:val="0"/>
        <w:spacing w:after="120" w:afterLines="50"/>
        <w:ind w:firstLine="708"/>
        <w:jc w:val="both"/>
        <w:rPr>
          <w:rFonts w:ascii="Arial" w:hAnsi="Arial" w:eastAsia="Calibri" w:cs="Arial"/>
          <w:color w:val="000000"/>
        </w:rPr>
      </w:pPr>
      <w:r>
        <w:rPr>
          <w:rFonts w:ascii="Arial" w:hAnsi="Arial" w:eastAsia="Calibri" w:cs="Arial"/>
          <w:color w:val="000000"/>
        </w:rPr>
        <w:t xml:space="preserve">Recomendamos que os interessados em participar do certame leiam atentamente todas as exigências habilitatórias contidas no Edital e seus anexos, </w:t>
      </w:r>
      <w:r>
        <w:rPr>
          <w:rFonts w:ascii="Arial" w:hAnsi="Arial" w:eastAsia="Calibri" w:cs="Arial"/>
          <w:color w:val="000000"/>
          <w:u w:val="single"/>
        </w:rPr>
        <w:t>verificando se dispõe dos documentos exigidos</w:t>
      </w:r>
      <w:r>
        <w:rPr>
          <w:rFonts w:ascii="Arial" w:hAnsi="Arial" w:eastAsia="Calibri" w:cs="Arial"/>
          <w:color w:val="000000"/>
        </w:rPr>
        <w:t>.</w:t>
      </w:r>
    </w:p>
    <w:p>
      <w:pPr>
        <w:widowControl w:val="0"/>
        <w:autoSpaceDE w:val="0"/>
        <w:autoSpaceDN w:val="0"/>
        <w:adjustRightInd w:val="0"/>
        <w:spacing w:after="120" w:afterLines="50"/>
        <w:ind w:firstLine="708"/>
        <w:jc w:val="both"/>
        <w:rPr>
          <w:rFonts w:ascii="Arial" w:hAnsi="Arial" w:eastAsia="Calibri" w:cs="Arial"/>
          <w:color w:val="000000"/>
        </w:rPr>
      </w:pPr>
    </w:p>
    <w:p>
      <w:pPr>
        <w:widowControl w:val="0"/>
        <w:autoSpaceDE w:val="0"/>
        <w:autoSpaceDN w:val="0"/>
        <w:adjustRightInd w:val="0"/>
        <w:spacing w:after="120" w:afterLines="50"/>
        <w:ind w:firstLine="708"/>
        <w:jc w:val="both"/>
        <w:rPr>
          <w:rFonts w:ascii="Arial" w:hAnsi="Arial" w:eastAsia="Calibri" w:cs="Arial"/>
        </w:rPr>
      </w:pPr>
      <w:r>
        <w:rPr>
          <w:rFonts w:ascii="Arial" w:hAnsi="Arial" w:eastAsia="Calibri" w:cs="Arial"/>
          <w:color w:val="000000"/>
        </w:rPr>
        <w:t xml:space="preserve">E, ainda, que sejam observadas todas as características do objeto licitado para, assim, evitar propostas com valores inexequíveis, </w:t>
      </w:r>
      <w:r>
        <w:rPr>
          <w:rFonts w:ascii="Arial" w:hAnsi="Arial" w:eastAsia="Calibri" w:cs="Arial"/>
          <w:color w:val="000000"/>
          <w:u w:val="single"/>
        </w:rPr>
        <w:t>pois não será aceito pedido de desistência após o início da sessão do pregão</w:t>
      </w:r>
      <w:r>
        <w:rPr>
          <w:rFonts w:ascii="Arial" w:hAnsi="Arial" w:eastAsia="Calibri" w:cs="Arial"/>
          <w:color w:val="000000"/>
        </w:rPr>
        <w:t xml:space="preserve">. </w:t>
      </w:r>
    </w:p>
    <w:p>
      <w:pPr>
        <w:pStyle w:val="4"/>
        <w:keepNext w:val="0"/>
        <w:widowControl w:val="0"/>
        <w:spacing w:after="120"/>
        <w:rPr>
          <w:rFonts w:ascii="Arial" w:hAnsi="Arial" w:eastAsia="Calibri" w:cs="Arial"/>
          <w:color w:val="00000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pStyle w:val="4"/>
        <w:keepNext w:val="0"/>
        <w:widowControl w:val="0"/>
        <w:spacing w:after="120"/>
        <w:rPr>
          <w:rFonts w:ascii="Arial" w:hAnsi="Arial" w:eastAsia="Calibri" w:cs="Arial"/>
          <w:color w:val="FF0000"/>
        </w:rPr>
      </w:pPr>
      <w:r>
        <w:rPr>
          <w:rFonts w:ascii="Arial" w:hAnsi="Arial" w:eastAsia="Calibri" w:cs="Arial"/>
          <w:color w:val="000000"/>
        </w:rPr>
        <w:t xml:space="preserve">EDITAL DO PREGÃO ELETRÔNICO Nº </w:t>
      </w:r>
      <w:r>
        <w:rPr>
          <w:rFonts w:ascii="Arial" w:hAnsi="Arial" w:eastAsia="Calibri" w:cs="Arial"/>
        </w:rPr>
        <w:t>141/2023</w:t>
      </w:r>
    </w:p>
    <w:p>
      <w:pPr>
        <w:widowControl w:val="0"/>
        <w:tabs>
          <w:tab w:val="left" w:pos="1134"/>
        </w:tabs>
        <w:spacing w:after="120"/>
        <w:ind w:right="2"/>
        <w:jc w:val="both"/>
        <w:rPr>
          <w:rFonts w:ascii="Arial" w:hAnsi="Arial" w:cs="Arial"/>
          <w:szCs w:val="24"/>
        </w:rPr>
      </w:pPr>
    </w:p>
    <w:p>
      <w:pPr>
        <w:widowControl w:val="0"/>
        <w:tabs>
          <w:tab w:val="left" w:pos="1134"/>
        </w:tabs>
        <w:spacing w:after="120"/>
        <w:ind w:right="2"/>
        <w:jc w:val="both"/>
        <w:rPr>
          <w:rFonts w:ascii="Arial" w:hAnsi="Arial" w:cs="Arial"/>
          <w:color w:val="000000"/>
          <w:szCs w:val="24"/>
        </w:rPr>
      </w:pPr>
      <w:r>
        <w:rPr>
          <w:rFonts w:ascii="Arial" w:hAnsi="Arial" w:cs="Arial"/>
          <w:szCs w:val="24"/>
        </w:rPr>
        <w:t xml:space="preserve">O </w:t>
      </w:r>
      <w:r>
        <w:rPr>
          <w:rFonts w:ascii="Arial" w:hAnsi="Arial" w:cs="Arial"/>
          <w:b/>
          <w:szCs w:val="24"/>
        </w:rPr>
        <w:t>Município de Primavera do Leste</w:t>
      </w:r>
      <w:r>
        <w:rPr>
          <w:rFonts w:ascii="Arial" w:hAnsi="Arial" w:cs="Arial"/>
          <w:szCs w:val="24"/>
        </w:rPr>
        <w:t xml:space="preserve">, por intermédio da </w:t>
      </w:r>
      <w:r>
        <w:rPr>
          <w:rFonts w:ascii="Arial" w:hAnsi="Arial" w:cs="Arial"/>
          <w:b/>
          <w:szCs w:val="24"/>
        </w:rPr>
        <w:t xml:space="preserve">Secretaria Municipal de Administração, </w:t>
      </w:r>
      <w:r>
        <w:rPr>
          <w:rFonts w:ascii="Arial" w:hAnsi="Arial" w:cs="Arial"/>
          <w:szCs w:val="24"/>
        </w:rPr>
        <w:t xml:space="preserve">através do pregoeiro(a) </w:t>
      </w:r>
      <w:r>
        <w:rPr>
          <w:rFonts w:ascii="Arial" w:hAnsi="Arial" w:cs="Arial"/>
          <w:b/>
          <w:bCs/>
          <w:szCs w:val="24"/>
        </w:rPr>
        <w:t>Maria Aparecida Montes Canabrava</w:t>
      </w:r>
      <w:r>
        <w:rPr>
          <w:rFonts w:ascii="Arial" w:hAnsi="Arial" w:cs="Arial"/>
          <w:szCs w:val="24"/>
        </w:rPr>
        <w:t xml:space="preserve">, designado pela portaria nº 624/2023 de 10/08/2023, </w:t>
      </w:r>
      <w:r>
        <w:rPr>
          <w:rFonts w:ascii="Arial" w:hAnsi="Arial" w:cs="Arial"/>
          <w:color w:val="000000"/>
          <w:szCs w:val="24"/>
        </w:rPr>
        <w:t xml:space="preserve">levam ao conhecimento dos interessados que, na forma da </w:t>
      </w:r>
      <w:r>
        <w:rPr>
          <w:rFonts w:ascii="Arial" w:hAnsi="Arial" w:cs="Arial"/>
          <w:b/>
          <w:color w:val="000000"/>
          <w:szCs w:val="24"/>
        </w:rPr>
        <w:t xml:space="preserve">Lei n.º 10.520/2002, </w:t>
      </w:r>
      <w:r>
        <w:rPr>
          <w:rFonts w:ascii="Arial" w:hAnsi="Arial" w:cs="Arial"/>
          <w:color w:val="000000"/>
          <w:szCs w:val="24"/>
        </w:rPr>
        <w:t xml:space="preserve">do </w:t>
      </w:r>
      <w:r>
        <w:rPr>
          <w:rFonts w:ascii="Arial" w:hAnsi="Arial" w:cs="Arial"/>
          <w:b/>
          <w:color w:val="000000"/>
          <w:szCs w:val="24"/>
        </w:rPr>
        <w:t>Decreto n.º 10.024/2019</w:t>
      </w:r>
      <w:r>
        <w:rPr>
          <w:rFonts w:ascii="Arial" w:hAnsi="Arial" w:cs="Arial"/>
          <w:color w:val="000000"/>
          <w:szCs w:val="24"/>
        </w:rPr>
        <w:t xml:space="preserve">, da </w:t>
      </w:r>
      <w:r>
        <w:rPr>
          <w:rFonts w:ascii="Arial" w:hAnsi="Arial" w:cs="Arial"/>
          <w:b/>
          <w:color w:val="000000"/>
          <w:szCs w:val="24"/>
        </w:rPr>
        <w:t>Lei Complementar n.º 123/2006,</w:t>
      </w:r>
      <w:r>
        <w:rPr>
          <w:rFonts w:ascii="Arial" w:hAnsi="Arial" w:cs="Arial"/>
          <w:bCs/>
          <w:color w:val="000000"/>
          <w:szCs w:val="24"/>
        </w:rPr>
        <w:t xml:space="preserve"> </w:t>
      </w:r>
      <w:r>
        <w:rPr>
          <w:rFonts w:ascii="Arial" w:hAnsi="Arial" w:cs="Arial"/>
          <w:bCs/>
          <w:szCs w:val="24"/>
        </w:rPr>
        <w:t>Lei Municipal 1.953/2021</w:t>
      </w:r>
      <w:r>
        <w:rPr>
          <w:rFonts w:ascii="Arial" w:hAnsi="Arial" w:cs="Arial"/>
          <w:b/>
          <w:color w:val="000000"/>
          <w:szCs w:val="24"/>
        </w:rPr>
        <w:t xml:space="preserve">  </w:t>
      </w:r>
      <w:r>
        <w:rPr>
          <w:rFonts w:ascii="Arial" w:hAnsi="Arial" w:cs="Arial"/>
          <w:color w:val="000000"/>
          <w:szCs w:val="24"/>
        </w:rPr>
        <w:t xml:space="preserve">e, subsidiariamente, da </w:t>
      </w:r>
      <w:r>
        <w:rPr>
          <w:rFonts w:ascii="Arial" w:hAnsi="Arial" w:cs="Arial"/>
          <w:b/>
          <w:color w:val="000000"/>
          <w:szCs w:val="24"/>
        </w:rPr>
        <w:t>Lei n.º 8.666/1993</w:t>
      </w:r>
      <w:r>
        <w:rPr>
          <w:rFonts w:ascii="Arial" w:hAnsi="Arial" w:cs="Arial"/>
          <w:color w:val="000000"/>
          <w:szCs w:val="24"/>
        </w:rPr>
        <w:t xml:space="preserve"> e de outras normas aplicáveis ao objeto deste certame, farão realizar licitação na modalidade </w:t>
      </w:r>
      <w:r>
        <w:rPr>
          <w:rFonts w:ascii="Arial" w:hAnsi="Arial" w:cs="Arial"/>
          <w:b/>
          <w:color w:val="000000"/>
          <w:szCs w:val="24"/>
        </w:rPr>
        <w:t>Pregão Eletrônico</w:t>
      </w:r>
      <w:r>
        <w:rPr>
          <w:rFonts w:ascii="Arial" w:hAnsi="Arial" w:cs="Arial"/>
          <w:color w:val="000000"/>
          <w:szCs w:val="24"/>
        </w:rPr>
        <w:t xml:space="preserve"> mediante as condições estabelecidas neste Edital.</w:t>
      </w:r>
    </w:p>
    <w:p>
      <w:pPr>
        <w:pStyle w:val="57"/>
        <w:widowControl w:val="0"/>
        <w:spacing w:after="120"/>
        <w:ind w:firstLine="1134"/>
        <w:jc w:val="both"/>
        <w:rPr>
          <w:rFonts w:ascii="Arial" w:hAnsi="Arial" w:eastAsia="Calibri" w:cs="Arial"/>
        </w:rPr>
      </w:pPr>
      <w:r>
        <w:rPr>
          <w:rFonts w:ascii="Arial" w:hAnsi="Arial" w:eastAsia="Calibri" w:cs="Arial"/>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ascii="Arial" w:hAnsi="Arial" w:eastAsia="Calibri" w:cs="Arial"/>
          <w:i/>
        </w:rPr>
        <w:t xml:space="preserve">ou transferidos para o aplicativo, </w:t>
      </w:r>
      <w:r>
        <w:rPr>
          <w:rFonts w:ascii="Arial" w:hAnsi="Arial" w:eastAsia="Calibri" w:cs="Arial"/>
        </w:rPr>
        <w:t xml:space="preserve">constante da página LICITANET - licitações on - line – </w:t>
      </w:r>
      <w:r>
        <w:fldChar w:fldCharType="begin"/>
      </w:r>
      <w:r>
        <w:instrText xml:space="preserve"> HYPERLINK "http://www.licitanet.com.br" </w:instrText>
      </w:r>
      <w:r>
        <w:fldChar w:fldCharType="separate"/>
      </w:r>
      <w:r>
        <w:rPr>
          <w:rStyle w:val="18"/>
          <w:rFonts w:ascii="Arial" w:hAnsi="Arial" w:eastAsia="Calibri" w:cs="Arial"/>
        </w:rPr>
        <w:t>www.licitanet.com.br</w:t>
      </w:r>
      <w:r>
        <w:rPr>
          <w:rStyle w:val="18"/>
          <w:rFonts w:ascii="Arial" w:hAnsi="Arial" w:eastAsia="Calibri" w:cs="Arial"/>
        </w:rPr>
        <w:fldChar w:fldCharType="end"/>
      </w:r>
    </w:p>
    <w:p>
      <w:pPr>
        <w:widowControl w:val="0"/>
        <w:autoSpaceDE w:val="0"/>
        <w:autoSpaceDN w:val="0"/>
        <w:adjustRightInd w:val="0"/>
        <w:ind w:firstLine="1134"/>
        <w:jc w:val="both"/>
        <w:rPr>
          <w:rFonts w:ascii="Arial" w:hAnsi="Arial" w:eastAsia="Calibri" w:cs="Arial"/>
        </w:rPr>
      </w:pPr>
      <w:r>
        <w:rPr>
          <w:rFonts w:ascii="Arial" w:hAnsi="Arial" w:eastAsia="Calibri" w:cs="Arial"/>
        </w:rPr>
        <w:t xml:space="preserve">O instrumento convocatório e todos os elementos integrantes encontram-se disponíveis, para conhecimento e retirada, no endereço eletrônico: </w:t>
      </w:r>
      <w:r>
        <w:fldChar w:fldCharType="begin"/>
      </w:r>
      <w:r>
        <w:instrText xml:space="preserve"> HYPERLINK "http://www.licitanet.com.br" </w:instrText>
      </w:r>
      <w:r>
        <w:fldChar w:fldCharType="separate"/>
      </w:r>
      <w:r>
        <w:rPr>
          <w:rStyle w:val="18"/>
          <w:rFonts w:ascii="Arial" w:hAnsi="Arial" w:eastAsia="Calibri" w:cs="Arial"/>
        </w:rPr>
        <w:t>www.licitanet.com.br</w:t>
      </w:r>
      <w:r>
        <w:rPr>
          <w:rStyle w:val="18"/>
          <w:rFonts w:ascii="Arial" w:hAnsi="Arial" w:eastAsia="Calibri" w:cs="Arial"/>
        </w:rPr>
        <w:fldChar w:fldCharType="end"/>
      </w:r>
      <w:r>
        <w:rPr>
          <w:rFonts w:ascii="Arial" w:hAnsi="Arial" w:eastAsia="Calibri" w:cs="Arial"/>
        </w:rPr>
        <w:t xml:space="preserve"> e </w:t>
      </w:r>
      <w:r>
        <w:fldChar w:fldCharType="begin"/>
      </w:r>
      <w:r>
        <w:instrText xml:space="preserve"> HYPERLINK "http://www.primaveradoleste.mt.gov.br" </w:instrText>
      </w:r>
      <w:r>
        <w:fldChar w:fldCharType="separate"/>
      </w:r>
      <w:r>
        <w:rPr>
          <w:rStyle w:val="18"/>
          <w:rFonts w:ascii="Arial" w:hAnsi="Arial" w:eastAsia="Calibri" w:cs="Arial"/>
        </w:rPr>
        <w:t>www.primaveradoleste.mt.gov.br</w:t>
      </w:r>
      <w:r>
        <w:rPr>
          <w:rStyle w:val="18"/>
          <w:rFonts w:ascii="Arial" w:hAnsi="Arial" w:eastAsia="Calibri" w:cs="Arial"/>
        </w:rPr>
        <w:fldChar w:fldCharType="end"/>
      </w:r>
      <w:r>
        <w:rPr>
          <w:rFonts w:ascii="Arial" w:hAnsi="Arial" w:eastAsia="Calibri" w:cs="Arial"/>
        </w:rPr>
        <w:t xml:space="preserve"> ícone “CIDADÃO – Editais e Licitações”.</w:t>
      </w:r>
    </w:p>
    <w:p>
      <w:pPr>
        <w:widowControl w:val="0"/>
        <w:tabs>
          <w:tab w:val="left" w:pos="1134"/>
        </w:tabs>
        <w:jc w:val="both"/>
        <w:rPr>
          <w:rFonts w:ascii="Arial" w:hAnsi="Arial" w:eastAsia="Calibri" w:cs="Arial"/>
          <w:color w:val="000000"/>
        </w:rPr>
      </w:pPr>
    </w:p>
    <w:p>
      <w:pPr>
        <w:pStyle w:val="2"/>
        <w:keepNext w:val="0"/>
        <w:widowControl w:val="0"/>
        <w:spacing w:before="0" w:after="120"/>
        <w:ind w:left="0"/>
        <w:jc w:val="both"/>
        <w:rPr>
          <w:rFonts w:cs="Arial"/>
          <w:color w:val="000000"/>
        </w:rPr>
      </w:pPr>
      <w:r>
        <w:rPr>
          <w:rFonts w:cs="Arial"/>
          <w:color w:val="000000"/>
        </w:rPr>
        <w:t>DA SESSÃO PÚBLICA DO PREGÃO ELETRÔNICO:</w:t>
      </w:r>
    </w:p>
    <w:p>
      <w:pPr>
        <w:widowControl w:val="0"/>
        <w:spacing w:after="120"/>
        <w:jc w:val="both"/>
        <w:rPr>
          <w:rFonts w:ascii="Arial" w:hAnsi="Arial" w:eastAsia="Calibri" w:cs="Arial"/>
        </w:rPr>
      </w:pPr>
      <w:r>
        <w:rPr>
          <w:rFonts w:ascii="Arial" w:hAnsi="Arial" w:eastAsia="Calibri" w:cs="Arial"/>
          <w:b/>
        </w:rPr>
        <w:t>Recebimento das propostas</w:t>
      </w:r>
      <w:r>
        <w:rPr>
          <w:rFonts w:ascii="Arial" w:hAnsi="Arial" w:eastAsia="Calibri" w:cs="Arial"/>
        </w:rPr>
        <w:t>: A partir da publicação;</w:t>
      </w:r>
    </w:p>
    <w:p>
      <w:pPr>
        <w:widowControl w:val="0"/>
        <w:spacing w:after="120"/>
        <w:jc w:val="both"/>
        <w:rPr>
          <w:rFonts w:ascii="Arial" w:hAnsi="Arial" w:eastAsia="Calibri" w:cs="Arial"/>
        </w:rPr>
      </w:pPr>
      <w:r>
        <w:rPr>
          <w:rFonts w:ascii="Arial" w:hAnsi="Arial" w:eastAsia="Calibri" w:cs="Arial"/>
          <w:b/>
        </w:rPr>
        <w:t>Do encerramento do recebimento das propostas</w:t>
      </w:r>
      <w:r>
        <w:rPr>
          <w:rFonts w:ascii="Arial" w:hAnsi="Arial" w:eastAsia="Calibri" w:cs="Arial"/>
        </w:rPr>
        <w:t xml:space="preserve">: </w:t>
      </w:r>
      <w:r>
        <w:rPr>
          <w:rFonts w:ascii="Arial" w:hAnsi="Arial" w:eastAsia="Calibri" w:cs="Arial"/>
          <w:lang w:val="pt-BR"/>
        </w:rPr>
        <w:t>08 de fevereiro de 2024</w:t>
      </w:r>
      <w:r>
        <w:rPr>
          <w:rFonts w:ascii="Arial" w:hAnsi="Arial" w:eastAsia="Calibri" w:cs="Arial"/>
        </w:rPr>
        <w:t xml:space="preserve"> às </w:t>
      </w:r>
      <w:r>
        <w:rPr>
          <w:rFonts w:hint="default" w:ascii="Arial" w:hAnsi="Arial" w:eastAsia="Calibri" w:cs="Arial"/>
          <w:lang w:val="pt-BR"/>
        </w:rPr>
        <w:t>08</w:t>
      </w:r>
      <w:r>
        <w:rPr>
          <w:rFonts w:ascii="Arial" w:hAnsi="Arial" w:eastAsia="Calibri" w:cs="Arial"/>
        </w:rPr>
        <w:t>:00 horas (Horário de Brasília - DF);</w:t>
      </w:r>
    </w:p>
    <w:p>
      <w:pPr>
        <w:widowControl w:val="0"/>
        <w:spacing w:after="120"/>
        <w:jc w:val="both"/>
        <w:rPr>
          <w:rFonts w:ascii="Arial" w:hAnsi="Arial" w:eastAsia="Calibri" w:cs="Arial"/>
        </w:rPr>
      </w:pPr>
      <w:r>
        <w:rPr>
          <w:rFonts w:ascii="Arial" w:hAnsi="Arial" w:eastAsia="Calibri" w:cs="Arial"/>
          <w:b/>
        </w:rPr>
        <w:t>Início da sessão de disputa de preços</w:t>
      </w:r>
      <w:r>
        <w:rPr>
          <w:rFonts w:ascii="Arial" w:hAnsi="Arial" w:eastAsia="Calibri" w:cs="Arial"/>
        </w:rPr>
        <w:t xml:space="preserve">: </w:t>
      </w:r>
      <w:r>
        <w:rPr>
          <w:rFonts w:ascii="Arial" w:hAnsi="Arial" w:eastAsia="Calibri" w:cs="Arial"/>
          <w:lang w:val="pt-BR"/>
        </w:rPr>
        <w:t>08 de fevereiro de 2024</w:t>
      </w:r>
      <w:r>
        <w:rPr>
          <w:rFonts w:ascii="Arial" w:hAnsi="Arial" w:eastAsia="Calibri" w:cs="Arial"/>
        </w:rPr>
        <w:t xml:space="preserve">, às </w:t>
      </w:r>
      <w:r>
        <w:rPr>
          <w:rFonts w:hint="default" w:ascii="Arial" w:hAnsi="Arial" w:eastAsia="Calibri" w:cs="Arial"/>
          <w:lang w:val="pt-BR"/>
        </w:rPr>
        <w:t>08</w:t>
      </w:r>
      <w:r>
        <w:rPr>
          <w:rFonts w:ascii="Arial" w:hAnsi="Arial" w:eastAsia="Calibri" w:cs="Arial"/>
        </w:rPr>
        <w:t>:30 horas (Horário de Brasília - DF).</w:t>
      </w:r>
    </w:p>
    <w:p>
      <w:pPr>
        <w:widowControl w:val="0"/>
        <w:jc w:val="both"/>
        <w:rPr>
          <w:rFonts w:ascii="Arial" w:hAnsi="Arial" w:eastAsia="Calibri" w:cs="Arial"/>
          <w:b/>
        </w:rPr>
      </w:pPr>
      <w:r>
        <w:rPr>
          <w:rFonts w:ascii="Arial" w:hAnsi="Arial" w:eastAsia="Calibri" w:cs="Arial"/>
          <w:b/>
        </w:rPr>
        <w:t>Endereço eletrônico da disputa</w:t>
      </w:r>
      <w:r>
        <w:rPr>
          <w:rFonts w:ascii="Arial" w:hAnsi="Arial" w:eastAsia="Calibri" w:cs="Arial"/>
        </w:rPr>
        <w:t xml:space="preserve">: </w:t>
      </w:r>
      <w:r>
        <w:fldChar w:fldCharType="begin"/>
      </w:r>
      <w:r>
        <w:instrText xml:space="preserve"> HYPERLINK "http://www.licitanet.com.br" </w:instrText>
      </w:r>
      <w:r>
        <w:fldChar w:fldCharType="separate"/>
      </w:r>
      <w:r>
        <w:rPr>
          <w:rStyle w:val="18"/>
          <w:rFonts w:ascii="Arial" w:hAnsi="Arial" w:eastAsia="Calibri" w:cs="Arial"/>
        </w:rPr>
        <w:t>www.licitanet.com.br</w:t>
      </w:r>
      <w:r>
        <w:rPr>
          <w:rStyle w:val="18"/>
          <w:rFonts w:ascii="Arial" w:hAnsi="Arial" w:eastAsia="Calibri" w:cs="Arial"/>
        </w:rPr>
        <w:fldChar w:fldCharType="end"/>
      </w:r>
    </w:p>
    <w:p>
      <w:pPr>
        <w:pStyle w:val="2"/>
        <w:keepNext w:val="0"/>
        <w:widowControl w:val="0"/>
        <w:spacing w:before="0" w:after="120"/>
        <w:ind w:left="0"/>
        <w:jc w:val="both"/>
        <w:rPr>
          <w:rFonts w:cs="Arial"/>
          <w:color w:val="000000"/>
        </w:rPr>
      </w:pPr>
      <w:r>
        <w:rPr>
          <w:rFonts w:cs="Arial"/>
          <w:sz w:val="2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10tgU2AAA&#10;AAgBAAAPAAAAAAAAAAEAIAAAACIAAABkcnMvZG93bnJldi54bWxQSwECFAAUAAAACACHTuJA14Ay&#10;jVcCAADYBAAADgAAAAAAAAABACAAAAAnAQAAZHJzL2Uyb0RvYy54bWxQSwUGAAAAAAYABgBZAQAA&#10;8A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I – DO OBJETO</w:t>
                      </w:r>
                    </w:p>
                  </w:txbxContent>
                </v:textbox>
              </v:rect>
            </w:pict>
          </mc:Fallback>
        </mc:AlternateContent>
      </w:r>
    </w:p>
    <w:p>
      <w:pPr>
        <w:pStyle w:val="2"/>
        <w:keepNext w:val="0"/>
        <w:widowControl w:val="0"/>
        <w:spacing w:before="0" w:after="120"/>
        <w:ind w:left="0"/>
        <w:jc w:val="both"/>
        <w:rPr>
          <w:rFonts w:cs="Arial"/>
          <w:color w:val="000000"/>
        </w:rPr>
      </w:pPr>
      <w:r>
        <w:rPr>
          <w:rFonts w:cs="Arial"/>
          <w:color w:val="000000"/>
        </w:rPr>
        <w:t>I – DO OBJETO</w:t>
      </w:r>
    </w:p>
    <w:p>
      <w:pPr>
        <w:pStyle w:val="2"/>
        <w:keepNext w:val="0"/>
        <w:widowControl w:val="0"/>
        <w:tabs>
          <w:tab w:val="left" w:pos="1134"/>
        </w:tabs>
        <w:spacing w:before="0" w:after="120"/>
        <w:ind w:left="0"/>
        <w:jc w:val="both"/>
        <w:rPr>
          <w:rFonts w:cs="Arial"/>
          <w:b w:val="0"/>
          <w:color w:val="000000"/>
        </w:rPr>
      </w:pPr>
      <w:r>
        <w:rPr>
          <w:rFonts w:cs="Arial"/>
        </w:rPr>
        <w:t xml:space="preserve">1.1. </w:t>
      </w:r>
      <w:r>
        <w:rPr>
          <w:rFonts w:cs="Arial"/>
          <w:b w:val="0"/>
          <w:bCs/>
        </w:rPr>
        <w:t xml:space="preserve">Registro de Preços, para </w:t>
      </w:r>
      <w:r>
        <w:rPr>
          <w:rFonts w:cs="Arial"/>
          <w:b w:val="0"/>
          <w:bCs/>
          <w:lang w:eastAsia="zh-CN"/>
        </w:rPr>
        <w:t xml:space="preserve">futura e eventual </w:t>
      </w:r>
      <w:r>
        <w:rPr>
          <w:rFonts w:cs="Arial"/>
          <w:b w:val="0"/>
          <w:bCs/>
        </w:rPr>
        <w:t xml:space="preserve">contratação de empresa especializada na </w:t>
      </w:r>
      <w:r>
        <w:rPr>
          <w:rFonts w:cs="Arial"/>
          <w:b w:val="0"/>
          <w:bCs/>
          <w:lang w:eastAsia="zh-CN"/>
        </w:rPr>
        <w:t>Prestação de Serviços de Coleta e Transporte de Resíduos Sólidos Domiciliares e Comerciais do Município, Coleta Seletiva de Materiais Recicláveis, transporte e destinação final ambientalmente adequada dos resíduos recicláveis e implantação e coordenação da unidade de triagem de Primavera do Leste MT.</w:t>
      </w:r>
    </w:p>
    <w:p>
      <w:pPr>
        <w:spacing w:after="120" w:afterLines="50"/>
        <w:jc w:val="both"/>
        <w:rPr>
          <w:rFonts w:ascii="Arial" w:hAnsi="Arial" w:eastAsia="Calibri" w:cs="Arial"/>
        </w:rPr>
      </w:pPr>
      <w:r>
        <w:rPr>
          <w:rFonts w:ascii="Arial" w:hAnsi="Arial" w:eastAsia="Calibri" w:cs="Arial"/>
          <w:b/>
        </w:rPr>
        <w:t xml:space="preserve">1.2. </w:t>
      </w:r>
      <w:r>
        <w:rPr>
          <w:rFonts w:ascii="Arial" w:hAnsi="Arial" w:eastAsia="Calibri" w:cs="Arial"/>
        </w:rPr>
        <w:t>A licitação será dividida em dois lotes</w:t>
      </w:r>
      <w:r>
        <w:rPr>
          <w:rFonts w:hint="default" w:ascii="Arial" w:hAnsi="Arial" w:eastAsia="Calibri" w:cs="Arial"/>
          <w:lang w:val="pt-BR"/>
        </w:rPr>
        <w:t xml:space="preserve"> </w:t>
      </w:r>
      <w:r>
        <w:rPr>
          <w:rFonts w:ascii="Arial" w:hAnsi="Arial" w:eastAsia="Calibri" w:cs="Arial"/>
        </w:rPr>
        <w:t>composta de um único lote, conforme tabela constante do Termo de Referência, facultando-se ao licitante a participação em quantos lotes forem de seu interesse;sendo obrigatório como critério de participação o atendimento a todos os itens que o englobam.</w:t>
      </w:r>
    </w:p>
    <w:p>
      <w:pPr>
        <w:jc w:val="both"/>
        <w:rPr>
          <w:rFonts w:ascii="Arial" w:hAnsi="Arial" w:cs="Arial"/>
          <w:sz w:val="20"/>
        </w:rPr>
      </w:pPr>
      <w:r>
        <w:rPr>
          <w:rFonts w:ascii="Arial" w:hAnsi="Arial" w:eastAsia="Calibri" w:cs="Arial"/>
          <w:b/>
        </w:rPr>
        <w:t xml:space="preserve">1.3. </w:t>
      </w:r>
      <w:r>
        <w:rPr>
          <w:rFonts w:ascii="Arial" w:hAnsi="Arial" w:eastAsia="Calibri" w:cs="Arial"/>
        </w:rPr>
        <w:t xml:space="preserve">O critério de julgamento adotado será o menor preço global do lote, observadas as exigências contidas neste Edital e seus Anexos quanto às especificações do objeto. </w:t>
      </w:r>
    </w:p>
    <w:p>
      <w:pPr>
        <w:pStyle w:val="2"/>
        <w:keepNext w:val="0"/>
        <w:widowControl w:val="0"/>
        <w:tabs>
          <w:tab w:val="left" w:pos="1134"/>
        </w:tabs>
        <w:spacing w:before="0" w:after="120"/>
        <w:ind w:left="0"/>
        <w:jc w:val="both"/>
        <w:rPr>
          <w:rFonts w:cs="Arial"/>
          <w:color w:val="000000"/>
        </w:rPr>
      </w:pPr>
    </w:p>
    <w:p>
      <w:pPr>
        <w:pStyle w:val="2"/>
        <w:keepNext w:val="0"/>
        <w:widowControl w:val="0"/>
        <w:tabs>
          <w:tab w:val="left" w:pos="1134"/>
        </w:tabs>
        <w:spacing w:before="0" w:after="120"/>
        <w:ind w:left="0"/>
        <w:jc w:val="both"/>
        <w:rPr>
          <w:rFonts w:cs="Arial"/>
          <w:color w:val="000000"/>
        </w:rPr>
      </w:pPr>
      <w:r>
        <w:rPr>
          <w:rFonts w:cs="Arial"/>
          <w:sz w:val="20"/>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60288;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FnHjNkAAAAJAQAA&#10;DwAAAAAAAAABACAAAAAiAAAAZHJzL2Rvd25yZXYueG1sUEsBAhQAFAAAAAgAh07iQHFpjTRRAgAA&#10;2AQAAA4AAAAAAAAAAQAgAAAAKAEAAGRycy9lMm9Eb2MueG1sUEsFBgAAAAAGAAYAWQEAAOsFAAAA&#10;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II – DA DESPESA E DOS RECURSOS ORÇAMENTÁRIOS</w:t>
                      </w:r>
                    </w:p>
                  </w:txbxContent>
                </v:textbox>
              </v:rect>
            </w:pict>
          </mc:Fallback>
        </mc:AlternateContent>
      </w:r>
    </w:p>
    <w:p>
      <w:pPr>
        <w:widowControl w:val="0"/>
        <w:tabs>
          <w:tab w:val="left" w:pos="705"/>
        </w:tabs>
        <w:spacing w:before="120" w:beforeLines="50" w:after="120"/>
        <w:jc w:val="both"/>
        <w:rPr>
          <w:rFonts w:ascii="Arial" w:hAnsi="Arial" w:eastAsia="Calibri" w:cs="Arial"/>
          <w:vanish/>
          <w:color w:val="000000"/>
        </w:rPr>
      </w:pPr>
    </w:p>
    <w:tbl>
      <w:tblPr>
        <w:tblStyle w:val="12"/>
        <w:tblpPr w:leftFromText="180" w:rightFromText="180" w:vertAnchor="text" w:horzAnchor="page" w:tblpX="1779" w:tblpY="495"/>
        <w:tblOverlap w:val="never"/>
        <w:tblW w:w="9720" w:type="dxa"/>
        <w:tblInd w:w="0" w:type="dxa"/>
        <w:tblLayout w:type="fixed"/>
        <w:tblCellMar>
          <w:top w:w="0" w:type="dxa"/>
          <w:left w:w="0" w:type="dxa"/>
          <w:bottom w:w="0" w:type="dxa"/>
          <w:right w:w="0" w:type="dxa"/>
        </w:tblCellMar>
      </w:tblPr>
      <w:tblGrid>
        <w:gridCol w:w="3115"/>
        <w:gridCol w:w="1003"/>
        <w:gridCol w:w="5602"/>
      </w:tblGrid>
      <w:tr>
        <w:tblPrEx>
          <w:tblCellMar>
            <w:top w:w="0" w:type="dxa"/>
            <w:left w:w="0" w:type="dxa"/>
            <w:bottom w:w="0" w:type="dxa"/>
            <w:right w:w="0" w:type="dxa"/>
          </w:tblCellMar>
        </w:tblPrEx>
        <w:trPr>
          <w:trHeight w:val="240" w:hRule="atLeast"/>
        </w:trPr>
        <w:tc>
          <w:tcPr>
            <w:tcW w:w="9720" w:type="dxa"/>
            <w:gridSpan w:val="3"/>
            <w:tcBorders>
              <w:top w:val="single" w:color="000000" w:sz="2" w:space="0"/>
              <w:left w:val="single" w:color="000000" w:sz="2" w:space="0"/>
              <w:bottom w:val="single" w:color="000000" w:sz="2" w:space="0"/>
              <w:right w:val="single" w:color="000000" w:sz="2" w:space="0"/>
              <w:tl2br w:val="nil"/>
              <w:tr2bl w:val="nil"/>
            </w:tcBorders>
            <w:shd w:val="clear" w:color="auto" w:fill="9BC2E6"/>
            <w:noWrap/>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 xml:space="preserve">Órgão 6 - Secretaria </w:t>
            </w:r>
            <w:r>
              <w:rPr>
                <w:rFonts w:ascii="Calibri" w:hAnsi="Calibri" w:cs="Calibri"/>
                <w:b/>
                <w:sz w:val="20"/>
                <w:lang w:eastAsia="zh-CN" w:bidi="ar"/>
              </w:rPr>
              <w:t>d</w:t>
            </w:r>
            <w:r>
              <w:rPr>
                <w:rFonts w:ascii="Calibri" w:hAnsi="Calibri" w:cs="Calibri"/>
                <w:b/>
                <w:sz w:val="20"/>
                <w:lang w:val="pt-BR" w:eastAsia="zh-CN" w:bidi="ar"/>
              </w:rPr>
              <w:t xml:space="preserve">e </w:t>
            </w:r>
            <w:r>
              <w:rPr>
                <w:rFonts w:ascii="Calibri" w:hAnsi="Calibri" w:cs="Calibri"/>
                <w:b/>
                <w:sz w:val="20"/>
                <w:lang w:eastAsia="zh-CN" w:bidi="ar"/>
              </w:rPr>
              <w:t>Agricultura e Meio Ambiente</w:t>
            </w:r>
          </w:p>
        </w:tc>
      </w:tr>
      <w:tr>
        <w:tblPrEx>
          <w:tblCellMar>
            <w:top w:w="0" w:type="dxa"/>
            <w:left w:w="0" w:type="dxa"/>
            <w:bottom w:w="0" w:type="dxa"/>
            <w:right w:w="0" w:type="dxa"/>
          </w:tblCellMar>
        </w:tblPrEx>
        <w:trPr>
          <w:trHeight w:val="902" w:hRule="atLeast"/>
        </w:trPr>
        <w:tc>
          <w:tcPr>
            <w:tcW w:w="3115"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Und. Orçamentária</w:t>
            </w:r>
            <w:r>
              <w:rPr>
                <w:rFonts w:ascii="Calibri" w:hAnsi="Calibri" w:cs="Calibri"/>
                <w:b/>
                <w:sz w:val="20"/>
                <w:lang w:eastAsia="zh-CN" w:bidi="ar"/>
              </w:rPr>
              <w:t xml:space="preserve"> </w:t>
            </w:r>
            <w:r>
              <w:rPr>
                <w:rFonts w:ascii="Calibri" w:hAnsi="Calibri" w:cs="Calibri"/>
                <w:b/>
                <w:sz w:val="20"/>
                <w:lang w:val="pt-BR" w:eastAsia="zh-CN" w:bidi="ar"/>
              </w:rPr>
              <w:t>/ Executora</w:t>
            </w:r>
          </w:p>
        </w:tc>
        <w:tc>
          <w:tcPr>
            <w:tcW w:w="1003"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03003</w:t>
            </w:r>
          </w:p>
        </w:tc>
        <w:tc>
          <w:tcPr>
            <w:tcW w:w="5602"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Coordenadoria do Meio Ambiente</w:t>
            </w:r>
          </w:p>
        </w:tc>
      </w:tr>
      <w:tr>
        <w:tblPrEx>
          <w:tblCellMar>
            <w:top w:w="0" w:type="dxa"/>
            <w:left w:w="0" w:type="dxa"/>
            <w:bottom w:w="0" w:type="dxa"/>
            <w:right w:w="0" w:type="dxa"/>
          </w:tblCellMar>
        </w:tblPrEx>
        <w:trPr>
          <w:trHeight w:val="510" w:hRule="atLeast"/>
        </w:trPr>
        <w:tc>
          <w:tcPr>
            <w:tcW w:w="3115" w:type="dxa"/>
            <w:vMerge w:val="restart"/>
            <w:tcBorders>
              <w:top w:val="single" w:color="000000" w:sz="2" w:space="0"/>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cs="Calibri"/>
                <w:b/>
                <w:sz w:val="20"/>
                <w:lang w:val="pt-BR" w:eastAsia="zh-CN" w:bidi="ar"/>
              </w:rPr>
            </w:pPr>
            <w:r>
              <w:rPr>
                <w:rFonts w:ascii="Calibri" w:hAnsi="Calibri" w:cs="Calibri"/>
                <w:b/>
                <w:sz w:val="20"/>
                <w:lang w:val="pt-BR" w:eastAsia="zh-CN" w:bidi="ar"/>
              </w:rPr>
              <w:t>Despesa</w:t>
            </w:r>
          </w:p>
          <w:p>
            <w:pPr>
              <w:ind w:right="38" w:rightChars="16"/>
              <w:jc w:val="center"/>
              <w:textAlignment w:val="center"/>
              <w:rPr>
                <w:rFonts w:ascii="Calibri" w:hAnsi="Calibri" w:cs="Calibri"/>
                <w:b/>
                <w:sz w:val="20"/>
              </w:rPr>
            </w:pPr>
            <w:r>
              <w:rPr>
                <w:rFonts w:ascii="Calibri" w:hAnsi="Calibri" w:cs="Calibri"/>
                <w:b/>
                <w:sz w:val="20"/>
                <w:lang w:val="pt-BR" w:eastAsia="zh-CN" w:bidi="ar"/>
              </w:rPr>
              <w:t>/</w:t>
            </w:r>
            <w:r>
              <w:rPr>
                <w:rFonts w:ascii="Calibri" w:hAnsi="Calibri" w:cs="Calibri"/>
                <w:b/>
                <w:sz w:val="20"/>
                <w:lang w:eastAsia="zh-CN" w:bidi="ar"/>
              </w:rPr>
              <w:t xml:space="preserve"> F</w:t>
            </w:r>
            <w:r>
              <w:rPr>
                <w:rFonts w:ascii="Calibri" w:hAnsi="Calibri" w:cs="Calibri"/>
                <w:b/>
                <w:sz w:val="20"/>
                <w:lang w:val="pt-BR" w:eastAsia="zh-CN" w:bidi="ar"/>
              </w:rPr>
              <w:t>onte</w:t>
            </w:r>
          </w:p>
        </w:tc>
        <w:tc>
          <w:tcPr>
            <w:tcW w:w="6605" w:type="dxa"/>
            <w:gridSpan w:val="2"/>
            <w:vMerge w:val="restart"/>
            <w:tcBorders>
              <w:top w:val="single" w:color="000000" w:sz="2" w:space="0"/>
              <w:left w:val="single" w:color="000000" w:sz="2" w:space="0"/>
              <w:bottom w:val="nil"/>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eastAsia="CIDFont+F1" w:cs="Calibri"/>
                <w:sz w:val="20"/>
              </w:rPr>
            </w:pPr>
            <w:r>
              <w:rPr>
                <w:rFonts w:ascii="Calibri" w:hAnsi="Calibri" w:eastAsia="CIDFont+F1" w:cs="Calibri"/>
                <w:sz w:val="20"/>
              </w:rPr>
              <w:t>3.3.90.39.00 - 1500</w:t>
            </w:r>
          </w:p>
          <w:p>
            <w:pPr>
              <w:ind w:right="38" w:rightChars="16"/>
              <w:jc w:val="center"/>
              <w:textAlignment w:val="center"/>
              <w:rPr>
                <w:rFonts w:ascii="Calibri" w:hAnsi="Calibri" w:eastAsia="CIDFont+F1" w:cs="Calibri"/>
                <w:sz w:val="20"/>
              </w:rPr>
            </w:pPr>
            <w:r>
              <w:rPr>
                <w:rFonts w:ascii="Calibri" w:hAnsi="Calibri" w:eastAsia="CIDFont+F1" w:cs="Calibri"/>
                <w:sz w:val="20"/>
              </w:rPr>
              <w:t>Outros Serviços de Terceiros - Pessoa Jurídica</w:t>
            </w:r>
          </w:p>
        </w:tc>
      </w:tr>
      <w:tr>
        <w:tblPrEx>
          <w:tblCellMar>
            <w:top w:w="0" w:type="dxa"/>
            <w:left w:w="0" w:type="dxa"/>
            <w:bottom w:w="0" w:type="dxa"/>
            <w:right w:w="0" w:type="dxa"/>
          </w:tblCellMar>
        </w:tblPrEx>
        <w:trPr>
          <w:trHeight w:val="255" w:hRule="atLeast"/>
        </w:trPr>
        <w:tc>
          <w:tcPr>
            <w:tcW w:w="3115" w:type="dxa"/>
            <w:vMerge w:val="continue"/>
            <w:tcBorders>
              <w:top w:val="single" w:color="000000" w:sz="2" w:space="0"/>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rPr>
                <w:rFonts w:ascii="Calibri" w:hAnsi="Calibri" w:cs="Calibri"/>
                <w:b/>
                <w:sz w:val="20"/>
              </w:rPr>
            </w:pPr>
          </w:p>
        </w:tc>
        <w:tc>
          <w:tcPr>
            <w:tcW w:w="6605" w:type="dxa"/>
            <w:gridSpan w:val="2"/>
            <w:vMerge w:val="continue"/>
            <w:tcBorders>
              <w:top w:val="nil"/>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cs="Calibri"/>
                <w:sz w:val="20"/>
              </w:rPr>
            </w:pPr>
          </w:p>
        </w:tc>
      </w:tr>
      <w:tr>
        <w:tblPrEx>
          <w:tblCellMar>
            <w:top w:w="0" w:type="dxa"/>
            <w:left w:w="0" w:type="dxa"/>
            <w:bottom w:w="0" w:type="dxa"/>
            <w:right w:w="0" w:type="dxa"/>
          </w:tblCellMar>
        </w:tblPrEx>
        <w:trPr>
          <w:trHeight w:val="255" w:hRule="atLeast"/>
        </w:trPr>
        <w:tc>
          <w:tcPr>
            <w:tcW w:w="3115"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Solicitação</w:t>
            </w:r>
          </w:p>
        </w:tc>
        <w:tc>
          <w:tcPr>
            <w:tcW w:w="6605"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sz w:val="20"/>
                <w:lang w:eastAsia="zh-CN" w:bidi="ar"/>
              </w:rPr>
            </w:pPr>
            <w:r>
              <w:rPr>
                <w:rFonts w:ascii="Calibri" w:hAnsi="Calibri" w:cs="Calibri"/>
                <w:sz w:val="20"/>
              </w:rPr>
              <w:t>48/2023</w:t>
            </w:r>
          </w:p>
        </w:tc>
      </w:tr>
    </w:tbl>
    <w:p>
      <w:pPr>
        <w:ind w:right="38" w:rightChars="16"/>
        <w:jc w:val="both"/>
        <w:rPr>
          <w:rFonts w:ascii="Arial" w:hAnsi="Arial" w:cs="Arial"/>
          <w:szCs w:val="24"/>
        </w:rPr>
      </w:pPr>
      <w:r>
        <w:rPr>
          <w:rFonts w:ascii="Arial" w:hAnsi="Arial" w:eastAsia="Calibri" w:cs="Arial"/>
          <w:b/>
          <w:color w:val="000000"/>
          <w:szCs w:val="24"/>
        </w:rPr>
        <w:t xml:space="preserve">2.1. </w:t>
      </w:r>
      <w:r>
        <w:rPr>
          <w:rFonts w:ascii="Arial" w:hAnsi="Arial" w:cs="Arial"/>
          <w:szCs w:val="24"/>
        </w:rPr>
        <w:t>A estimativa de preços foi feita com base em pesquisa realizada junto à empresas do ramo compatível ao objeto licitado, bem como junto aos demais entes de atividade pública, tendo o valor médio total estimado em R$ 16.293.217,32</w:t>
      </w:r>
      <w:r>
        <w:rPr>
          <w:rFonts w:hint="default" w:ascii="Arial" w:hAnsi="Arial" w:cs="Arial"/>
          <w:szCs w:val="24"/>
          <w:lang w:val="pt-BR"/>
        </w:rPr>
        <w:t xml:space="preserve"> (</w:t>
      </w:r>
      <w:r>
        <w:rPr>
          <w:rFonts w:ascii="Arial" w:hAnsi="Arial" w:cs="Arial"/>
          <w:b/>
          <w:bCs/>
          <w:szCs w:val="24"/>
        </w:rPr>
        <w:t>dezesseis milhões, duzentos e noventa e três mil, duzentos e dezessete reais e trinta e dois centavos).</w:t>
      </w:r>
    </w:p>
    <w:p>
      <w:pPr>
        <w:ind w:right="38" w:rightChars="16"/>
        <w:jc w:val="both"/>
        <w:rPr>
          <w:rFonts w:ascii="Arial" w:hAnsi="Arial" w:cs="Arial"/>
          <w:szCs w:val="24"/>
        </w:rPr>
      </w:pPr>
    </w:p>
    <w:p>
      <w:pPr>
        <w:pStyle w:val="134"/>
        <w:tabs>
          <w:tab w:val="left" w:pos="709"/>
          <w:tab w:val="center" w:pos="4419"/>
          <w:tab w:val="right" w:pos="8838"/>
        </w:tabs>
        <w:spacing w:before="0" w:beforeAutospacing="0" w:after="0" w:afterAutospacing="0"/>
        <w:ind w:right="38" w:rightChars="16"/>
        <w:jc w:val="both"/>
        <w:rPr>
          <w:rFonts w:ascii="Arial" w:hAnsi="Arial" w:cs="Arial"/>
          <w:szCs w:val="24"/>
        </w:rPr>
      </w:pPr>
      <w:r>
        <w:rPr>
          <w:rFonts w:ascii="Arial" w:hAnsi="Arial" w:cs="Arial"/>
          <w:b/>
          <w:szCs w:val="24"/>
        </w:rPr>
        <w:t>2.2.</w:t>
      </w:r>
      <w:r>
        <w:rPr>
          <w:rFonts w:ascii="Arial" w:hAnsi="Arial" w:cs="Arial"/>
          <w:szCs w:val="24"/>
        </w:rPr>
        <w:t xml:space="preserve"> As despesas oriundas da presente contratação correrão por conta de recursos próprios específicos consignados no orçamento da Prefeitura Municipal de Primavera do Leste, nas dotações orçamentárias relacionadas abaixo:</w:t>
      </w:r>
    </w:p>
    <w:p>
      <w:pPr>
        <w:spacing w:after="240"/>
        <w:jc w:val="both"/>
        <w:rPr>
          <w:rFonts w:ascii="Arial" w:hAnsi="Arial" w:eastAsia="Calibri" w:cs="Arial"/>
          <w:color w:val="000000"/>
        </w:rPr>
      </w:pPr>
      <w:r>
        <w:rPr>
          <w:rFonts w:ascii="Arial" w:hAnsi="Arial" w:cs="Arial"/>
          <w:sz w:val="20"/>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203200</wp:posOffset>
                </wp:positionV>
                <wp:extent cx="6172835" cy="285115"/>
                <wp:effectExtent l="5080" t="4445" r="32385" b="34290"/>
                <wp:wrapNone/>
                <wp:docPr id="3" name="Retângulo 7"/>
                <wp:cNvGraphicFramePr/>
                <a:graphic xmlns:a="http://schemas.openxmlformats.org/drawingml/2006/main">
                  <a:graphicData uri="http://schemas.microsoft.com/office/word/2010/wordprocessingShape">
                    <wps:wsp>
                      <wps:cNvSpPr/>
                      <wps:spPr>
                        <a:xfrm>
                          <a:off x="0" y="0"/>
                          <a:ext cx="6172835" cy="28511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III – DAS CONDIÇÕES DE PARTICIPAÇÃO NA LICITAÇÃO</w:t>
                            </w:r>
                          </w:p>
                          <w:p>
                            <w:pPr>
                              <w:jc w:val="center"/>
                              <w:rPr>
                                <w:rFonts w:ascii="Arial" w:hAnsi="Arial" w:eastAsia="Calibri"/>
                                <w:b/>
                              </w:rPr>
                            </w:pPr>
                          </w:p>
                        </w:txbxContent>
                      </wps:txbx>
                      <wps:bodyPr vert="horz" wrap="square" anchor="t" upright="1"/>
                    </wps:wsp>
                  </a:graphicData>
                </a:graphic>
              </wp:anchor>
            </w:drawing>
          </mc:Choice>
          <mc:Fallback>
            <w:pict>
              <v:rect id="Retângulo 7" o:spid="_x0000_s1026" o:spt="1" style="position:absolute;left:0pt;margin-left:-4.5pt;margin-top:16pt;height:22.45pt;width:486.05pt;z-index:251661312;mso-width-relative:page;mso-height-relative:page;" fillcolor="#D8D8D8" filled="t" stroked="t" coordsize="21600,21600" o:gfxdata="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ufg2bYAAAACAEA&#10;AA8AAAAAAAAAAQAgAAAAIgAAAGRycy9kb3ducmV2LnhtbFBLAQIUABQAAAAIAIdO4kDP48MkUwIA&#10;ANg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III – DAS CONDIÇÕES DE PARTICIPAÇÃO NA LICITAÇÃO</w:t>
                      </w:r>
                    </w:p>
                    <w:p>
                      <w:pPr>
                        <w:jc w:val="center"/>
                        <w:rPr>
                          <w:rFonts w:ascii="Arial" w:hAnsi="Arial" w:eastAsia="Calibri"/>
                          <w:b/>
                        </w:rPr>
                      </w:pPr>
                    </w:p>
                  </w:txbxContent>
                </v:textbox>
              </v:rect>
            </w:pict>
          </mc:Fallback>
        </mc:AlternateContent>
      </w:r>
    </w:p>
    <w:p>
      <w:pPr>
        <w:spacing w:after="240"/>
        <w:jc w:val="both"/>
        <w:rPr>
          <w:rFonts w:ascii="Arial" w:hAnsi="Arial" w:eastAsia="Calibri" w:cs="Arial"/>
          <w:color w:val="000000"/>
        </w:rPr>
      </w:pPr>
    </w:p>
    <w:p>
      <w:pPr>
        <w:pStyle w:val="57"/>
        <w:widowControl w:val="0"/>
        <w:tabs>
          <w:tab w:val="left" w:pos="0"/>
          <w:tab w:val="left" w:pos="426"/>
          <w:tab w:val="left" w:pos="993"/>
        </w:tabs>
        <w:spacing w:after="120"/>
        <w:jc w:val="both"/>
        <w:rPr>
          <w:rFonts w:ascii="Arial" w:hAnsi="Arial" w:eastAsia="Calibri" w:cs="Arial"/>
        </w:rPr>
      </w:pPr>
      <w:r>
        <w:rPr>
          <w:rFonts w:ascii="Arial" w:hAnsi="Arial" w:eastAsia="Calibri" w:cs="Arial"/>
          <w:b/>
        </w:rPr>
        <w:t xml:space="preserve">3.1. </w:t>
      </w:r>
      <w:r>
        <w:rPr>
          <w:rFonts w:ascii="Arial" w:hAnsi="Arial" w:eastAsia="Calibri" w:cs="Arial"/>
        </w:rPr>
        <w:t xml:space="preserve">Poderão participar deste Pregão interessados cujo ramo de atividade seja compatível com o objeto desta licitação.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ascii="Arial" w:hAnsi="Arial" w:eastAsia="Calibri" w:cs="Arial"/>
          <w:b/>
        </w:rPr>
        <w:t>Termo de Referência</w:t>
      </w:r>
      <w:r>
        <w:rPr>
          <w:rFonts w:ascii="Arial" w:hAnsi="Arial" w:eastAsia="Calibri" w:cs="Arial"/>
        </w:rPr>
        <w:t xml:space="preserve"> - ANEXO I do presente Edital; </w:t>
      </w:r>
    </w:p>
    <w:p>
      <w:pPr>
        <w:pStyle w:val="57"/>
        <w:widowControl w:val="0"/>
        <w:tabs>
          <w:tab w:val="left" w:pos="0"/>
          <w:tab w:val="left" w:pos="426"/>
          <w:tab w:val="left" w:pos="993"/>
        </w:tabs>
        <w:spacing w:after="120"/>
        <w:jc w:val="both"/>
        <w:rPr>
          <w:rFonts w:ascii="Arial" w:hAnsi="Arial" w:eastAsia="Calibri" w:cs="Arial"/>
        </w:rPr>
      </w:pPr>
      <w:r>
        <w:rPr>
          <w:rFonts w:ascii="Arial" w:hAnsi="Arial" w:eastAsia="Calibri" w:cs="Arial"/>
          <w:b/>
        </w:rPr>
        <w:t xml:space="preserve">3.2. </w:t>
      </w:r>
      <w:r>
        <w:rPr>
          <w:rFonts w:ascii="Arial" w:hAnsi="Arial" w:eastAsia="Calibri" w:cs="Arial"/>
        </w:rPr>
        <w:t>A declaração falsa relativa ao cumprimento dos requisitos de habilitação e proposta sujeitará o licitante às sanções previstas neste Edital e nas demais cominações legais;</w:t>
      </w:r>
    </w:p>
    <w:p>
      <w:pPr>
        <w:pStyle w:val="31"/>
        <w:widowControl w:val="0"/>
        <w:tabs>
          <w:tab w:val="clear" w:pos="4419"/>
          <w:tab w:val="clear" w:pos="8838"/>
        </w:tabs>
        <w:spacing w:after="120"/>
        <w:ind w:right="146" w:rightChars="61"/>
        <w:rPr>
          <w:rFonts w:ascii="Arial" w:hAnsi="Arial" w:cs="Arial"/>
          <w:szCs w:val="24"/>
        </w:rPr>
      </w:pPr>
      <w:r>
        <w:rPr>
          <w:rFonts w:ascii="Arial" w:hAnsi="Arial" w:cs="Arial"/>
          <w:b/>
          <w:szCs w:val="24"/>
        </w:rPr>
        <w:t xml:space="preserve">3.2.1. </w:t>
      </w:r>
      <w:r>
        <w:rPr>
          <w:rFonts w:ascii="Arial" w:hAnsi="Arial" w:cs="Arial"/>
          <w:szCs w:val="24"/>
        </w:rPr>
        <w:t xml:space="preserve">Em relação aos itens com valor total </w:t>
      </w:r>
      <w:r>
        <w:rPr>
          <w:rFonts w:ascii="Arial" w:hAnsi="Arial" w:cs="Arial"/>
          <w:b/>
          <w:bCs/>
          <w:szCs w:val="24"/>
          <w:u w:val="single"/>
        </w:rPr>
        <w:t xml:space="preserve">superior </w:t>
      </w:r>
      <w:r>
        <w:rPr>
          <w:rFonts w:ascii="Arial" w:hAnsi="Arial" w:cs="Arial"/>
          <w:szCs w:val="24"/>
        </w:rPr>
        <w:t xml:space="preserve">a R$ 80.000,00 (oitenta mil reais), estes são de ampla participação, já os itens com valor total </w:t>
      </w:r>
      <w:r>
        <w:rPr>
          <w:rFonts w:ascii="Arial" w:hAnsi="Arial" w:cs="Arial"/>
          <w:b/>
          <w:bCs/>
          <w:szCs w:val="24"/>
          <w:u w:val="single"/>
        </w:rPr>
        <w:t>até</w:t>
      </w:r>
      <w:r>
        <w:rPr>
          <w:rFonts w:ascii="Arial" w:hAnsi="Arial" w:cs="Arial"/>
          <w:szCs w:val="24"/>
        </w:rPr>
        <w:t xml:space="preserve"> R$ 80.000,00 (oitenta mil reais) são de participação exclusiva para empresas que se enquadram como ME e EPP – conforme determina a Lei complementar n° 123/06.</w:t>
      </w:r>
    </w:p>
    <w:p>
      <w:pPr>
        <w:pStyle w:val="57"/>
        <w:widowControl w:val="0"/>
        <w:tabs>
          <w:tab w:val="left" w:pos="0"/>
          <w:tab w:val="left" w:pos="426"/>
          <w:tab w:val="left" w:pos="993"/>
        </w:tabs>
        <w:spacing w:after="120"/>
        <w:jc w:val="both"/>
        <w:rPr>
          <w:rFonts w:ascii="Arial" w:hAnsi="Arial" w:eastAsia="Calibri" w:cs="Arial"/>
        </w:rPr>
      </w:pPr>
      <w:r>
        <w:rPr>
          <w:rFonts w:ascii="Arial" w:hAnsi="Arial" w:eastAsia="Calibri" w:cs="Arial"/>
          <w:b/>
        </w:rPr>
        <w:t xml:space="preserve">3.3. </w:t>
      </w:r>
      <w:r>
        <w:rPr>
          <w:rFonts w:ascii="Arial" w:hAnsi="Arial" w:eastAsia="Calibri" w:cs="Arial"/>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7"/>
        <w:widowControl w:val="0"/>
        <w:tabs>
          <w:tab w:val="left" w:pos="0"/>
          <w:tab w:val="left" w:pos="426"/>
          <w:tab w:val="left" w:pos="993"/>
        </w:tabs>
        <w:spacing w:after="120"/>
        <w:jc w:val="both"/>
        <w:rPr>
          <w:rFonts w:ascii="Arial" w:hAnsi="Arial" w:eastAsia="Calibri" w:cs="Arial"/>
        </w:rPr>
      </w:pPr>
      <w:r>
        <w:rPr>
          <w:rFonts w:ascii="Arial" w:hAnsi="Arial" w:eastAsia="Calibri" w:cs="Arial"/>
          <w:b/>
        </w:rPr>
        <w:t xml:space="preserve">3.4. </w:t>
      </w:r>
      <w:r>
        <w:rPr>
          <w:rFonts w:ascii="Arial" w:hAnsi="Arial" w:eastAsia="Calibri" w:cs="Arial"/>
        </w:rPr>
        <w:t>A participação na licitação implica, automaticamente, aceitação integral dos termos deste Edital e seus Anexos e Leis aplicáveis;</w:t>
      </w:r>
    </w:p>
    <w:p>
      <w:pPr>
        <w:pStyle w:val="57"/>
        <w:widowControl w:val="0"/>
        <w:tabs>
          <w:tab w:val="left" w:pos="0"/>
          <w:tab w:val="left" w:pos="426"/>
          <w:tab w:val="left" w:pos="993"/>
        </w:tabs>
        <w:spacing w:after="120"/>
        <w:jc w:val="both"/>
        <w:rPr>
          <w:rFonts w:ascii="Arial" w:hAnsi="Arial" w:eastAsia="Calibri" w:cs="Arial"/>
        </w:rPr>
      </w:pPr>
      <w:r>
        <w:rPr>
          <w:rFonts w:ascii="Arial" w:hAnsi="Arial" w:eastAsia="Calibri" w:cs="Arial"/>
          <w:b/>
        </w:rPr>
        <w:t xml:space="preserve">3.5. </w:t>
      </w:r>
      <w:r>
        <w:rPr>
          <w:rFonts w:ascii="Arial" w:hAnsi="Arial" w:eastAsia="Calibri" w:cs="Arial"/>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7"/>
        <w:widowControl w:val="0"/>
        <w:tabs>
          <w:tab w:val="left" w:pos="0"/>
          <w:tab w:val="left" w:pos="426"/>
          <w:tab w:val="left" w:pos="993"/>
        </w:tabs>
        <w:spacing w:after="120"/>
        <w:jc w:val="both"/>
        <w:rPr>
          <w:rFonts w:ascii="Arial" w:hAnsi="Arial" w:eastAsia="Calibri" w:cs="Arial"/>
        </w:rPr>
      </w:pPr>
      <w:r>
        <w:rPr>
          <w:rFonts w:ascii="Arial" w:hAnsi="Arial" w:eastAsia="Calibri" w:cs="Arial"/>
          <w:b/>
        </w:rPr>
        <w:t>3.6.</w:t>
      </w:r>
      <w:r>
        <w:rPr>
          <w:rFonts w:ascii="Arial" w:hAnsi="Arial" w:eastAsia="Calibri" w:cs="Arial"/>
        </w:rPr>
        <w:t xml:space="preserve"> Não poderão participar deste </w:t>
      </w:r>
      <w:r>
        <w:rPr>
          <w:rFonts w:ascii="Arial" w:hAnsi="Arial" w:eastAsia="Calibri" w:cs="Arial"/>
          <w:b/>
        </w:rPr>
        <w:t>Pregão:</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3.6.1. </w:t>
      </w:r>
      <w:r>
        <w:rPr>
          <w:rFonts w:ascii="Arial" w:hAnsi="Arial" w:cs="Arial"/>
          <w:color w:val="000000"/>
          <w:szCs w:val="24"/>
        </w:rPr>
        <w:t>Licitante suspenso de participar de licitação e impedido de contratar com o Município, durante o prazo da sanção aplicada;</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3.6.2.</w:t>
      </w:r>
      <w:r>
        <w:rPr>
          <w:rFonts w:ascii="Arial" w:hAnsi="Arial" w:cs="Arial"/>
          <w:color w:val="000000"/>
          <w:szCs w:val="24"/>
        </w:rPr>
        <w:t xml:space="preserve"> Licitante declarado inidôneo para licitar ou contratar com a Administração Pública, enquanto perdurarem os motivos determinantes da punição ou até que seja promovida sua reabilitação;</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3.6.3. </w:t>
      </w:r>
      <w:r>
        <w:rPr>
          <w:rFonts w:ascii="Arial" w:hAnsi="Arial" w:cs="Arial"/>
          <w:color w:val="000000"/>
          <w:szCs w:val="24"/>
        </w:rPr>
        <w:t>Licitante impedido de licitar e contratar com a União e Estado, durante o prazo da sanção aplicada;</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3.6.4. </w:t>
      </w:r>
      <w:r>
        <w:rPr>
          <w:rFonts w:ascii="Arial" w:hAnsi="Arial" w:cs="Arial"/>
          <w:color w:val="000000"/>
          <w:szCs w:val="24"/>
        </w:rPr>
        <w:t xml:space="preserve">Empresário proibido de contratar com o Poder Público, em razão do disposto no art.72, § 8º, V, da Lei nº 9.605/98; </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3.6.5. </w:t>
      </w:r>
      <w:r>
        <w:rPr>
          <w:rFonts w:ascii="Arial" w:hAnsi="Arial" w:cs="Arial"/>
          <w:color w:val="000000"/>
          <w:szCs w:val="24"/>
        </w:rPr>
        <w:t>Licitante proibido de contratar com o Poder Público, nos termos do art. 12 da Lei nº 8.429/92;</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3.6.6. </w:t>
      </w:r>
      <w:r>
        <w:rPr>
          <w:rFonts w:ascii="Arial" w:hAnsi="Arial" w:cs="Arial"/>
          <w:color w:val="000000"/>
          <w:szCs w:val="24"/>
        </w:rPr>
        <w:t>Quaisquer interessados enquadrados nas vedações previstas no art. 9º da Lei nº 8.666/93;</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3.6.7. </w:t>
      </w:r>
      <w:r>
        <w:rPr>
          <w:rFonts w:ascii="Arial" w:hAnsi="Arial" w:cs="Arial"/>
          <w:color w:val="000000"/>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3.6.8. </w:t>
      </w:r>
      <w:r>
        <w:rPr>
          <w:rFonts w:ascii="Arial" w:hAnsi="Arial" w:cs="Arial"/>
          <w:color w:val="000000"/>
          <w:szCs w:val="24"/>
        </w:rPr>
        <w:t>Sociedade estrangeira não autorizada a funcionar no País;</w:t>
      </w:r>
    </w:p>
    <w:p>
      <w:pPr>
        <w:pStyle w:val="31"/>
        <w:widowControl w:val="0"/>
        <w:tabs>
          <w:tab w:val="left" w:pos="142"/>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3.6.9. </w:t>
      </w:r>
      <w:r>
        <w:rPr>
          <w:rFonts w:ascii="Arial" w:hAnsi="Arial" w:cs="Arial"/>
          <w:color w:val="000000"/>
          <w:szCs w:val="24"/>
        </w:rPr>
        <w:t xml:space="preserve">Licitante cujo estatuto ou contrato social não seja pertinente e compatível com o objeto deste </w:t>
      </w:r>
      <w:r>
        <w:rPr>
          <w:rFonts w:ascii="Arial" w:hAnsi="Arial" w:cs="Arial"/>
          <w:b/>
          <w:color w:val="000000"/>
          <w:szCs w:val="24"/>
        </w:rPr>
        <w:t>Pregão</w:t>
      </w:r>
      <w:r>
        <w:rPr>
          <w:rFonts w:ascii="Arial" w:hAnsi="Arial" w:cs="Arial"/>
          <w:color w:val="000000"/>
          <w:szCs w:val="24"/>
        </w:rPr>
        <w:t>;</w:t>
      </w:r>
    </w:p>
    <w:p>
      <w:pPr>
        <w:pStyle w:val="31"/>
        <w:widowControl w:val="0"/>
        <w:tabs>
          <w:tab w:val="left" w:pos="142"/>
          <w:tab w:val="left" w:pos="851"/>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3.6.10. </w:t>
      </w:r>
      <w:r>
        <w:rPr>
          <w:rFonts w:ascii="Arial" w:hAnsi="Arial" w:cs="Arial"/>
          <w:color w:val="000000"/>
          <w:szCs w:val="24"/>
        </w:rPr>
        <w:t>Licitante que se encontre em processo de dissolução, falência, concordata, fusão, cisão, ou incorporação;</w:t>
      </w:r>
    </w:p>
    <w:p>
      <w:pPr>
        <w:pStyle w:val="31"/>
        <w:widowControl w:val="0"/>
        <w:tabs>
          <w:tab w:val="left" w:pos="142"/>
          <w:tab w:val="left" w:pos="709"/>
          <w:tab w:val="left" w:pos="993"/>
          <w:tab w:val="left" w:pos="1276"/>
          <w:tab w:val="clear" w:pos="4419"/>
          <w:tab w:val="clear" w:pos="8838"/>
        </w:tabs>
        <w:spacing w:after="120"/>
        <w:ind w:left="478" w:leftChars="199" w:right="240" w:rightChars="100"/>
        <w:rPr>
          <w:rFonts w:ascii="Arial" w:hAnsi="Arial" w:cs="Arial"/>
          <w:color w:val="000000"/>
          <w:szCs w:val="24"/>
        </w:rPr>
      </w:pPr>
      <w:r>
        <w:rPr>
          <w:rFonts w:ascii="Arial" w:hAnsi="Arial" w:cs="Arial"/>
          <w:b/>
          <w:color w:val="000000"/>
          <w:szCs w:val="24"/>
        </w:rPr>
        <w:t xml:space="preserve">3.6.11. </w:t>
      </w:r>
      <w:r>
        <w:rPr>
          <w:rFonts w:ascii="Arial" w:hAnsi="Arial" w:cs="Arial"/>
          <w:color w:val="000000"/>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1"/>
        <w:widowControl w:val="0"/>
        <w:tabs>
          <w:tab w:val="left" w:pos="-2410"/>
          <w:tab w:val="left" w:pos="-1701"/>
          <w:tab w:val="left" w:pos="142"/>
          <w:tab w:val="left" w:pos="851"/>
          <w:tab w:val="left" w:pos="1276"/>
          <w:tab w:val="clear" w:pos="4419"/>
          <w:tab w:val="clear" w:pos="8838"/>
        </w:tabs>
        <w:spacing w:after="120"/>
        <w:ind w:left="478" w:leftChars="199"/>
        <w:rPr>
          <w:rFonts w:ascii="Arial" w:hAnsi="Arial" w:eastAsia="Calibri" w:cs="Arial"/>
          <w:color w:val="000000"/>
        </w:rPr>
      </w:pPr>
      <w:r>
        <w:rPr>
          <w:rFonts w:ascii="Arial" w:hAnsi="Arial" w:eastAsia="Calibri" w:cs="Arial"/>
          <w:b/>
        </w:rPr>
        <w:t xml:space="preserve">3.6.12. </w:t>
      </w:r>
      <w:r>
        <w:rPr>
          <w:rFonts w:ascii="Arial" w:hAnsi="Arial" w:eastAsia="Calibri" w:cs="Arial"/>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1"/>
        <w:widowControl w:val="0"/>
        <w:tabs>
          <w:tab w:val="left" w:pos="-2410"/>
          <w:tab w:val="left" w:pos="-1701"/>
          <w:tab w:val="left" w:pos="142"/>
          <w:tab w:val="left" w:pos="851"/>
          <w:tab w:val="left" w:pos="1276"/>
          <w:tab w:val="clear" w:pos="4419"/>
          <w:tab w:val="clear" w:pos="8838"/>
        </w:tabs>
        <w:spacing w:after="120"/>
        <w:ind w:left="478" w:leftChars="199"/>
        <w:rPr>
          <w:rFonts w:ascii="Arial" w:hAnsi="Arial" w:eastAsia="Calibri" w:cs="Arial"/>
          <w:color w:val="000000"/>
        </w:rPr>
      </w:pPr>
      <w:r>
        <w:rPr>
          <w:rFonts w:ascii="Arial" w:hAnsi="Arial" w:eastAsia="Calibri" w:cs="Arial"/>
          <w:b/>
          <w:color w:val="000000"/>
        </w:rPr>
        <w:t xml:space="preserve">3.6.13. </w:t>
      </w:r>
      <w:r>
        <w:rPr>
          <w:rFonts w:ascii="Arial" w:hAnsi="Arial" w:eastAsia="Calibri" w:cs="Arial"/>
          <w:color w:val="000000"/>
        </w:rPr>
        <w:t>Não poderão participar do presente certame empresas que estejam incluídas, como inidôneas, em um dos cadastros abaixo:</w:t>
      </w:r>
    </w:p>
    <w:p>
      <w:pPr>
        <w:pStyle w:val="103"/>
        <w:widowControl w:val="0"/>
        <w:numPr>
          <w:ilvl w:val="0"/>
          <w:numId w:val="7"/>
        </w:numPr>
        <w:tabs>
          <w:tab w:val="left" w:pos="-2410"/>
          <w:tab w:val="left" w:pos="-1701"/>
          <w:tab w:val="left" w:pos="426"/>
          <w:tab w:val="left" w:pos="1418"/>
          <w:tab w:val="clear" w:pos="425"/>
        </w:tabs>
        <w:autoSpaceDE w:val="0"/>
        <w:autoSpaceDN w:val="0"/>
        <w:adjustRightInd w:val="0"/>
        <w:ind w:left="584" w:firstLine="17"/>
        <w:jc w:val="both"/>
        <w:rPr>
          <w:rFonts w:ascii="Arial" w:hAnsi="Arial" w:eastAsia="Calibri" w:cs="Arial"/>
          <w:color w:val="000000"/>
        </w:rPr>
      </w:pPr>
      <w:r>
        <w:rPr>
          <w:rFonts w:ascii="Arial" w:hAnsi="Arial" w:eastAsia="Calibri" w:cs="Arial"/>
          <w:color w:val="000000"/>
        </w:rPr>
        <w:t>Cadastro Nacional de Empresas Inidôneas e Suspensas – CEIS da Controladoria Geral da União (</w:t>
      </w:r>
      <w:r>
        <w:fldChar w:fldCharType="begin"/>
      </w:r>
      <w:r>
        <w:instrText xml:space="preserve"> HYPERLINK "http://www.portaltransparencia.gov.br/sancoes/ceis?ordenarPor=nome&amp;direcao=asc" </w:instrText>
      </w:r>
      <w:r>
        <w:fldChar w:fldCharType="separate"/>
      </w:r>
      <w:r>
        <w:rPr>
          <w:rStyle w:val="18"/>
          <w:rFonts w:ascii="Arial" w:hAnsi="Arial" w:eastAsia="Calibri" w:cs="Arial"/>
        </w:rPr>
        <w:t>http://www.portaltransparencia.gov.br/sancoes/ceis?ordenarPor=nome&amp;direcao=asc</w:t>
      </w:r>
      <w:r>
        <w:rPr>
          <w:rStyle w:val="18"/>
          <w:rFonts w:ascii="Arial" w:hAnsi="Arial" w:eastAsia="Calibri" w:cs="Arial"/>
        </w:rPr>
        <w:fldChar w:fldCharType="end"/>
      </w:r>
      <w:r>
        <w:rPr>
          <w:rFonts w:ascii="Arial" w:hAnsi="Arial" w:eastAsia="Calibri" w:cs="Arial"/>
          <w:color w:val="000000"/>
        </w:rPr>
        <w:t>)</w:t>
      </w:r>
    </w:p>
    <w:p>
      <w:pPr>
        <w:pStyle w:val="103"/>
        <w:widowControl w:val="0"/>
        <w:numPr>
          <w:ilvl w:val="0"/>
          <w:numId w:val="7"/>
        </w:numPr>
        <w:tabs>
          <w:tab w:val="left" w:pos="-2410"/>
          <w:tab w:val="left" w:pos="-1701"/>
          <w:tab w:val="left" w:pos="426"/>
          <w:tab w:val="left" w:pos="1418"/>
          <w:tab w:val="clear" w:pos="425"/>
        </w:tabs>
        <w:autoSpaceDE w:val="0"/>
        <w:autoSpaceDN w:val="0"/>
        <w:adjustRightInd w:val="0"/>
        <w:ind w:left="584" w:firstLine="17"/>
        <w:jc w:val="both"/>
        <w:rPr>
          <w:rFonts w:ascii="Arial" w:hAnsi="Arial" w:eastAsia="Calibri" w:cs="Arial"/>
          <w:color w:val="000000"/>
        </w:rPr>
      </w:pPr>
      <w:r>
        <w:rPr>
          <w:rFonts w:ascii="Arial" w:hAnsi="Arial" w:eastAsia="Calibri" w:cs="Arial"/>
          <w:color w:val="000000"/>
        </w:rPr>
        <w:t>Cadastro de Licitantes Inidôneos do Tribunal de Contas da União (</w:t>
      </w:r>
      <w:r>
        <w:fldChar w:fldCharType="begin"/>
      </w:r>
      <w:r>
        <w:instrText xml:space="preserve"> HYPERLINK "https://contas.tcu.gov.br/ords/f?p=INABILITADO:INIDONEOS" </w:instrText>
      </w:r>
      <w:r>
        <w:fldChar w:fldCharType="separate"/>
      </w:r>
      <w:r>
        <w:rPr>
          <w:rStyle w:val="18"/>
          <w:rFonts w:ascii="Arial" w:hAnsi="Arial" w:eastAsia="Calibri" w:cs="Arial"/>
        </w:rPr>
        <w:t>https://contas.tcu.gov.br/ords/f?p=INABILITADO:INIDONEOS</w:t>
      </w:r>
      <w:r>
        <w:rPr>
          <w:rStyle w:val="18"/>
          <w:rFonts w:ascii="Arial" w:hAnsi="Arial" w:eastAsia="Calibri" w:cs="Arial"/>
        </w:rPr>
        <w:fldChar w:fldCharType="end"/>
      </w:r>
      <w:r>
        <w:rPr>
          <w:rFonts w:ascii="Arial" w:hAnsi="Arial" w:eastAsia="Calibri" w:cs="Arial"/>
          <w:color w:val="000000"/>
        </w:rPr>
        <w:t>)</w:t>
      </w:r>
    </w:p>
    <w:p>
      <w:pPr>
        <w:pStyle w:val="103"/>
        <w:widowControl w:val="0"/>
        <w:tabs>
          <w:tab w:val="left" w:pos="-2410"/>
          <w:tab w:val="left" w:pos="-1701"/>
          <w:tab w:val="left" w:pos="426"/>
          <w:tab w:val="left" w:pos="1418"/>
        </w:tabs>
        <w:autoSpaceDE w:val="0"/>
        <w:autoSpaceDN w:val="0"/>
        <w:adjustRightInd w:val="0"/>
        <w:spacing w:after="120"/>
        <w:ind w:left="0"/>
        <w:jc w:val="both"/>
        <w:rPr>
          <w:rFonts w:ascii="Arial" w:hAnsi="Arial" w:eastAsia="Calibri" w:cs="Arial"/>
        </w:rPr>
      </w:pPr>
    </w:p>
    <w:p>
      <w:pPr>
        <w:pStyle w:val="103"/>
        <w:widowControl w:val="0"/>
        <w:numPr>
          <w:ilvl w:val="0"/>
          <w:numId w:val="7"/>
        </w:numPr>
        <w:tabs>
          <w:tab w:val="left" w:pos="-2410"/>
          <w:tab w:val="left" w:pos="-1701"/>
          <w:tab w:val="left" w:pos="426"/>
          <w:tab w:val="left" w:pos="1418"/>
          <w:tab w:val="clear" w:pos="425"/>
        </w:tabs>
        <w:autoSpaceDE w:val="0"/>
        <w:autoSpaceDN w:val="0"/>
        <w:adjustRightInd w:val="0"/>
        <w:spacing w:before="120" w:beforeLines="50" w:after="120"/>
        <w:ind w:left="584" w:firstLine="17"/>
        <w:jc w:val="both"/>
        <w:rPr>
          <w:rFonts w:ascii="Arial" w:hAnsi="Arial" w:eastAsia="Calibri"/>
          <w:b/>
        </w:rPr>
      </w:pPr>
      <w:r>
        <w:rPr>
          <w:rFonts w:ascii="Arial" w:hAnsi="Arial" w:eastAsia="Calibri" w:cs="Arial"/>
          <w:color w:val="000000"/>
        </w:rPr>
        <w:t>Cadastro Nacional de Condenações Cíveis por Improbidade Administrativa do Conselho Nacional Justiça (</w:t>
      </w:r>
      <w:r>
        <w:fldChar w:fldCharType="begin"/>
      </w:r>
      <w:r>
        <w:instrText xml:space="preserve"> HYPERLINK "http://www.cnj.jus.br/improbidade_adm/consultar_requerido.php" </w:instrText>
      </w:r>
      <w:r>
        <w:fldChar w:fldCharType="separate"/>
      </w:r>
      <w:r>
        <w:rPr>
          <w:rStyle w:val="18"/>
          <w:rFonts w:ascii="Arial" w:hAnsi="Arial" w:eastAsia="Calibri" w:cs="Arial"/>
        </w:rPr>
        <w:t>http://www.cnj.jus.br/improbidade_adm/consultar_requerido.php</w:t>
      </w:r>
      <w:r>
        <w:rPr>
          <w:rStyle w:val="18"/>
          <w:rFonts w:ascii="Arial" w:hAnsi="Arial" w:eastAsia="Calibri" w:cs="Arial"/>
        </w:rPr>
        <w:fldChar w:fldCharType="end"/>
      </w:r>
      <w:r>
        <w:rPr>
          <w:rFonts w:ascii="Arial" w:hAnsi="Arial" w:eastAsia="Calibri" w:cs="Arial"/>
          <w:color w:val="000000"/>
        </w:rPr>
        <w:t>);</w:t>
      </w:r>
    </w:p>
    <w:p>
      <w:pPr>
        <w:pStyle w:val="31"/>
        <w:widowControl w:val="0"/>
        <w:tabs>
          <w:tab w:val="left" w:pos="-2410"/>
          <w:tab w:val="left" w:pos="-1701"/>
          <w:tab w:val="left" w:pos="142"/>
          <w:tab w:val="left" w:pos="426"/>
          <w:tab w:val="clear" w:pos="4419"/>
          <w:tab w:val="clear" w:pos="8838"/>
        </w:tabs>
        <w:spacing w:after="120"/>
        <w:rPr>
          <w:rFonts w:ascii="Arial" w:hAnsi="Arial" w:eastAsia="Calibri"/>
          <w:color w:val="000000"/>
        </w:rPr>
      </w:pPr>
      <w:r>
        <w:rPr>
          <w:rFonts w:ascii="Arial" w:hAnsi="Arial" w:eastAsia="Calibri"/>
          <w:b/>
        </w:rPr>
        <w:t>3.7.</w:t>
      </w:r>
      <w:r>
        <w:rPr>
          <w:rFonts w:ascii="Arial" w:hAnsi="Arial" w:eastAsia="Calibri"/>
        </w:rPr>
        <w:t xml:space="preserve"> </w:t>
      </w:r>
      <w:r>
        <w:rPr>
          <w:rFonts w:ascii="Arial" w:hAnsi="Arial" w:eastAsia="Calibri"/>
          <w:color w:val="000000"/>
        </w:rPr>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Pr>
          <w:rFonts w:ascii="Arial" w:hAnsi="Arial" w:eastAsia="Calibri"/>
          <w:b/>
          <w:color w:val="000000"/>
        </w:rPr>
        <w:t>licitante Microempresa - ME ou Empresa de Pequeno Porte – EPP optante pelo Simples Nacional</w:t>
      </w:r>
      <w:r>
        <w:rPr>
          <w:rFonts w:ascii="Arial" w:hAnsi="Arial" w:eastAsia="Calibri"/>
          <w:color w:val="000000"/>
        </w:rPr>
        <w:t xml:space="preserve">, que, porventura venha a ser contratada, não poderá se beneficiar da condição de optante e estará sujeita à retenção na fonte de tributos e contribuições sociais, na forma da legislação em vigor, </w:t>
      </w:r>
      <w:r>
        <w:rPr>
          <w:rFonts w:ascii="Arial" w:hAnsi="Arial" w:eastAsia="Calibri"/>
          <w:b/>
          <w:color w:val="000000"/>
        </w:rPr>
        <w:t>em decorrência da sua exclusão obrigatória do Simples Nacional a contar do mês seguinte ao da contratação</w:t>
      </w:r>
      <w:r>
        <w:rPr>
          <w:rFonts w:ascii="Arial" w:hAnsi="Arial" w:eastAsia="Calibri"/>
          <w:color w:val="000000"/>
        </w:rPr>
        <w:t xml:space="preserve"> em consequência do que dispõem o arts. 17, inciso XII, 30, inciso II e 31, inciso II, da Lei Complementar nº 123, de 14 de dezembro de 2006 e alterações;</w:t>
      </w:r>
    </w:p>
    <w:p>
      <w:pPr>
        <w:pStyle w:val="31"/>
        <w:widowControl w:val="0"/>
        <w:tabs>
          <w:tab w:val="left" w:pos="705"/>
          <w:tab w:val="left" w:pos="993"/>
          <w:tab w:val="left" w:pos="1985"/>
          <w:tab w:val="left" w:pos="2268"/>
          <w:tab w:val="left" w:pos="2410"/>
          <w:tab w:val="clear" w:pos="4419"/>
          <w:tab w:val="clear" w:pos="8838"/>
        </w:tabs>
        <w:spacing w:after="120"/>
        <w:rPr>
          <w:rFonts w:ascii="Arial" w:hAnsi="Arial" w:eastAsia="Calibri"/>
          <w:color w:val="000000"/>
        </w:rPr>
      </w:pPr>
      <w:r>
        <w:rPr>
          <w:rFonts w:ascii="Arial" w:hAnsi="Arial" w:eastAsia="Calibri"/>
          <w:b/>
          <w:color w:val="000000"/>
        </w:rPr>
        <w:t xml:space="preserve">3.8. </w:t>
      </w:r>
      <w:r>
        <w:rPr>
          <w:rFonts w:ascii="Arial" w:hAnsi="Arial" w:eastAsia="Calibri"/>
          <w:color w:val="000000"/>
        </w:rPr>
        <w:t xml:space="preserve">A </w:t>
      </w:r>
      <w:r>
        <w:rPr>
          <w:rFonts w:ascii="Arial" w:hAnsi="Arial" w:eastAsia="Calibri"/>
          <w:b/>
          <w:color w:val="000000"/>
        </w:rPr>
        <w:t>licitante optante pelo Simples Nacional</w:t>
      </w:r>
      <w:r>
        <w:rPr>
          <w:rFonts w:ascii="Arial" w:hAnsi="Arial" w:eastAsia="Calibri"/>
          <w:color w:val="000000"/>
        </w:rPr>
        <w:t xml:space="preserve">, que, porventura venha a ser contratada, após a assinatura do contrato, no prazo de 90 (noventa) dias,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 Municipal, no prazo previsto no inciso II do § 1º do artigo 30 da Lei Complementar nº 123, de 14 de dezembro de 2006 e alterações. </w:t>
      </w:r>
    </w:p>
    <w:p>
      <w:pPr>
        <w:pStyle w:val="31"/>
        <w:widowControl w:val="0"/>
        <w:tabs>
          <w:tab w:val="left" w:pos="567"/>
          <w:tab w:val="left" w:pos="705"/>
          <w:tab w:val="left" w:pos="993"/>
          <w:tab w:val="left" w:pos="1985"/>
          <w:tab w:val="left" w:pos="2268"/>
          <w:tab w:val="left" w:pos="2410"/>
          <w:tab w:val="clear" w:pos="4419"/>
          <w:tab w:val="clear" w:pos="8838"/>
        </w:tabs>
        <w:spacing w:after="120"/>
        <w:ind w:left="478" w:leftChars="199"/>
        <w:rPr>
          <w:rFonts w:ascii="Arial" w:hAnsi="Arial" w:eastAsia="Calibri"/>
          <w:color w:val="000000"/>
        </w:rPr>
      </w:pPr>
      <w:r>
        <w:rPr>
          <w:rFonts w:ascii="Arial" w:hAnsi="Arial" w:eastAsia="Calibri"/>
          <w:b/>
          <w:color w:val="000000"/>
        </w:rPr>
        <w:t xml:space="preserve">3.8.1. </w:t>
      </w:r>
      <w:r>
        <w:rPr>
          <w:rFonts w:ascii="Arial" w:hAnsi="Arial" w:eastAsia="Calibri"/>
          <w:color w:val="000000"/>
        </w:rPr>
        <w:t>A vedação de realizar cessão ou locação de mão de obra não se aplica às atividades de que trata o art. 18, § 5º-C, da Lei Complementar nº 123, de 14 de dezembro de 2006 e alterações, conforme dispõe o art. 18, § 5º-H, da mesma Lei Complementar, desde que não exercidas cumulativamente com atividades vedadas.</w:t>
      </w:r>
    </w:p>
    <w:p>
      <w:pPr>
        <w:tabs>
          <w:tab w:val="left" w:pos="2160"/>
        </w:tabs>
        <w:spacing w:before="120" w:beforeLines="50"/>
        <w:jc w:val="both"/>
        <w:rPr>
          <w:rFonts w:ascii="Arial" w:hAnsi="Arial" w:eastAsia="Calibri"/>
        </w:rPr>
      </w:pPr>
      <w:r>
        <w:rPr>
          <w:rFonts w:ascii="Arial" w:hAnsi="Arial" w:eastAsia="Calibri"/>
          <w:b/>
        </w:rPr>
        <w:t xml:space="preserve">3.9. </w:t>
      </w:r>
      <w:r>
        <w:rPr>
          <w:rFonts w:ascii="Arial" w:hAnsi="Arial" w:eastAsia="Calibri"/>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spacing w:before="120" w:beforeLines="50"/>
        <w:jc w:val="both"/>
        <w:rPr>
          <w:rFonts w:ascii="Arial" w:hAnsi="Arial" w:eastAsia="Calibri"/>
        </w:rPr>
      </w:pPr>
      <w:r>
        <w:rPr>
          <w:rFonts w:ascii="Arial" w:hAnsi="Arial" w:eastAsia="Calibri"/>
          <w:b/>
        </w:rPr>
        <w:t>a)</w:t>
      </w:r>
      <w:r>
        <w:rPr>
          <w:rFonts w:ascii="Arial" w:hAnsi="Arial" w:eastAsia="Calibri"/>
        </w:rPr>
        <w:t xml:space="preserve"> O custo de operacionalização pelo uso da Plataforma de Pregão Eletrônico, a título de remuneração pela utilização dos recursos da tecnologia da informação ficará a cargo do licitante.</w:t>
      </w:r>
    </w:p>
    <w:p>
      <w:pPr>
        <w:spacing w:before="120" w:beforeLines="50"/>
        <w:jc w:val="both"/>
        <w:rPr>
          <w:rFonts w:ascii="Arial" w:hAnsi="Arial" w:eastAsia="Calibri"/>
        </w:rPr>
      </w:pPr>
      <w:r>
        <w:rPr>
          <w:rFonts w:ascii="Arial" w:hAnsi="Arial" w:eastAsia="Calibri"/>
          <w:b/>
        </w:rPr>
        <w:t xml:space="preserve">b) </w:t>
      </w:r>
      <w:r>
        <w:rPr>
          <w:rFonts w:ascii="Arial" w:hAnsi="Arial" w:eastAsia="Calibri"/>
        </w:rPr>
        <w:t>O referido pagamento/remuneração possui amparo legal no inciso III do art. 5º da Lei nº 10.520/02.</w:t>
      </w:r>
    </w:p>
    <w:p>
      <w:pPr>
        <w:tabs>
          <w:tab w:val="left" w:pos="2160"/>
        </w:tabs>
        <w:spacing w:before="120" w:beforeLines="50"/>
        <w:ind w:right="240" w:rightChars="100"/>
        <w:jc w:val="both"/>
        <w:rPr>
          <w:rFonts w:ascii="Arial" w:hAnsi="Arial" w:cs="Arial"/>
          <w:szCs w:val="24"/>
        </w:rPr>
      </w:pPr>
      <w:r>
        <w:rPr>
          <w:rFonts w:ascii="Arial" w:hAnsi="Arial" w:cs="Arial"/>
          <w:b/>
          <w:szCs w:val="24"/>
        </w:rPr>
        <w:t xml:space="preserve">3.10. </w:t>
      </w:r>
      <w:r>
        <w:rPr>
          <w:rFonts w:ascii="Arial" w:hAnsi="Arial" w:cs="Arial"/>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spacing w:before="120" w:beforeLines="50"/>
        <w:ind w:right="240" w:rightChars="100"/>
        <w:jc w:val="both"/>
        <w:rPr>
          <w:rFonts w:ascii="Arial" w:hAnsi="Arial" w:cs="Arial"/>
          <w:szCs w:val="24"/>
        </w:rPr>
      </w:pPr>
      <w:r>
        <w:rPr>
          <w:rFonts w:ascii="Arial" w:hAnsi="Arial" w:cs="Arial"/>
          <w:b/>
          <w:szCs w:val="24"/>
        </w:rPr>
        <w:t>a)</w:t>
      </w:r>
      <w:r>
        <w:rPr>
          <w:rFonts w:ascii="Arial" w:hAnsi="Arial" w:cs="Arial"/>
          <w:szCs w:val="24"/>
        </w:rPr>
        <w:t xml:space="preserve"> O custo de operacionalização pelo uso da Plataforma de Pregão Eletrônico, a título de remuneração pela utilização dos recursos da tecnologia da informação ficará a cargo do licitante, que poderá ser obtido através do site: </w:t>
      </w:r>
      <w:r>
        <w:fldChar w:fldCharType="begin"/>
      </w:r>
      <w:r>
        <w:instrText xml:space="preserve"> HYPERLINK "https://licitanet.com.br/" </w:instrText>
      </w:r>
      <w:r>
        <w:fldChar w:fldCharType="separate"/>
      </w:r>
      <w:r>
        <w:rPr>
          <w:rStyle w:val="18"/>
          <w:rFonts w:ascii="Arial" w:hAnsi="Arial" w:cs="Arial"/>
          <w:szCs w:val="24"/>
        </w:rPr>
        <w:t>https://licitanet.com.br/</w:t>
      </w:r>
      <w:r>
        <w:rPr>
          <w:rStyle w:val="18"/>
          <w:rFonts w:ascii="Arial" w:hAnsi="Arial" w:cs="Arial"/>
          <w:szCs w:val="24"/>
        </w:rPr>
        <w:fldChar w:fldCharType="end"/>
      </w:r>
      <w:r>
        <w:rPr>
          <w:rFonts w:ascii="Arial" w:hAnsi="Arial" w:cs="Arial"/>
          <w:szCs w:val="24"/>
        </w:rPr>
        <w:t xml:space="preserve"> </w:t>
      </w:r>
    </w:p>
    <w:p>
      <w:pPr>
        <w:spacing w:before="120" w:beforeLines="50"/>
        <w:ind w:right="240" w:rightChars="100"/>
        <w:jc w:val="both"/>
        <w:rPr>
          <w:rFonts w:ascii="Arial" w:hAnsi="Arial" w:cs="Arial"/>
          <w:szCs w:val="24"/>
        </w:rPr>
      </w:pPr>
      <w:r>
        <w:rPr>
          <w:rFonts w:ascii="Arial" w:hAnsi="Arial" w:cs="Arial"/>
          <w:b/>
          <w:szCs w:val="24"/>
        </w:rPr>
        <w:t xml:space="preserve">b) </w:t>
      </w:r>
      <w:r>
        <w:rPr>
          <w:rFonts w:ascii="Arial" w:hAnsi="Arial" w:cs="Arial"/>
          <w:szCs w:val="24"/>
        </w:rPr>
        <w:t>O referido pagamento/remuneração possui amparo legal no inciso III do art. 5º da Lei nº 10.520/02.</w:t>
      </w:r>
    </w:p>
    <w:p>
      <w:pPr>
        <w:spacing w:before="120" w:beforeLines="50"/>
        <w:jc w:val="both"/>
        <w:rPr>
          <w:rFonts w:ascii="Arial" w:hAnsi="Arial" w:eastAsia="Calibri" w:cs="Arial"/>
        </w:rPr>
      </w:pPr>
    </w:p>
    <w:p>
      <w:pPr>
        <w:pStyle w:val="31"/>
        <w:widowControl w:val="0"/>
        <w:tabs>
          <w:tab w:val="left" w:pos="708"/>
        </w:tabs>
        <w:spacing w:before="120" w:after="120"/>
        <w:rPr>
          <w:rFonts w:ascii="Arial" w:hAnsi="Arial" w:eastAsia="Calibri" w:cs="Arial"/>
          <w:color w:val="000000"/>
        </w:rPr>
      </w:pPr>
      <w:r>
        <w:rPr>
          <w:rFonts w:ascii="Arial" w:hAnsi="Arial" w:cs="Arial"/>
          <w:color w:val="000000"/>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IV – DO CREDENCIAMENTO E DA REPRESENTAÇÃO</w:t>
                      </w:r>
                    </w:p>
                  </w:txbxContent>
                </v:textbox>
              </v:rect>
            </w:pict>
          </mc:Fallback>
        </mc:AlternateContent>
      </w:r>
    </w:p>
    <w:p>
      <w:pPr>
        <w:keepLines/>
        <w:tabs>
          <w:tab w:val="left" w:pos="1134"/>
          <w:tab w:val="left" w:pos="1428"/>
        </w:tabs>
        <w:spacing w:after="120" w:afterLines="50"/>
        <w:jc w:val="both"/>
        <w:rPr>
          <w:rFonts w:ascii="Arial" w:hAnsi="Arial" w:eastAsia="Calibri" w:cs="Arial"/>
          <w:b/>
        </w:rPr>
      </w:pPr>
      <w:r>
        <w:rPr>
          <w:rFonts w:ascii="Arial" w:hAnsi="Arial" w:eastAsia="Calibri" w:cs="Arial"/>
          <w:b/>
        </w:rPr>
        <w:t xml:space="preserve">4.1. </w:t>
      </w:r>
      <w:r>
        <w:rPr>
          <w:rFonts w:ascii="Arial" w:hAnsi="Arial" w:eastAsia="Calibri" w:cs="Arial"/>
        </w:rPr>
        <w:t>As empresas licitantes interessadas deverão proceder ao credenciamento antes da data marcada para início da Sessão Pública via internet;</w:t>
      </w:r>
    </w:p>
    <w:p>
      <w:pPr>
        <w:keepLines/>
        <w:tabs>
          <w:tab w:val="left" w:pos="1134"/>
          <w:tab w:val="left" w:pos="1428"/>
        </w:tabs>
        <w:spacing w:after="120" w:afterLines="50"/>
        <w:jc w:val="both"/>
        <w:rPr>
          <w:rFonts w:ascii="Arial" w:hAnsi="Arial" w:eastAsia="Calibri" w:cs="Arial"/>
        </w:rPr>
      </w:pPr>
      <w:r>
        <w:rPr>
          <w:rFonts w:ascii="Arial" w:hAnsi="Arial" w:eastAsia="Calibri" w:cs="Arial"/>
          <w:b/>
        </w:rPr>
        <w:t>4.1.1.</w:t>
      </w:r>
      <w:r>
        <w:rPr>
          <w:rFonts w:ascii="Arial" w:hAnsi="Arial" w:eastAsia="Calibri" w:cs="Arial"/>
        </w:rPr>
        <w:t xml:space="preserve"> A participação do licitante no pregão eletrônico se dará exclusivamente através de </w:t>
      </w:r>
      <w:r>
        <w:rPr>
          <w:rFonts w:ascii="Arial" w:hAnsi="Arial" w:eastAsia="Calibri" w:cs="Arial"/>
          <w:b/>
        </w:rPr>
        <w:t>Home Broker</w:t>
      </w:r>
      <w:r>
        <w:rPr>
          <w:rFonts w:ascii="Arial" w:hAnsi="Arial" w:eastAsia="Calibri" w:cs="Arial"/>
        </w:rPr>
        <w:t>, o qual deverá manifestar em campo próprio da Plataforma Eletrônica, pleno conhecimento, aceitação e atendimento às exigências de habilitação previstas no Edital.</w:t>
      </w:r>
    </w:p>
    <w:p>
      <w:pPr>
        <w:keepLines/>
        <w:tabs>
          <w:tab w:val="left" w:pos="1134"/>
          <w:tab w:val="left" w:pos="1428"/>
        </w:tabs>
        <w:spacing w:after="120" w:afterLines="50"/>
        <w:jc w:val="both"/>
        <w:rPr>
          <w:rFonts w:ascii="Arial" w:hAnsi="Arial" w:eastAsia="Calibri" w:cs="Arial"/>
        </w:rPr>
      </w:pPr>
      <w:r>
        <w:rPr>
          <w:rFonts w:ascii="Arial" w:hAnsi="Arial" w:eastAsia="Calibri" w:cs="Arial"/>
          <w:b/>
        </w:rPr>
        <w:t>4.1.2.</w:t>
      </w:r>
      <w:r>
        <w:rPr>
          <w:rFonts w:ascii="Arial" w:hAnsi="Arial" w:eastAsia="Calibri" w:cs="Arial"/>
        </w:rPr>
        <w:t xml:space="preserve"> O credenciamento dar-se-á pela atribuição de chave de identificação e de senha, pessoal e intransferível, para acesso ao Sistema Eletrônico, no site </w:t>
      </w:r>
      <w:r>
        <w:fldChar w:fldCharType="begin"/>
      </w:r>
      <w:r>
        <w:instrText xml:space="preserve"> HYPERLINK "http://www.licitanet.com.br" </w:instrText>
      </w:r>
      <w:r>
        <w:fldChar w:fldCharType="separate"/>
      </w:r>
      <w:r>
        <w:rPr>
          <w:rStyle w:val="18"/>
          <w:rFonts w:ascii="Arial" w:hAnsi="Arial" w:eastAsia="Calibri" w:cs="Arial"/>
          <w:b/>
          <w:color w:val="auto"/>
        </w:rPr>
        <w:t>www.licitanet.com.br</w:t>
      </w:r>
      <w:r>
        <w:rPr>
          <w:rStyle w:val="18"/>
          <w:rFonts w:ascii="Arial" w:hAnsi="Arial" w:eastAsia="Calibri" w:cs="Arial"/>
          <w:b/>
          <w:color w:val="auto"/>
        </w:rPr>
        <w:fldChar w:fldCharType="end"/>
      </w:r>
      <w:r>
        <w:rPr>
          <w:rFonts w:ascii="Arial" w:hAnsi="Arial" w:eastAsia="Calibri" w:cs="Arial"/>
        </w:rPr>
        <w:t xml:space="preserve">; </w:t>
      </w:r>
    </w:p>
    <w:p>
      <w:pPr>
        <w:keepLines/>
        <w:tabs>
          <w:tab w:val="left" w:pos="1134"/>
          <w:tab w:val="left" w:pos="1428"/>
        </w:tabs>
        <w:spacing w:after="120" w:afterLines="50"/>
        <w:jc w:val="both"/>
        <w:rPr>
          <w:rFonts w:ascii="Arial" w:hAnsi="Arial" w:eastAsia="Calibri" w:cs="Arial"/>
        </w:rPr>
      </w:pPr>
      <w:r>
        <w:rPr>
          <w:rFonts w:ascii="Arial" w:hAnsi="Arial" w:eastAsia="Calibri" w:cs="Arial"/>
          <w:b/>
        </w:rPr>
        <w:t xml:space="preserve">4.2. </w:t>
      </w:r>
      <w:r>
        <w:rPr>
          <w:rFonts w:ascii="Arial" w:hAnsi="Arial" w:eastAsia="Calibri" w:cs="Arial"/>
        </w:rPr>
        <w:t>O acesso do licitante ao pregão eletrônico, para efeito de encaminhamento de proposta de preço e lances sucessivos de preços, somente se dará mediante prévio cadastramento e adesão aos planos elencados na alínea “a” do subitem 3.10.</w:t>
      </w:r>
    </w:p>
    <w:p>
      <w:pPr>
        <w:keepLines/>
        <w:tabs>
          <w:tab w:val="left" w:pos="1134"/>
          <w:tab w:val="left" w:pos="1428"/>
        </w:tabs>
        <w:spacing w:after="120" w:afterLines="50"/>
        <w:jc w:val="both"/>
        <w:rPr>
          <w:rFonts w:ascii="Arial" w:hAnsi="Arial" w:eastAsia="Calibri" w:cs="Arial"/>
        </w:rPr>
      </w:pPr>
      <w:r>
        <w:rPr>
          <w:rFonts w:ascii="Arial" w:hAnsi="Arial" w:eastAsia="Calibri" w:cs="Arial"/>
          <w:b/>
        </w:rPr>
        <w:t>4.3.</w:t>
      </w:r>
      <w:r>
        <w:rPr>
          <w:rFonts w:ascii="Arial" w:hAnsi="Arial" w:eastAsia="Calibri" w:cs="Arial"/>
        </w:rPr>
        <w:t xml:space="preserve"> O login e a senha do licitante poderão ser utilizados em qualquer pregão eletrônico, salvo quando suspensas por inadimplência do licitante junto a </w:t>
      </w:r>
      <w:r>
        <w:rPr>
          <w:rFonts w:ascii="Arial" w:hAnsi="Arial" w:eastAsia="Calibri" w:cs="Arial"/>
          <w:b/>
        </w:rPr>
        <w:t>LICITANET – Licitações On-line</w:t>
      </w:r>
      <w:r>
        <w:rPr>
          <w:rFonts w:ascii="Arial" w:hAnsi="Arial" w:eastAsia="Calibri" w:cs="Arial"/>
        </w:rPr>
        <w:t>, ou canceladas por solicitação do licitante.</w:t>
      </w:r>
    </w:p>
    <w:p>
      <w:pPr>
        <w:keepLines/>
        <w:tabs>
          <w:tab w:val="left" w:pos="1134"/>
          <w:tab w:val="left" w:pos="1428"/>
        </w:tabs>
        <w:spacing w:after="120" w:afterLines="50"/>
        <w:ind w:left="426"/>
        <w:jc w:val="both"/>
        <w:rPr>
          <w:rFonts w:ascii="Arial" w:hAnsi="Arial" w:eastAsia="Calibri" w:cs="Arial"/>
        </w:rPr>
      </w:pPr>
      <w:r>
        <w:rPr>
          <w:rFonts w:ascii="Arial" w:hAnsi="Arial" w:eastAsia="Calibri" w:cs="Arial"/>
          <w:b/>
        </w:rPr>
        <w:t xml:space="preserve">a) </w:t>
      </w:r>
      <w:r>
        <w:rPr>
          <w:rFonts w:ascii="Arial" w:hAnsi="Arial" w:eastAsia="Calibri" w:cs="Arial"/>
        </w:rPr>
        <w:t xml:space="preserve">A manutenção ou alteração da Senha de Acesso será feita através de pedido do licitante junto ao Atendimento On-Line (CHAT) do site </w:t>
      </w:r>
      <w:r>
        <w:rPr>
          <w:rFonts w:ascii="Arial" w:hAnsi="Arial" w:eastAsia="Calibri" w:cs="Arial"/>
          <w:b/>
        </w:rPr>
        <w:t>LICITANET – Licitações On-line</w:t>
      </w:r>
      <w:r>
        <w:rPr>
          <w:rFonts w:ascii="Arial" w:hAnsi="Arial" w:eastAsia="Calibri" w:cs="Arial"/>
        </w:rPr>
        <w:t>, sendo enviada para seu email a nova senha de forma imediata.</w:t>
      </w:r>
    </w:p>
    <w:p>
      <w:pPr>
        <w:spacing w:after="120" w:afterLines="50"/>
        <w:ind w:right="27"/>
        <w:jc w:val="both"/>
        <w:rPr>
          <w:rFonts w:ascii="Arial" w:hAnsi="Arial" w:eastAsia="Calibri" w:cs="Arial"/>
        </w:rPr>
      </w:pPr>
      <w:r>
        <w:rPr>
          <w:rFonts w:ascii="Arial" w:hAnsi="Arial" w:eastAsia="Calibri" w:cs="Arial"/>
          <w:b/>
        </w:rPr>
        <w:t xml:space="preserve">4.4. </w:t>
      </w:r>
      <w:r>
        <w:rPr>
          <w:rFonts w:ascii="Arial" w:hAnsi="Arial" w:eastAsia="Calibri" w:cs="Arial"/>
        </w:rPr>
        <w:t xml:space="preserve">É de exclusiva responsabilidade do licitante o sigilo da senha, bem como seu uso em qualquer transação efetuada, não cabendo a </w:t>
      </w:r>
      <w:r>
        <w:rPr>
          <w:rFonts w:ascii="Arial" w:hAnsi="Arial" w:eastAsia="Calibri" w:cs="Arial"/>
          <w:b/>
        </w:rPr>
        <w:t xml:space="preserve">LICITANET – Licitações On-line </w:t>
      </w:r>
      <w:r>
        <w:rPr>
          <w:rFonts w:ascii="Arial" w:hAnsi="Arial" w:eastAsia="Calibri" w:cs="Arial"/>
        </w:rPr>
        <w:t>e à Prefeitura Municipal de Primavera do Leste a responsabilidade por eventuais danos decorrentes de uso indevido da senha, ainda que por terceiros.</w:t>
      </w:r>
    </w:p>
    <w:p>
      <w:pPr>
        <w:keepLines/>
        <w:tabs>
          <w:tab w:val="left" w:pos="1134"/>
          <w:tab w:val="left" w:pos="1428"/>
        </w:tabs>
        <w:spacing w:after="120" w:afterLines="50"/>
        <w:jc w:val="both"/>
        <w:rPr>
          <w:rFonts w:ascii="Arial" w:hAnsi="Arial" w:eastAsia="Calibri" w:cs="Arial"/>
        </w:rPr>
      </w:pPr>
      <w:r>
        <w:rPr>
          <w:rFonts w:ascii="Arial" w:hAnsi="Arial" w:eastAsia="Calibri" w:cs="Arial"/>
          <w:b/>
        </w:rPr>
        <w:t xml:space="preserve">4.5. </w:t>
      </w:r>
      <w:r>
        <w:rPr>
          <w:rFonts w:ascii="Arial" w:hAnsi="Arial" w:eastAsia="Calibri" w:cs="Arial"/>
        </w:rPr>
        <w:t>O cadastramento do licitante junto a Plataforma de Pregão Eletrônico implica a responsabilidade legal pelos atos praticados e a presunção de capacidade técnica para realização das transações inerentes ao certame.</w:t>
      </w:r>
    </w:p>
    <w:p>
      <w:pPr>
        <w:spacing w:after="120" w:afterLines="50"/>
        <w:jc w:val="both"/>
        <w:rPr>
          <w:rFonts w:ascii="Arial" w:hAnsi="Arial" w:eastAsia="Calibri" w:cs="Arial"/>
        </w:rPr>
      </w:pPr>
      <w:r>
        <w:rPr>
          <w:rFonts w:ascii="Arial" w:hAnsi="Arial" w:eastAsia="Calibri" w:cs="Arial"/>
          <w:b/>
        </w:rPr>
        <w:t xml:space="preserve">4.6. </w:t>
      </w:r>
      <w:r>
        <w:rPr>
          <w:rFonts w:ascii="Arial" w:hAnsi="Arial" w:eastAsia="Calibri" w:cs="Arial"/>
        </w:rPr>
        <w:t xml:space="preserve">As informações complementares para credenciamento poderão ser obtidas pelos telefones: </w:t>
      </w:r>
      <w:r>
        <w:rPr>
          <w:rFonts w:ascii="Arial" w:hAnsi="Arial" w:eastAsia="Calibri" w:cs="Arial"/>
          <w:b/>
        </w:rPr>
        <w:t xml:space="preserve">(34) 3014-6633 e (34) 99807-6633 </w:t>
      </w:r>
      <w:r>
        <w:rPr>
          <w:rFonts w:ascii="Arial" w:hAnsi="Arial" w:eastAsia="Calibri" w:cs="Arial"/>
        </w:rPr>
        <w:t xml:space="preserve">ou pelo e-mail </w:t>
      </w:r>
      <w:r>
        <w:fldChar w:fldCharType="begin"/>
      </w:r>
      <w:r>
        <w:instrText xml:space="preserve"> HYPERLINK "contato@licitanet.com.br" </w:instrText>
      </w:r>
      <w:r>
        <w:fldChar w:fldCharType="separate"/>
      </w:r>
      <w:r>
        <w:rPr>
          <w:rStyle w:val="18"/>
          <w:rFonts w:ascii="Arial" w:hAnsi="Arial" w:eastAsia="Calibri" w:cs="Arial"/>
          <w:b/>
        </w:rPr>
        <w:t>contato@licitanet.com.br</w:t>
      </w:r>
      <w:r>
        <w:rPr>
          <w:rStyle w:val="18"/>
          <w:rFonts w:ascii="Arial" w:hAnsi="Arial" w:eastAsia="Calibri" w:cs="Arial"/>
          <w:b/>
        </w:rPr>
        <w:fldChar w:fldCharType="end"/>
      </w:r>
      <w:r>
        <w:rPr>
          <w:rFonts w:ascii="Arial" w:hAnsi="Arial" w:eastAsia="Calibri" w:cs="Arial"/>
          <w:b/>
        </w:rPr>
        <w:t>.</w:t>
      </w:r>
    </w:p>
    <w:p>
      <w:pPr>
        <w:spacing w:after="120" w:afterLines="50"/>
        <w:jc w:val="both"/>
        <w:rPr>
          <w:rFonts w:ascii="Arial" w:hAnsi="Arial" w:eastAsia="Calibri" w:cs="Arial"/>
          <w:b/>
        </w:rPr>
      </w:pPr>
      <w:r>
        <w:rPr>
          <w:rFonts w:ascii="Arial" w:hAnsi="Arial" w:eastAsia="Calibri" w:cs="Arial"/>
          <w:b/>
        </w:rPr>
        <w:t xml:space="preserve">4.7. </w:t>
      </w:r>
      <w:r>
        <w:rPr>
          <w:rFonts w:ascii="Arial" w:hAnsi="Arial" w:eastAsia="Calibri" w:cs="Arial"/>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after="120" w:afterLines="50"/>
        <w:jc w:val="both"/>
        <w:rPr>
          <w:rFonts w:ascii="Arial" w:hAnsi="Arial" w:eastAsia="Calibri" w:cs="Arial"/>
          <w:b/>
        </w:rPr>
      </w:pPr>
      <w:r>
        <w:rPr>
          <w:rFonts w:ascii="Arial" w:hAnsi="Arial" w:eastAsia="Calibri" w:cs="Arial"/>
          <w:b/>
        </w:rPr>
        <w:t>4.7.1.</w:t>
      </w:r>
      <w:r>
        <w:rPr>
          <w:rFonts w:ascii="Arial" w:hAnsi="Arial" w:eastAsia="Calibri" w:cs="Arial"/>
        </w:rPr>
        <w:t xml:space="preserve"> A não declaração da licitante em referência Lei Complementar nº. 123/2006 e ainda suas alterações na Lei Complementar 147/2014 caso se enquadre, implicará no IMPEDIMENTO DA LICITANTE EM BENEFICIAR-SE DA MESMA.</w:t>
      </w:r>
    </w:p>
    <w:p>
      <w:pPr>
        <w:pStyle w:val="29"/>
        <w:tabs>
          <w:tab w:val="left" w:pos="142"/>
          <w:tab w:val="left" w:pos="709"/>
          <w:tab w:val="clear" w:pos="1701"/>
        </w:tabs>
        <w:spacing w:afterLines="50" w:line="240" w:lineRule="auto"/>
        <w:rPr>
          <w:rFonts w:ascii="Arial" w:hAnsi="Arial" w:eastAsia="Calibri" w:cs="Arial"/>
          <w:strike w:val="0"/>
          <w:color w:val="auto"/>
        </w:rPr>
      </w:pPr>
      <w:r>
        <w:rPr>
          <w:rFonts w:ascii="Arial" w:hAnsi="Arial" w:eastAsia="Calibri" w:cs="Arial"/>
          <w:b/>
          <w:strike w:val="0"/>
          <w:color w:val="auto"/>
        </w:rPr>
        <w:t xml:space="preserve">4.7.2. </w:t>
      </w:r>
      <w:r>
        <w:rPr>
          <w:rFonts w:ascii="Arial" w:hAnsi="Arial" w:eastAsia="Calibri" w:cs="Arial"/>
          <w:strike w:val="0"/>
          <w:color w:val="auto"/>
        </w:rPr>
        <w:t>A declaração falsa dos requisitos de credenciamento sujeitará o licitante às sanções previstas neste Edital e nas demais cominações legais do certame.</w:t>
      </w:r>
    </w:p>
    <w:p>
      <w:pPr>
        <w:tabs>
          <w:tab w:val="left" w:pos="426"/>
        </w:tabs>
        <w:spacing w:after="120" w:afterLines="50"/>
        <w:jc w:val="both"/>
        <w:rPr>
          <w:rFonts w:ascii="Arial" w:hAnsi="Arial" w:eastAsia="Calibri" w:cs="Arial"/>
        </w:rPr>
      </w:pPr>
      <w:r>
        <w:rPr>
          <w:rFonts w:ascii="Arial" w:hAnsi="Arial" w:eastAsia="Calibri" w:cs="Arial"/>
          <w:b/>
        </w:rPr>
        <w:t xml:space="preserve">4.8. </w:t>
      </w:r>
      <w:r>
        <w:rPr>
          <w:rFonts w:ascii="Arial" w:hAnsi="Arial" w:eastAsia="Calibri" w:cs="Arial"/>
        </w:rPr>
        <w:t xml:space="preserve">O uso da senha de acesso pelo licitante é de sua responsabilidade exclusiva, incluindo qualquer transação efetuada diretamente ou por seu representante, não cabendo ao provedor do Sistema ou a </w:t>
      </w:r>
      <w:r>
        <w:rPr>
          <w:rFonts w:ascii="Arial" w:hAnsi="Arial" w:eastAsia="Calibri" w:cs="Arial"/>
          <w:b/>
        </w:rPr>
        <w:t>Comissão de Pregão</w:t>
      </w:r>
      <w:r>
        <w:rPr>
          <w:rFonts w:ascii="Arial" w:hAnsi="Arial" w:eastAsia="Calibri" w:cs="Arial"/>
        </w:rPr>
        <w:t>, promotora da licitação, responsabilidade por eventuais danos decorrentes do uso indevido da senha, ainda que por terceiros;</w:t>
      </w:r>
    </w:p>
    <w:p>
      <w:pPr>
        <w:tabs>
          <w:tab w:val="left" w:pos="426"/>
        </w:tabs>
        <w:spacing w:after="120" w:afterLines="50"/>
        <w:jc w:val="both"/>
        <w:rPr>
          <w:rFonts w:ascii="Arial" w:hAnsi="Arial" w:eastAsia="Calibri" w:cs="Arial"/>
        </w:rPr>
      </w:pPr>
      <w:r>
        <w:rPr>
          <w:rFonts w:ascii="Arial" w:hAnsi="Arial" w:eastAsia="Calibri" w:cs="Arial"/>
          <w:b/>
        </w:rPr>
        <w:t xml:space="preserve">4.9. </w:t>
      </w:r>
      <w:r>
        <w:rPr>
          <w:rFonts w:ascii="Arial" w:hAnsi="Arial" w:eastAsia="Calibri" w:cs="Arial"/>
        </w:rPr>
        <w:t>A perda da senha ou a quebra de sigilo deverá ser comunicada ao provedor do sistema para imediato bloqueio de acesso.</w:t>
      </w:r>
    </w:p>
    <w:p>
      <w:pPr>
        <w:pStyle w:val="31"/>
        <w:widowControl w:val="0"/>
        <w:tabs>
          <w:tab w:val="left" w:pos="705"/>
          <w:tab w:val="left" w:pos="993"/>
          <w:tab w:val="left" w:pos="1985"/>
          <w:tab w:val="left" w:pos="2268"/>
          <w:tab w:val="left" w:pos="2410"/>
          <w:tab w:val="clear" w:pos="4419"/>
          <w:tab w:val="clear" w:pos="8838"/>
        </w:tabs>
        <w:spacing w:after="120"/>
        <w:rPr>
          <w:rFonts w:ascii="Arial" w:hAnsi="Arial" w:eastAsia="Calibri" w:cs="Arial"/>
          <w:b/>
          <w:color w:val="000000"/>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55880</wp:posOffset>
                </wp:positionV>
                <wp:extent cx="6248400" cy="3714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3714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V – DA PROPOSTA</w:t>
                            </w:r>
                          </w:p>
                        </w:txbxContent>
                      </wps:txbx>
                      <wps:bodyPr wrap="square" upright="1"/>
                    </wps:wsp>
                  </a:graphicData>
                </a:graphic>
              </wp:anchor>
            </w:drawing>
          </mc:Choice>
          <mc:Fallback>
            <w:pict>
              <v:rect id="Retângulo 8" o:spid="_x0000_s1026" o:spt="1" style="position:absolute;left:0pt;margin-left:-4.8pt;margin-top:4.4pt;height:29.25pt;width:492pt;z-index:251662336;mso-width-relative:page;mso-height-relative:page;" fillcolor="#D8D8D8" filled="t" stroked="t" coordsize="21600,21600" o:gfxdata="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FmQ9bXAAAABwEAAA8AAAAAAAAAAQAgAAAA&#10;IgAAAGRycy9kb3ducmV2LnhtbFBLAQIUABQAAAAIAIdO4kDwEE6eRQIAAME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V – DA PROPOSTA</w:t>
                      </w:r>
                    </w:p>
                  </w:txbxContent>
                </v:textbox>
              </v:rect>
            </w:pict>
          </mc:Fallback>
        </mc:AlternateContent>
      </w:r>
    </w:p>
    <w:p>
      <w:pPr>
        <w:pStyle w:val="31"/>
        <w:widowControl w:val="0"/>
        <w:tabs>
          <w:tab w:val="left" w:pos="993"/>
          <w:tab w:val="clear" w:pos="4419"/>
          <w:tab w:val="clear" w:pos="8838"/>
        </w:tabs>
        <w:spacing w:after="120"/>
        <w:rPr>
          <w:rFonts w:ascii="Arial" w:hAnsi="Arial" w:eastAsia="Calibri" w:cs="Arial"/>
          <w:color w:val="000000"/>
        </w:rPr>
      </w:pPr>
    </w:p>
    <w:p>
      <w:pPr>
        <w:pStyle w:val="31"/>
        <w:widowControl w:val="0"/>
        <w:tabs>
          <w:tab w:val="left" w:pos="567"/>
          <w:tab w:val="left" w:pos="993"/>
          <w:tab w:val="clear" w:pos="4419"/>
          <w:tab w:val="clear" w:pos="8838"/>
        </w:tabs>
        <w:spacing w:after="120"/>
        <w:rPr>
          <w:rFonts w:ascii="Arial" w:hAnsi="Arial" w:eastAsia="Calibri" w:cs="Arial"/>
          <w:color w:val="000000"/>
        </w:rPr>
      </w:pPr>
      <w:r>
        <w:rPr>
          <w:rFonts w:ascii="Arial" w:hAnsi="Arial" w:eastAsia="Calibri" w:cs="Arial"/>
          <w:b/>
        </w:rPr>
        <w:t xml:space="preserve">5.1. </w:t>
      </w:r>
      <w:r>
        <w:rPr>
          <w:rFonts w:ascii="Arial" w:hAnsi="Arial" w:eastAsia="Calibri" w:cs="Arial"/>
          <w:color w:val="000000"/>
        </w:rPr>
        <w:t xml:space="preserve">A </w:t>
      </w:r>
      <w:r>
        <w:rPr>
          <w:rFonts w:ascii="Arial" w:hAnsi="Arial" w:eastAsia="Calibri" w:cs="Arial"/>
          <w:b/>
          <w:color w:val="000000"/>
        </w:rPr>
        <w:t>licitante</w:t>
      </w:r>
      <w:r>
        <w:rPr>
          <w:rFonts w:ascii="Arial" w:hAnsi="Arial" w:eastAsia="Calibri" w:cs="Arial"/>
          <w:color w:val="000000"/>
        </w:rPr>
        <w:t xml:space="preserve"> deverá encaminhar proposta, exclusivamente por meio do sistema eletrônico, até a data e horário marcado no preâmbulo deste edital, no sítio </w:t>
      </w:r>
      <w:r>
        <w:fldChar w:fldCharType="begin"/>
      </w:r>
      <w:r>
        <w:instrText xml:space="preserve"> HYPERLINK "http://www.licitanet.com.br" </w:instrText>
      </w:r>
      <w:r>
        <w:fldChar w:fldCharType="separate"/>
      </w:r>
      <w:r>
        <w:rPr>
          <w:rStyle w:val="18"/>
          <w:rFonts w:ascii="Arial" w:hAnsi="Arial" w:eastAsia="Calibri" w:cs="Arial"/>
        </w:rPr>
        <w:t>www.licitanet.com.br</w:t>
      </w:r>
      <w:r>
        <w:rPr>
          <w:rStyle w:val="18"/>
          <w:rFonts w:ascii="Arial" w:hAnsi="Arial" w:eastAsia="Calibri" w:cs="Arial"/>
        </w:rPr>
        <w:fldChar w:fldCharType="end"/>
      </w:r>
      <w:r>
        <w:rPr>
          <w:rFonts w:ascii="Arial" w:hAnsi="Arial" w:eastAsia="Calibri" w:cs="Arial"/>
          <w:color w:val="000000"/>
        </w:rPr>
        <w:t>, quando então encerrar-se-á automaticamente a fase de recebimento de propostas;</w:t>
      </w:r>
    </w:p>
    <w:p>
      <w:pPr>
        <w:pStyle w:val="58"/>
        <w:jc w:val="both"/>
        <w:rPr>
          <w:rFonts w:ascii="Arial" w:hAnsi="Arial" w:eastAsia="Calibri" w:cs="Arial"/>
        </w:rPr>
      </w:pPr>
      <w:r>
        <w:rPr>
          <w:rFonts w:ascii="Arial" w:hAnsi="Arial" w:eastAsia="Calibri" w:cs="Arial"/>
          <w:b/>
        </w:rPr>
        <w:t>5.2.</w:t>
      </w:r>
      <w:r>
        <w:rPr>
          <w:rFonts w:ascii="Arial" w:hAnsi="Arial" w:eastAsia="Calibri" w:cs="Arial"/>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1"/>
        <w:widowControl w:val="0"/>
        <w:tabs>
          <w:tab w:val="left" w:pos="567"/>
          <w:tab w:val="left" w:pos="993"/>
          <w:tab w:val="clear" w:pos="4419"/>
          <w:tab w:val="clear" w:pos="8838"/>
        </w:tabs>
        <w:spacing w:before="120" w:beforeLines="50" w:after="120"/>
        <w:rPr>
          <w:rFonts w:ascii="Arial" w:hAnsi="Arial" w:eastAsia="Calibri" w:cs="Arial"/>
          <w:color w:val="000000"/>
        </w:rPr>
      </w:pPr>
      <w:r>
        <w:rPr>
          <w:rFonts w:ascii="Arial" w:hAnsi="Arial" w:eastAsia="Calibri" w:cs="Arial"/>
          <w:b/>
          <w:color w:val="000000"/>
        </w:rPr>
        <w:t xml:space="preserve">5.3. </w:t>
      </w:r>
      <w:r>
        <w:rPr>
          <w:rFonts w:ascii="Arial" w:hAnsi="Arial" w:eastAsia="Calibri" w:cs="Arial"/>
          <w:color w:val="000000"/>
        </w:rPr>
        <w:t xml:space="preserve">A licitante deverá consignar, na forma expressa no sistema eletrônico, </w:t>
      </w:r>
      <w:r>
        <w:rPr>
          <w:rFonts w:ascii="Arial" w:hAnsi="Arial" w:eastAsia="Calibri" w:cs="Arial"/>
          <w:b/>
          <w:color w:val="000000"/>
        </w:rPr>
        <w:t>preço unitário de cada item da proposta</w:t>
      </w:r>
      <w:r>
        <w:rPr>
          <w:rFonts w:ascii="Arial" w:hAnsi="Arial" w:eastAsia="Calibri" w:cs="Arial"/>
          <w:color w:val="000000"/>
        </w:rPr>
        <w:t xml:space="preserve"> já considerado e incluso todos os insumos que o compõem, tais como tributos, fretes, tarifas, descontos e demais despesas decorrentes da execução do objeto, sendo aceito apenas valores abaixo ou igual ao estimado;</w:t>
      </w:r>
    </w:p>
    <w:p>
      <w:pPr>
        <w:pStyle w:val="31"/>
        <w:widowControl w:val="0"/>
        <w:tabs>
          <w:tab w:val="left" w:pos="567"/>
          <w:tab w:val="left" w:pos="993"/>
          <w:tab w:val="clear" w:pos="4419"/>
          <w:tab w:val="clear" w:pos="8838"/>
        </w:tabs>
        <w:spacing w:after="120"/>
        <w:rPr>
          <w:rFonts w:ascii="Arial" w:hAnsi="Arial" w:eastAsia="Calibri" w:cs="Arial"/>
          <w:color w:val="000000"/>
        </w:rPr>
      </w:pPr>
      <w:r>
        <w:rPr>
          <w:rFonts w:ascii="Arial" w:hAnsi="Arial" w:eastAsia="Calibri" w:cs="Arial"/>
          <w:b/>
          <w:color w:val="000000"/>
        </w:rPr>
        <w:t xml:space="preserve">5.4. </w:t>
      </w:r>
      <w:r>
        <w:rPr>
          <w:rFonts w:ascii="Arial" w:hAnsi="Arial" w:eastAsia="Calibri" w:cs="Arial"/>
          <w:color w:val="000000"/>
        </w:rPr>
        <w:t xml:space="preserve">A </w:t>
      </w:r>
      <w:r>
        <w:rPr>
          <w:rFonts w:ascii="Arial" w:hAnsi="Arial" w:eastAsia="Calibri" w:cs="Arial"/>
          <w:b/>
          <w:color w:val="000000"/>
        </w:rPr>
        <w:t>licitante</w:t>
      </w:r>
      <w:r>
        <w:rPr>
          <w:rFonts w:ascii="Arial" w:hAnsi="Arial" w:eastAsia="Calibri" w:cs="Arial"/>
          <w:color w:val="000000"/>
        </w:rPr>
        <w:t xml:space="preserve"> deverá declarar, em campo próprio do sistema eletrônico, que cumpre plenamente os requisitos de habilitação e que sua proposta está em conformidade com as exigências do Edital;</w:t>
      </w:r>
    </w:p>
    <w:p>
      <w:pPr>
        <w:pStyle w:val="31"/>
        <w:widowControl w:val="0"/>
        <w:tabs>
          <w:tab w:val="left" w:pos="567"/>
          <w:tab w:val="left" w:pos="993"/>
          <w:tab w:val="clear" w:pos="4419"/>
          <w:tab w:val="clear" w:pos="8838"/>
        </w:tabs>
        <w:spacing w:after="120"/>
        <w:rPr>
          <w:rFonts w:ascii="Arial" w:hAnsi="Arial" w:eastAsia="Calibri" w:cs="Arial"/>
          <w:color w:val="000000"/>
        </w:rPr>
      </w:pPr>
      <w:r>
        <w:rPr>
          <w:rFonts w:ascii="Arial" w:hAnsi="Arial" w:eastAsia="Calibri" w:cs="Arial"/>
          <w:b/>
          <w:color w:val="000000"/>
        </w:rPr>
        <w:t xml:space="preserve">5.5. </w:t>
      </w:r>
      <w:r>
        <w:rPr>
          <w:rFonts w:ascii="Arial" w:hAnsi="Arial" w:eastAsia="Calibri" w:cs="Arial"/>
          <w:color w:val="000000"/>
        </w:rPr>
        <w:t xml:space="preserve">A </w:t>
      </w:r>
      <w:r>
        <w:rPr>
          <w:rFonts w:ascii="Arial" w:hAnsi="Arial" w:eastAsia="Calibri" w:cs="Arial"/>
          <w:b/>
          <w:color w:val="000000"/>
        </w:rPr>
        <w:t>licitante</w:t>
      </w:r>
      <w:r>
        <w:rPr>
          <w:rFonts w:ascii="Arial" w:hAnsi="Arial" w:eastAsia="Calibri" w:cs="Arial"/>
          <w:color w:val="00000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1"/>
        <w:widowControl w:val="0"/>
        <w:tabs>
          <w:tab w:val="left" w:pos="567"/>
          <w:tab w:val="left" w:pos="993"/>
          <w:tab w:val="clear" w:pos="4419"/>
          <w:tab w:val="clear" w:pos="8838"/>
        </w:tabs>
        <w:spacing w:after="120"/>
        <w:rPr>
          <w:rFonts w:ascii="Arial" w:hAnsi="Arial" w:eastAsia="Calibri" w:cs="Arial"/>
          <w:color w:val="000000"/>
        </w:rPr>
      </w:pPr>
      <w:r>
        <w:rPr>
          <w:rFonts w:ascii="Arial" w:hAnsi="Arial" w:eastAsia="Calibri" w:cs="Arial"/>
          <w:b/>
          <w:color w:val="000000"/>
        </w:rPr>
        <w:t xml:space="preserve">5.6. </w:t>
      </w:r>
      <w:r>
        <w:rPr>
          <w:rFonts w:ascii="Arial" w:hAnsi="Arial" w:eastAsia="Calibri" w:cs="Arial"/>
          <w:color w:val="000000"/>
        </w:rPr>
        <w:t xml:space="preserve">A </w:t>
      </w:r>
      <w:r>
        <w:rPr>
          <w:rFonts w:ascii="Arial" w:hAnsi="Arial" w:eastAsia="Calibri" w:cs="Arial"/>
          <w:b/>
          <w:color w:val="000000"/>
        </w:rPr>
        <w:t>licitante</w:t>
      </w:r>
      <w:r>
        <w:rPr>
          <w:rFonts w:ascii="Arial" w:hAnsi="Arial" w:eastAsia="Calibri" w:cs="Arial"/>
          <w:color w:val="000000"/>
        </w:rPr>
        <w:t xml:space="preserve"> enquadrada como microempresa ou empresa de pequeno porte deverá declarar, em campo próprio do Sistema, que atende aos requisitos do art. 3º da LC nº 123/2006, para fazer jus aos benefícios previstos nessa lei.</w:t>
      </w:r>
    </w:p>
    <w:p>
      <w:pPr>
        <w:pStyle w:val="31"/>
        <w:widowControl w:val="0"/>
        <w:tabs>
          <w:tab w:val="left" w:pos="567"/>
          <w:tab w:val="left" w:pos="993"/>
          <w:tab w:val="clear" w:pos="4419"/>
          <w:tab w:val="clear" w:pos="8838"/>
        </w:tabs>
        <w:spacing w:after="120"/>
        <w:rPr>
          <w:rFonts w:ascii="Arial" w:hAnsi="Arial" w:eastAsia="Calibri" w:cs="Arial"/>
          <w:color w:val="000000"/>
        </w:rPr>
      </w:pPr>
      <w:r>
        <w:rPr>
          <w:rFonts w:ascii="Arial" w:hAnsi="Arial" w:eastAsia="Calibri" w:cs="Arial"/>
          <w:b/>
          <w:color w:val="000000"/>
        </w:rPr>
        <w:t xml:space="preserve">5.7. </w:t>
      </w:r>
      <w:r>
        <w:rPr>
          <w:rFonts w:ascii="Arial" w:hAnsi="Arial" w:eastAsia="Calibri" w:cs="Arial"/>
          <w:color w:val="000000"/>
        </w:rPr>
        <w:t xml:space="preserve">A declaração falsa relativa ao cumprimento dos requisitos de habilitação, à conformidade da proposta ou ao enquadramento como microempresa ou empresa de pequeno porte sujeitará a </w:t>
      </w:r>
      <w:r>
        <w:rPr>
          <w:rFonts w:ascii="Arial" w:hAnsi="Arial" w:eastAsia="Calibri" w:cs="Arial"/>
          <w:b/>
          <w:color w:val="000000"/>
        </w:rPr>
        <w:t>licitante</w:t>
      </w:r>
      <w:r>
        <w:rPr>
          <w:rFonts w:ascii="Arial" w:hAnsi="Arial" w:eastAsia="Calibri" w:cs="Arial"/>
          <w:color w:val="000000"/>
        </w:rPr>
        <w:t xml:space="preserve"> às sanções previstas neste Edital;</w:t>
      </w:r>
    </w:p>
    <w:p>
      <w:pPr>
        <w:pStyle w:val="31"/>
        <w:widowControl w:val="0"/>
        <w:tabs>
          <w:tab w:val="left" w:pos="567"/>
          <w:tab w:val="left" w:pos="993"/>
          <w:tab w:val="clear" w:pos="4419"/>
          <w:tab w:val="clear" w:pos="8838"/>
        </w:tabs>
        <w:spacing w:after="120"/>
        <w:rPr>
          <w:rFonts w:ascii="Arial" w:hAnsi="Arial" w:eastAsia="Calibri" w:cs="Arial"/>
          <w:color w:val="000000"/>
        </w:rPr>
      </w:pPr>
      <w:r>
        <w:rPr>
          <w:rFonts w:ascii="Arial" w:hAnsi="Arial" w:eastAsia="Calibri" w:cs="Arial"/>
          <w:b/>
          <w:color w:val="000000"/>
        </w:rPr>
        <w:t xml:space="preserve">5.8. </w:t>
      </w:r>
      <w:r>
        <w:rPr>
          <w:rFonts w:ascii="Arial" w:hAnsi="Arial" w:eastAsia="Calibri" w:cs="Arial"/>
          <w:color w:val="000000"/>
        </w:rPr>
        <w:t>As propostas ficarão disponíveis no sistema eletrônico:</w:t>
      </w:r>
    </w:p>
    <w:p>
      <w:pPr>
        <w:pStyle w:val="31"/>
        <w:widowControl w:val="0"/>
        <w:tabs>
          <w:tab w:val="left" w:pos="567"/>
          <w:tab w:val="left" w:pos="1276"/>
          <w:tab w:val="left" w:pos="2127"/>
          <w:tab w:val="clear" w:pos="4419"/>
          <w:tab w:val="clear" w:pos="8838"/>
        </w:tabs>
        <w:spacing w:after="120"/>
        <w:ind w:left="720" w:leftChars="300"/>
        <w:rPr>
          <w:rFonts w:ascii="Arial" w:hAnsi="Arial" w:eastAsia="Calibri" w:cs="Arial"/>
          <w:color w:val="000000"/>
        </w:rPr>
      </w:pPr>
      <w:r>
        <w:rPr>
          <w:rFonts w:ascii="Arial" w:hAnsi="Arial" w:eastAsia="Calibri" w:cs="Arial"/>
          <w:b/>
          <w:color w:val="000000"/>
        </w:rPr>
        <w:t xml:space="preserve">5.8.1. </w:t>
      </w:r>
      <w:r>
        <w:rPr>
          <w:rFonts w:ascii="Arial" w:hAnsi="Arial" w:eastAsia="Calibri" w:cs="Arial"/>
          <w:color w:val="000000"/>
        </w:rPr>
        <w:t xml:space="preserve">Qualquer elemento que possa identificar a </w:t>
      </w:r>
      <w:r>
        <w:rPr>
          <w:rFonts w:ascii="Arial" w:hAnsi="Arial" w:eastAsia="Calibri" w:cs="Arial"/>
          <w:b/>
          <w:color w:val="000000"/>
        </w:rPr>
        <w:t>licitante</w:t>
      </w:r>
      <w:r>
        <w:rPr>
          <w:rFonts w:ascii="Arial" w:hAnsi="Arial" w:eastAsia="Calibri" w:cs="Arial"/>
          <w:color w:val="000000"/>
        </w:rPr>
        <w:t xml:space="preserve"> importa desclassificação da proposta, sem prejuízo das sanções previstas nesse Edital;</w:t>
      </w:r>
    </w:p>
    <w:p>
      <w:pPr>
        <w:pStyle w:val="31"/>
        <w:widowControl w:val="0"/>
        <w:tabs>
          <w:tab w:val="left" w:pos="567"/>
          <w:tab w:val="left" w:pos="1276"/>
          <w:tab w:val="left" w:pos="2127"/>
          <w:tab w:val="clear" w:pos="4419"/>
          <w:tab w:val="clear" w:pos="8838"/>
        </w:tabs>
        <w:spacing w:after="120"/>
        <w:ind w:left="720" w:leftChars="300"/>
        <w:rPr>
          <w:rFonts w:ascii="Arial" w:hAnsi="Arial" w:eastAsia="Calibri" w:cs="Arial"/>
          <w:color w:val="000000"/>
        </w:rPr>
      </w:pPr>
      <w:r>
        <w:rPr>
          <w:rFonts w:ascii="Arial" w:hAnsi="Arial" w:eastAsia="Calibri" w:cs="Arial"/>
          <w:b/>
          <w:color w:val="000000"/>
        </w:rPr>
        <w:t xml:space="preserve">5.8.2. </w:t>
      </w:r>
      <w:r>
        <w:rPr>
          <w:rFonts w:ascii="Arial" w:hAnsi="Arial" w:eastAsia="Calibri" w:cs="Arial"/>
          <w:color w:val="000000"/>
        </w:rPr>
        <w:t xml:space="preserve">Até 30 (trinta) minutos antes do horário marcado para abertura da sessão, a </w:t>
      </w:r>
      <w:r>
        <w:rPr>
          <w:rFonts w:ascii="Arial" w:hAnsi="Arial" w:eastAsia="Calibri" w:cs="Arial"/>
          <w:b/>
          <w:color w:val="000000"/>
        </w:rPr>
        <w:t>licitante</w:t>
      </w:r>
      <w:r>
        <w:rPr>
          <w:rFonts w:ascii="Arial" w:hAnsi="Arial" w:eastAsia="Calibri" w:cs="Arial"/>
          <w:color w:val="000000"/>
        </w:rPr>
        <w:t xml:space="preserve"> poderá retirar ou substituir a proposta anteriormente encaminhada.</w:t>
      </w:r>
    </w:p>
    <w:p>
      <w:pPr>
        <w:pStyle w:val="58"/>
        <w:spacing w:after="120" w:afterLines="50"/>
        <w:jc w:val="both"/>
        <w:rPr>
          <w:rFonts w:ascii="Arial" w:hAnsi="Arial" w:eastAsia="Calibri" w:cs="Arial"/>
        </w:rPr>
      </w:pPr>
      <w:r>
        <w:rPr>
          <w:rFonts w:ascii="Arial" w:hAnsi="Arial" w:eastAsia="Calibri" w:cs="Arial"/>
          <w:b/>
        </w:rPr>
        <w:t xml:space="preserve">5.9. </w:t>
      </w:r>
      <w:r>
        <w:rPr>
          <w:rFonts w:ascii="Arial" w:hAnsi="Arial" w:eastAsia="Calibri" w:cs="Arial"/>
        </w:rPr>
        <w:t>O licitante poderá oferecer lance inferior ao último por ele ofertado e registrado no sistema, e também lances cujos valores forem inferiores ao último lance que tenha sido anteriormente registrado na Plataforma Eletrônica;</w:t>
      </w:r>
    </w:p>
    <w:p>
      <w:pPr>
        <w:pStyle w:val="58"/>
        <w:spacing w:after="120" w:afterLines="50"/>
        <w:jc w:val="both"/>
        <w:rPr>
          <w:rFonts w:ascii="Arial" w:hAnsi="Arial" w:eastAsia="Calibri" w:cs="Arial"/>
        </w:rPr>
      </w:pPr>
      <w:r>
        <w:rPr>
          <w:rFonts w:ascii="Arial" w:hAnsi="Arial" w:eastAsia="Calibri" w:cs="Arial"/>
          <w:b/>
        </w:rPr>
        <w:t xml:space="preserve">5.10. </w:t>
      </w:r>
      <w:r>
        <w:rPr>
          <w:rFonts w:ascii="Arial" w:hAnsi="Arial" w:eastAsia="Calibri" w:cs="Arial"/>
        </w:rPr>
        <w:t>Não serão aceitos dois ou mais lances de mesmo valor, prevalecendo aquele que for recebido e registrado em primeiro lugar.</w:t>
      </w:r>
    </w:p>
    <w:p>
      <w:pPr>
        <w:pStyle w:val="58"/>
        <w:spacing w:after="120" w:afterLines="50"/>
        <w:jc w:val="both"/>
        <w:rPr>
          <w:rFonts w:ascii="Arial" w:hAnsi="Arial" w:eastAsia="Calibri" w:cs="Arial"/>
        </w:rPr>
      </w:pPr>
      <w:r>
        <w:rPr>
          <w:rFonts w:ascii="Arial" w:hAnsi="Arial" w:eastAsia="Calibri" w:cs="Arial"/>
          <w:b/>
        </w:rPr>
        <w:t>5.11.</w:t>
      </w:r>
      <w:r>
        <w:rPr>
          <w:rFonts w:ascii="Arial" w:hAnsi="Arial" w:eastAsia="Calibri" w:cs="Arial"/>
        </w:rPr>
        <w:t xml:space="preserve"> Durante o transcurso da sessão pública os participantes serão informados, em tempo real, do valor do menor lance registrado. O sistema </w:t>
      </w:r>
      <w:r>
        <w:rPr>
          <w:rFonts w:ascii="Arial" w:hAnsi="Arial" w:eastAsia="Calibri" w:cs="Arial"/>
          <w:b/>
          <w:u w:val="single"/>
        </w:rPr>
        <w:t>não identificará</w:t>
      </w:r>
      <w:r>
        <w:rPr>
          <w:rFonts w:ascii="Arial" w:hAnsi="Arial" w:eastAsia="Calibri" w:cs="Arial"/>
        </w:rPr>
        <w:t xml:space="preserve"> o autor dos lances aos demais participantes.</w:t>
      </w:r>
    </w:p>
    <w:p>
      <w:pPr>
        <w:pStyle w:val="58"/>
        <w:spacing w:after="120" w:afterLines="50"/>
        <w:jc w:val="both"/>
        <w:rPr>
          <w:rFonts w:ascii="Arial" w:hAnsi="Arial" w:eastAsia="Calibri" w:cs="Arial"/>
        </w:rPr>
      </w:pPr>
      <w:r>
        <w:rPr>
          <w:rFonts w:ascii="Arial" w:hAnsi="Arial" w:eastAsia="Calibri" w:cs="Arial"/>
          <w:b/>
        </w:rPr>
        <w:t xml:space="preserve">5.12. </w:t>
      </w:r>
      <w:r>
        <w:rPr>
          <w:rFonts w:ascii="Arial" w:hAnsi="Arial" w:eastAsia="Calibri" w:cs="Arial"/>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8"/>
        <w:spacing w:after="120" w:afterLines="50"/>
        <w:jc w:val="both"/>
        <w:rPr>
          <w:rFonts w:ascii="Arial" w:hAnsi="Arial" w:eastAsia="Calibri" w:cs="Arial"/>
          <w:b/>
        </w:rPr>
      </w:pPr>
      <w:r>
        <w:rPr>
          <w:rFonts w:ascii="Arial" w:hAnsi="Arial" w:eastAsia="Calibri" w:cs="Arial"/>
          <w:b/>
        </w:rPr>
        <w:t xml:space="preserve">5.13. </w:t>
      </w:r>
      <w:r>
        <w:rPr>
          <w:rFonts w:ascii="Arial" w:hAnsi="Arial" w:eastAsia="Calibri" w:cs="Arial"/>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ascii="Arial" w:hAnsi="Arial" w:eastAsia="Calibri" w:cs="Arial"/>
          <w:b/>
        </w:rPr>
        <w:t>chat</w:t>
      </w:r>
      <w:r>
        <w:rPr>
          <w:rFonts w:ascii="Arial" w:hAnsi="Arial" w:eastAsia="Calibri" w:cs="Arial"/>
        </w:rPr>
        <w:t xml:space="preserve">) ou </w:t>
      </w:r>
      <w:r>
        <w:rPr>
          <w:rFonts w:ascii="Arial" w:hAnsi="Arial" w:eastAsia="Calibri" w:cs="Arial"/>
          <w:b/>
        </w:rPr>
        <w:t>e-mail</w:t>
      </w:r>
      <w:r>
        <w:rPr>
          <w:rFonts w:ascii="Arial" w:hAnsi="Arial" w:eastAsia="Calibri" w:cs="Arial"/>
        </w:rPr>
        <w:t xml:space="preserve"> divulgando data e hora da reabertura da sessão.</w:t>
      </w:r>
    </w:p>
    <w:p>
      <w:pPr>
        <w:spacing w:after="120" w:afterLines="50"/>
        <w:jc w:val="both"/>
        <w:rPr>
          <w:rFonts w:ascii="Arial" w:hAnsi="Arial" w:eastAsia="Calibri" w:cs="Arial"/>
        </w:rPr>
      </w:pPr>
      <w:r>
        <w:rPr>
          <w:rFonts w:ascii="Arial" w:hAnsi="Arial" w:eastAsia="Calibri" w:cs="Arial"/>
          <w:b/>
        </w:rPr>
        <w:t>5.14. Não poderá haver desistência dos lances efetuados, sujeitando-se a proponente desistente às penalidades previstas no artigo 7º da Lei Federal 10.520/2002 e neste edital</w:t>
      </w:r>
      <w:r>
        <w:rPr>
          <w:rFonts w:ascii="Arial" w:hAnsi="Arial" w:eastAsia="Calibri" w:cs="Arial"/>
        </w:rPr>
        <w:t>.</w:t>
      </w:r>
    </w:p>
    <w:p>
      <w:pPr>
        <w:spacing w:after="120" w:afterLines="50"/>
        <w:ind w:left="720" w:leftChars="300"/>
        <w:jc w:val="both"/>
        <w:rPr>
          <w:rFonts w:ascii="Arial" w:hAnsi="Arial" w:eastAsia="Calibri" w:cs="Arial"/>
        </w:rPr>
      </w:pPr>
      <w:r>
        <w:rPr>
          <w:rFonts w:ascii="Arial" w:hAnsi="Arial" w:eastAsia="Calibri" w:cs="Arial"/>
          <w:b/>
        </w:rPr>
        <w:t xml:space="preserve">5.14.1. </w:t>
      </w:r>
      <w:r>
        <w:rPr>
          <w:rFonts w:ascii="Arial" w:hAnsi="Arial" w:eastAsia="Calibri" w:cs="Arial"/>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after="120" w:afterLines="50"/>
        <w:jc w:val="both"/>
        <w:rPr>
          <w:rFonts w:ascii="Arial" w:hAnsi="Arial" w:eastAsia="Calibri" w:cs="Arial"/>
        </w:rPr>
      </w:pPr>
      <w:r>
        <w:rPr>
          <w:rFonts w:ascii="Arial" w:hAnsi="Arial" w:eastAsia="Calibri" w:cs="Arial"/>
          <w:b/>
        </w:rPr>
        <w:t xml:space="preserve">5.15. </w:t>
      </w:r>
      <w:r>
        <w:rPr>
          <w:rFonts w:ascii="Arial" w:hAnsi="Arial" w:eastAsia="Calibri" w:cs="Arial"/>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after="120" w:afterLines="50"/>
        <w:jc w:val="both"/>
        <w:rPr>
          <w:rFonts w:ascii="Arial" w:hAnsi="Arial" w:eastAsia="Calibri" w:cs="Arial"/>
        </w:rPr>
      </w:pPr>
      <w:r>
        <w:rPr>
          <w:rFonts w:ascii="Arial" w:hAnsi="Arial" w:eastAsia="Calibri" w:cs="Arial"/>
          <w:b/>
        </w:rPr>
        <w:t xml:space="preserve">5.16. </w:t>
      </w:r>
      <w:r>
        <w:rPr>
          <w:rFonts w:ascii="Arial" w:hAnsi="Arial" w:eastAsia="Calibri" w:cs="Arial"/>
        </w:rPr>
        <w:t>A licitante será responsável por todas as transações que forem efetuadas em seu nome no Sistema Eletrônico, assumindo como firme e verdadeira sua proposta de preços e lances inseridos em sessão pública;</w:t>
      </w:r>
    </w:p>
    <w:p>
      <w:pPr>
        <w:spacing w:after="120" w:afterLines="50"/>
        <w:jc w:val="both"/>
        <w:rPr>
          <w:rFonts w:ascii="Arial" w:hAnsi="Arial" w:eastAsia="Calibri" w:cs="Arial"/>
        </w:rPr>
      </w:pPr>
      <w:r>
        <w:rPr>
          <w:rFonts w:ascii="Arial" w:hAnsi="Arial" w:eastAsia="Calibri" w:cs="Arial"/>
          <w:b/>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after="120" w:afterLines="50"/>
        <w:jc w:val="both"/>
        <w:rPr>
          <w:rFonts w:ascii="Arial" w:hAnsi="Arial" w:eastAsia="Calibri" w:cs="Arial"/>
        </w:rPr>
      </w:pPr>
      <w:r>
        <w:rPr>
          <w:rFonts w:ascii="Arial" w:hAnsi="Arial" w:eastAsia="Calibri" w:cs="Arial"/>
          <w:b/>
        </w:rPr>
        <w:t xml:space="preserve">5.18. </w:t>
      </w:r>
      <w:r>
        <w:rPr>
          <w:rFonts w:ascii="Arial" w:hAnsi="Arial" w:eastAsia="Calibri" w:cs="Arial"/>
        </w:rPr>
        <w:t>O licitante deverá obedecer rigorosamente aos termos deste Edital e seus Anexos. E, em caso de discordância existente entre as especificações do objeto descrito no www.licitanet.com.br</w:t>
      </w:r>
      <w:r>
        <w:rPr>
          <w:rFonts w:ascii="Arial" w:hAnsi="Arial" w:eastAsia="Calibri" w:cs="Arial"/>
          <w:b/>
        </w:rPr>
        <w:t xml:space="preserve"> </w:t>
      </w:r>
      <w:r>
        <w:rPr>
          <w:rFonts w:ascii="Arial" w:hAnsi="Arial" w:eastAsia="Calibri" w:cs="Arial"/>
        </w:rPr>
        <w:t xml:space="preserve">e as especificações constantes do </w:t>
      </w:r>
      <w:r>
        <w:rPr>
          <w:rFonts w:ascii="Arial" w:hAnsi="Arial" w:eastAsia="Calibri" w:cs="Arial"/>
          <w:b/>
        </w:rPr>
        <w:t>Anexo I DO EDITAL</w:t>
      </w:r>
      <w:r>
        <w:rPr>
          <w:rFonts w:ascii="Arial" w:hAnsi="Arial" w:eastAsia="Calibri" w:cs="Arial"/>
        </w:rPr>
        <w:t>, prevalecerão as últimas;</w:t>
      </w:r>
    </w:p>
    <w:p>
      <w:pPr>
        <w:tabs>
          <w:tab w:val="left" w:pos="1080"/>
        </w:tabs>
        <w:spacing w:after="120" w:afterLines="50"/>
        <w:jc w:val="both"/>
        <w:rPr>
          <w:rFonts w:ascii="Arial" w:hAnsi="Arial" w:eastAsia="Calibri" w:cs="Arial"/>
        </w:rPr>
      </w:pPr>
      <w:r>
        <w:rPr>
          <w:rFonts w:ascii="Arial" w:hAnsi="Arial" w:eastAsia="Calibri" w:cs="Arial"/>
          <w:b/>
        </w:rPr>
        <w:t xml:space="preserve">5.19. </w:t>
      </w:r>
      <w:r>
        <w:rPr>
          <w:rFonts w:ascii="Arial" w:hAnsi="Arial" w:eastAsia="Calibri" w:cs="Arial"/>
        </w:rPr>
        <w:t>A licitante arcará integralmente com todos os custos de preparação e apresentação de sua proposta de preços, independente do resultado do procedimento licitatório;</w:t>
      </w:r>
    </w:p>
    <w:p>
      <w:pPr>
        <w:tabs>
          <w:tab w:val="left" w:pos="1080"/>
        </w:tabs>
        <w:spacing w:after="120" w:afterLines="50"/>
        <w:jc w:val="both"/>
        <w:rPr>
          <w:rFonts w:ascii="Arial" w:hAnsi="Arial" w:eastAsia="Calibri" w:cs="Arial"/>
        </w:rPr>
      </w:pPr>
      <w:r>
        <w:rPr>
          <w:rFonts w:ascii="Arial" w:hAnsi="Arial" w:eastAsia="Calibri" w:cs="Arial"/>
          <w:b/>
        </w:rPr>
        <w:t>5.20.</w:t>
      </w:r>
      <w:r>
        <w:rPr>
          <w:rFonts w:ascii="Arial" w:hAnsi="Arial" w:eastAsia="Calibri" w:cs="Arial"/>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after="120" w:afterLines="50"/>
        <w:ind w:left="720" w:leftChars="300"/>
        <w:jc w:val="both"/>
        <w:rPr>
          <w:rFonts w:ascii="Arial" w:hAnsi="Arial" w:eastAsia="Calibri" w:cs="Arial"/>
        </w:rPr>
      </w:pPr>
      <w:r>
        <w:rPr>
          <w:rFonts w:ascii="Arial" w:hAnsi="Arial" w:eastAsia="Calibri" w:cs="Arial"/>
          <w:b/>
        </w:rPr>
        <w:t>5.20</w:t>
      </w:r>
      <w:r>
        <w:rPr>
          <w:rFonts w:ascii="Arial" w:hAnsi="Arial" w:eastAsia="Calibri" w:cs="Arial"/>
        </w:rPr>
        <w:t>.</w:t>
      </w:r>
      <w:r>
        <w:rPr>
          <w:rFonts w:ascii="Arial" w:hAnsi="Arial" w:eastAsia="Calibri" w:cs="Arial"/>
          <w:b/>
        </w:rPr>
        <w:t>1.</w:t>
      </w:r>
      <w:r>
        <w:rPr>
          <w:rFonts w:ascii="Arial" w:hAnsi="Arial" w:eastAsia="Calibri" w:cs="Arial"/>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after="120" w:afterLines="50"/>
        <w:jc w:val="both"/>
        <w:rPr>
          <w:rFonts w:ascii="Arial" w:hAnsi="Arial" w:eastAsia="Calibri" w:cs="Arial"/>
        </w:rPr>
      </w:pPr>
      <w:r>
        <w:rPr>
          <w:rFonts w:ascii="Arial" w:hAnsi="Arial" w:eastAsia="Calibri" w:cs="Arial"/>
          <w:b/>
        </w:rPr>
        <w:t xml:space="preserve">5.21. </w:t>
      </w:r>
      <w:r>
        <w:rPr>
          <w:rFonts w:ascii="Arial" w:hAnsi="Arial" w:eastAsia="Calibri" w:cs="Arial"/>
        </w:rPr>
        <w:t>Nenhuma empresa ou instituição vinculada a Entidade de Licitação será elegível para participar deste processo licitatório;</w:t>
      </w:r>
    </w:p>
    <w:p>
      <w:pPr>
        <w:tabs>
          <w:tab w:val="left" w:pos="360"/>
        </w:tabs>
        <w:spacing w:after="120" w:afterLines="50"/>
        <w:jc w:val="both"/>
        <w:rPr>
          <w:rFonts w:ascii="Arial" w:hAnsi="Arial" w:eastAsia="Calibri" w:cs="Arial"/>
          <w:b/>
        </w:rPr>
      </w:pPr>
      <w:r>
        <w:rPr>
          <w:rFonts w:ascii="Arial" w:hAnsi="Arial" w:eastAsia="Calibri" w:cs="Arial"/>
          <w:b/>
        </w:rPr>
        <w:t xml:space="preserve">5.22. </w:t>
      </w:r>
      <w:r>
        <w:rPr>
          <w:rFonts w:ascii="Arial" w:hAnsi="Arial" w:eastAsia="Calibri" w:cs="Arial"/>
        </w:rPr>
        <w:t>Nas Propostas de Preços REGISTRADAS no Sistema Eletrônico, deverão ser observadas as seguintes condições:</w:t>
      </w:r>
    </w:p>
    <w:p>
      <w:pPr>
        <w:tabs>
          <w:tab w:val="left" w:pos="4320"/>
        </w:tabs>
        <w:spacing w:after="120" w:afterLines="50"/>
        <w:ind w:left="720" w:leftChars="300"/>
        <w:jc w:val="both"/>
        <w:rPr>
          <w:rFonts w:ascii="Arial" w:hAnsi="Arial" w:eastAsia="Calibri" w:cs="Arial"/>
        </w:rPr>
      </w:pPr>
      <w:r>
        <w:rPr>
          <w:rFonts w:ascii="Arial" w:hAnsi="Arial" w:eastAsia="Calibri" w:cs="Arial"/>
          <w:b/>
        </w:rPr>
        <w:t xml:space="preserve">5.22.1. </w:t>
      </w:r>
      <w:r>
        <w:rPr>
          <w:rFonts w:ascii="Arial" w:hAnsi="Arial" w:eastAsia="Calibri" w:cs="Arial"/>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ascii="Arial" w:hAnsi="Arial" w:eastAsia="Calibri" w:cs="Arial"/>
          <w:b/>
        </w:rPr>
        <w:t>Anexo I DO EDITAL</w:t>
      </w:r>
      <w:r>
        <w:rPr>
          <w:rFonts w:ascii="Arial" w:hAnsi="Arial" w:eastAsia="Calibri" w:cs="Arial"/>
        </w:rPr>
        <w:t>;</w:t>
      </w:r>
    </w:p>
    <w:p>
      <w:pPr>
        <w:spacing w:after="120" w:afterLines="50"/>
        <w:ind w:left="720" w:leftChars="300"/>
        <w:jc w:val="both"/>
        <w:rPr>
          <w:rFonts w:ascii="Arial" w:hAnsi="Arial" w:eastAsia="Calibri" w:cs="Arial"/>
        </w:rPr>
      </w:pPr>
      <w:r>
        <w:rPr>
          <w:rFonts w:ascii="Arial" w:hAnsi="Arial" w:eastAsia="Calibri" w:cs="Arial"/>
          <w:b/>
        </w:rPr>
        <w:t xml:space="preserve">5.22.2. </w:t>
      </w:r>
      <w:r>
        <w:rPr>
          <w:rFonts w:ascii="Arial" w:hAnsi="Arial" w:eastAsia="Calibri" w:cs="Arial"/>
        </w:rPr>
        <w:t>No preço ofertado deverão estar inclusos todos os insumos que o compõem, tais como os impostos, ICMS e/ou ISSQN (conforme o caso), taxas, descontos, e quaisquer outros que incidam direta ou indiretamente na execução do objeto desta licitação;</w:t>
      </w:r>
    </w:p>
    <w:p>
      <w:pPr>
        <w:spacing w:after="120" w:afterLines="50"/>
        <w:ind w:left="720" w:leftChars="300"/>
        <w:jc w:val="both"/>
        <w:rPr>
          <w:rFonts w:ascii="Arial" w:hAnsi="Arial" w:eastAsia="Calibri" w:cs="Arial"/>
        </w:rPr>
      </w:pPr>
      <w:r>
        <w:rPr>
          <w:rFonts w:ascii="Arial" w:hAnsi="Arial" w:eastAsia="Calibri" w:cs="Arial"/>
          <w:b/>
        </w:rPr>
        <w:t xml:space="preserve">5.22.3. </w:t>
      </w:r>
      <w:bookmarkStart w:id="1" w:name="_Hlk511207248"/>
      <w:r>
        <w:rPr>
          <w:rFonts w:ascii="Arial" w:hAnsi="Arial" w:eastAsia="Calibri" w:cs="Arial"/>
        </w:rPr>
        <w:t xml:space="preserve">Os itens ofertados deverão estar de acordo as especificações do objeto nos moldes do  </w:t>
      </w:r>
      <w:r>
        <w:rPr>
          <w:rFonts w:ascii="Arial" w:hAnsi="Arial" w:eastAsia="Calibri" w:cs="Arial"/>
          <w:b/>
        </w:rPr>
        <w:t>Anexo I DO EDITAL</w:t>
      </w:r>
      <w:r>
        <w:rPr>
          <w:rFonts w:ascii="Arial" w:hAnsi="Arial" w:eastAsia="Calibri" w:cs="Arial"/>
        </w:rPr>
        <w:t>, incluindo marca, modelo (se for exigido) e outros elementos que identifiquem e constatem as descriminações dos produtos e/ou serviços ofertados, sob pena de DESCLASSIFICAÇÃO.</w:t>
      </w:r>
    </w:p>
    <w:bookmarkEnd w:id="1"/>
    <w:p>
      <w:pPr>
        <w:tabs>
          <w:tab w:val="left" w:pos="0"/>
        </w:tabs>
        <w:spacing w:after="120" w:afterLines="50"/>
        <w:ind w:left="720" w:leftChars="300"/>
        <w:jc w:val="both"/>
        <w:rPr>
          <w:rFonts w:ascii="Arial" w:hAnsi="Arial" w:eastAsia="Calibri" w:cs="Arial"/>
          <w:b/>
        </w:rPr>
      </w:pPr>
      <w:r>
        <w:rPr>
          <w:rFonts w:ascii="Arial" w:hAnsi="Arial" w:eastAsia="Calibri" w:cs="Arial"/>
          <w:b/>
        </w:rPr>
        <w:t xml:space="preserve">5.22.4. </w:t>
      </w:r>
      <w:r>
        <w:rPr>
          <w:rFonts w:ascii="Arial" w:hAnsi="Arial" w:eastAsia="Calibri" w:cs="Arial"/>
        </w:rPr>
        <w:t>Descrição detalhada dos itens ofertados, ficando expressamente vedado a indicação de 02 (duas) ou  mais marcas para cada item, exceto quando determinar o edital. (se este for o caso).</w:t>
      </w:r>
    </w:p>
    <w:p>
      <w:pPr>
        <w:tabs>
          <w:tab w:val="left" w:pos="0"/>
        </w:tabs>
        <w:spacing w:after="120" w:afterLines="50"/>
        <w:ind w:left="720" w:leftChars="300"/>
        <w:jc w:val="both"/>
        <w:rPr>
          <w:rFonts w:ascii="Arial" w:hAnsi="Arial" w:eastAsia="Calibri" w:cs="Arial"/>
          <w:b/>
        </w:rPr>
      </w:pPr>
      <w:r>
        <w:rPr>
          <w:rFonts w:ascii="Arial" w:hAnsi="Arial" w:eastAsia="Calibri" w:cs="Arial"/>
          <w:b/>
        </w:rPr>
        <w:t xml:space="preserve">5.22.5. </w:t>
      </w:r>
      <w:r>
        <w:rPr>
          <w:rFonts w:ascii="Arial" w:hAnsi="Arial" w:eastAsia="Calibri" w:cs="Arial"/>
        </w:rPr>
        <w:t>Apresentar a validade da proposta, de forma clara e inconfundível, bem como prazo e local de entrega sob pena de desclassificação.</w:t>
      </w:r>
    </w:p>
    <w:p>
      <w:pPr>
        <w:tabs>
          <w:tab w:val="left" w:pos="360"/>
        </w:tabs>
        <w:spacing w:after="120" w:afterLines="50"/>
        <w:jc w:val="both"/>
        <w:rPr>
          <w:rFonts w:ascii="Arial" w:hAnsi="Arial" w:eastAsia="Calibri" w:cs="Arial"/>
        </w:rPr>
      </w:pPr>
      <w:r>
        <w:rPr>
          <w:rFonts w:ascii="Arial" w:hAnsi="Arial" w:eastAsia="Calibri" w:cs="Arial"/>
          <w:b/>
        </w:rPr>
        <w:t>5.23</w:t>
      </w:r>
      <w:r>
        <w:rPr>
          <w:rFonts w:ascii="Arial" w:hAnsi="Arial" w:eastAsia="Calibri" w:cs="Arial"/>
        </w:rPr>
        <w:t>. A proposta de preços registrada implicará em plena aceitação, por parte da licitante, das condições estabelecidas neste Edital e seus Anexos.</w:t>
      </w:r>
    </w:p>
    <w:p>
      <w:pPr>
        <w:tabs>
          <w:tab w:val="left" w:pos="360"/>
        </w:tabs>
        <w:spacing w:after="120" w:afterLines="50"/>
        <w:jc w:val="both"/>
        <w:rPr>
          <w:rFonts w:ascii="Arial" w:hAnsi="Arial" w:eastAsia="Calibri" w:cs="Arial"/>
          <w:color w:val="auto"/>
        </w:rPr>
      </w:pPr>
      <w:r>
        <w:rPr>
          <w:rFonts w:ascii="Arial" w:hAnsi="Arial" w:eastAsia="Calibri" w:cs="Arial"/>
          <w:color w:val="auto"/>
        </w:rPr>
        <w:t>5.24. Sob pena de desclassificação deverão ser atendidas todas a(s) normativa(s) e condicionantes estabelecida(s) na(s) referida(s) convenção coletiva de trabalho.</w:t>
      </w:r>
    </w:p>
    <w:p>
      <w:pPr>
        <w:tabs>
          <w:tab w:val="left" w:pos="360"/>
        </w:tabs>
        <w:spacing w:after="120" w:afterLines="50"/>
        <w:jc w:val="both"/>
        <w:rPr>
          <w:rFonts w:ascii="Arial" w:hAnsi="Arial" w:eastAsia="Calibri" w:cs="Arial"/>
          <w:color w:val="auto"/>
        </w:rPr>
      </w:pPr>
      <w:r>
        <w:rPr>
          <w:rFonts w:ascii="Arial" w:hAnsi="Arial" w:eastAsia="Calibri" w:cs="Arial"/>
          <w:color w:val="auto"/>
        </w:rPr>
        <w:t>5.25. Juntamente com a proposta de preços, o licitante deverá apresentar o GFIP referente ao mês anterior à data da realização da licitação juntamente com o FAP web apto a comprovar o Risco de Acidente de Trabalho (RAT) x Fator Acidentário de Prevenção (FAP) = RAT ajustado da licitante;</w:t>
      </w:r>
    </w:p>
    <w:p>
      <w:pPr>
        <w:tabs>
          <w:tab w:val="left" w:pos="360"/>
        </w:tabs>
        <w:spacing w:after="120" w:afterLines="50"/>
        <w:jc w:val="both"/>
        <w:rPr>
          <w:rFonts w:ascii="Arial" w:hAnsi="Arial" w:eastAsia="Calibri" w:cs="Arial"/>
          <w:b/>
        </w:rPr>
      </w:pPr>
      <w:r>
        <w:rPr>
          <w:rFonts w:ascii="Arial" w:hAnsi="Arial" w:eastAsia="Calibri" w:cs="Arial"/>
          <w:b/>
        </w:rPr>
        <w:t xml:space="preserve">5.26. </w:t>
      </w:r>
      <w:r>
        <w:rPr>
          <w:rFonts w:ascii="Arial" w:hAnsi="Arial" w:eastAsia="Calibri" w:cs="Arial"/>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spacing w:after="120" w:afterLines="50"/>
        <w:jc w:val="both"/>
        <w:rPr>
          <w:rFonts w:ascii="Arial" w:hAnsi="Arial" w:eastAsia="Calibri" w:cs="Arial"/>
          <w:b/>
          <w:u w:val="single"/>
        </w:rPr>
      </w:pPr>
      <w:r>
        <w:rPr>
          <w:rFonts w:ascii="Arial" w:hAnsi="Arial" w:eastAsia="Calibri" w:cs="Arial"/>
          <w:b/>
        </w:rPr>
        <w:t xml:space="preserve">5.26.1. </w:t>
      </w:r>
      <w:r>
        <w:rPr>
          <w:rFonts w:ascii="Arial" w:hAnsi="Arial" w:eastAsia="Calibri" w:cs="Arial"/>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r>
        <w:rPr>
          <w:rFonts w:ascii="Arial" w:hAnsi="Arial" w:eastAsia="Calibri" w:cs="Arial"/>
          <w:b/>
        </w:rPr>
        <w:t xml:space="preserve">5.27. </w:t>
      </w:r>
      <w:r>
        <w:rPr>
          <w:rFonts w:ascii="Arial" w:hAnsi="Arial" w:eastAsia="Calibri" w:cs="Arial"/>
          <w:u w:val="single"/>
        </w:rPr>
        <w:t>Assim como as propostas de preços, os valores lançados serão pelo VALOR TOTAL DE CADA LOTE no sistema em acordo com a proposta, sob pena de desclassificação.</w:t>
      </w:r>
    </w:p>
    <w:p>
      <w:pPr>
        <w:pStyle w:val="58"/>
        <w:jc w:val="both"/>
        <w:rPr>
          <w:rFonts w:ascii="Arial" w:hAnsi="Arial" w:eastAsia="Calibri" w:cs="Arial"/>
        </w:rPr>
      </w:pPr>
      <w:r>
        <w:rPr>
          <w:rFonts w:ascii="Arial" w:hAnsi="Arial" w:eastAsia="Calibri" w:cs="Arial"/>
          <w:b/>
        </w:rPr>
        <w:t>5.28.</w:t>
      </w:r>
      <w:r>
        <w:rPr>
          <w:rFonts w:ascii="Arial" w:hAnsi="Arial" w:eastAsia="Calibri" w:cs="Arial"/>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1"/>
        <w:widowControl w:val="0"/>
        <w:tabs>
          <w:tab w:val="left" w:pos="993"/>
          <w:tab w:val="clear" w:pos="4419"/>
          <w:tab w:val="clear" w:pos="8838"/>
        </w:tabs>
        <w:spacing w:after="120"/>
        <w:rPr>
          <w:rFonts w:ascii="Arial" w:hAnsi="Arial" w:eastAsia="Calibri" w:cs="Arial"/>
          <w:color w:val="000000"/>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3360;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N/4pNUAAAAGAQAADwAAAAAAAAABACAAAAAiAAAA&#10;ZHJzL2Rvd25yZXYueG1sUEsBAhQAFAAAAAgAh07iQN26+0BDAgAAwQQAAA4AAAAAAAAAAQAgAAAA&#10;JAEAAGRycy9lMm9Eb2MueG1sUEsFBgAAAAAGAAYAWQEAANkFA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VI – DA ABERTURA DA SESSÃO PÚBLICA</w:t>
                      </w:r>
                    </w:p>
                  </w:txbxContent>
                </v:textbox>
              </v:rect>
            </w:pict>
          </mc:Fallback>
        </mc:AlternateContent>
      </w:r>
    </w:p>
    <w:p>
      <w:pPr>
        <w:pStyle w:val="2"/>
        <w:keepNext w:val="0"/>
        <w:widowControl w:val="0"/>
        <w:tabs>
          <w:tab w:val="left" w:pos="1134"/>
        </w:tabs>
        <w:spacing w:before="0" w:after="120"/>
        <w:ind w:left="0"/>
        <w:jc w:val="both"/>
        <w:rPr>
          <w:rFonts w:cs="Arial"/>
          <w:color w:val="000000"/>
        </w:rPr>
      </w:pPr>
    </w:p>
    <w:p>
      <w:pPr>
        <w:pStyle w:val="103"/>
        <w:widowControl w:val="0"/>
        <w:numPr>
          <w:ilvl w:val="0"/>
          <w:numId w:val="8"/>
        </w:numPr>
        <w:tabs>
          <w:tab w:val="left" w:pos="567"/>
          <w:tab w:val="left" w:pos="993"/>
        </w:tabs>
        <w:spacing w:after="120"/>
        <w:jc w:val="both"/>
        <w:rPr>
          <w:rFonts w:ascii="Arial" w:hAnsi="Arial" w:eastAsia="Calibri" w:cs="Arial"/>
          <w:vanish/>
          <w:color w:val="000000"/>
        </w:rPr>
      </w:pPr>
    </w:p>
    <w:p>
      <w:pPr>
        <w:pStyle w:val="103"/>
        <w:widowControl w:val="0"/>
        <w:tabs>
          <w:tab w:val="left" w:pos="426"/>
          <w:tab w:val="left" w:pos="993"/>
        </w:tabs>
        <w:snapToGrid w:val="0"/>
        <w:spacing w:after="120" w:afterLines="50"/>
        <w:ind w:left="0"/>
        <w:jc w:val="both"/>
        <w:rPr>
          <w:rFonts w:ascii="Arial" w:hAnsi="Arial" w:eastAsia="Calibri" w:cs="Arial"/>
        </w:rPr>
      </w:pPr>
      <w:r>
        <w:rPr>
          <w:rFonts w:ascii="Arial" w:hAnsi="Arial" w:eastAsia="Calibri" w:cs="Arial"/>
          <w:b/>
          <w:color w:val="000000"/>
        </w:rPr>
        <w:t xml:space="preserve">6.1. </w:t>
      </w:r>
      <w:r>
        <w:rPr>
          <w:rFonts w:ascii="Arial" w:hAnsi="Arial" w:eastAsia="Calibri" w:cs="Arial"/>
          <w:color w:val="000000"/>
        </w:rPr>
        <w:t xml:space="preserve">A abertura da sessão pública deste </w:t>
      </w:r>
      <w:r>
        <w:rPr>
          <w:rFonts w:ascii="Arial" w:hAnsi="Arial" w:eastAsia="Calibri" w:cs="Arial"/>
          <w:b/>
          <w:color w:val="000000"/>
        </w:rPr>
        <w:t>Pregão</w:t>
      </w:r>
      <w:r>
        <w:rPr>
          <w:rFonts w:ascii="Arial" w:hAnsi="Arial" w:eastAsia="Calibri" w:cs="Arial"/>
          <w:color w:val="000000"/>
        </w:rPr>
        <w:t xml:space="preserve">, conduzida pelo </w:t>
      </w:r>
      <w:r>
        <w:rPr>
          <w:rFonts w:ascii="Arial" w:hAnsi="Arial" w:eastAsia="Calibri" w:cs="Arial"/>
          <w:b/>
          <w:color w:val="000000"/>
        </w:rPr>
        <w:t>Pregoeiro</w:t>
      </w:r>
      <w:r>
        <w:rPr>
          <w:rFonts w:ascii="Arial" w:hAnsi="Arial" w:eastAsia="Calibri" w:cs="Arial"/>
          <w:color w:val="000000"/>
        </w:rPr>
        <w:t xml:space="preserve">, ocorrerá na data e na hora indicadas no preâmbulo deste Edital, no sítio </w:t>
      </w:r>
      <w:r>
        <w:fldChar w:fldCharType="begin"/>
      </w:r>
      <w:r>
        <w:instrText xml:space="preserve"> HYPERLINK "http://www.licitanet.com.br" </w:instrText>
      </w:r>
      <w:r>
        <w:fldChar w:fldCharType="separate"/>
      </w:r>
      <w:r>
        <w:rPr>
          <w:rStyle w:val="18"/>
          <w:rFonts w:ascii="Arial" w:hAnsi="Arial" w:eastAsia="Calibri" w:cs="Arial"/>
        </w:rPr>
        <w:t>www.licitanet.com.br</w:t>
      </w:r>
      <w:r>
        <w:rPr>
          <w:rStyle w:val="18"/>
          <w:rFonts w:ascii="Arial" w:hAnsi="Arial" w:eastAsia="Calibri" w:cs="Arial"/>
        </w:rPr>
        <w:fldChar w:fldCharType="end"/>
      </w:r>
      <w:r>
        <w:rPr>
          <w:rFonts w:ascii="Arial" w:hAnsi="Arial" w:eastAsia="Calibri" w:cs="Arial"/>
        </w:rPr>
        <w:t>;</w:t>
      </w:r>
    </w:p>
    <w:p>
      <w:pPr>
        <w:pStyle w:val="103"/>
        <w:widowControl w:val="0"/>
        <w:tabs>
          <w:tab w:val="left" w:pos="426"/>
          <w:tab w:val="left" w:pos="993"/>
        </w:tabs>
        <w:snapToGrid w:val="0"/>
        <w:spacing w:after="120" w:afterLines="50"/>
        <w:ind w:left="0"/>
        <w:jc w:val="both"/>
        <w:rPr>
          <w:rFonts w:ascii="Arial" w:hAnsi="Arial" w:eastAsia="Calibri" w:cs="Arial"/>
          <w:color w:val="000000"/>
        </w:rPr>
      </w:pPr>
      <w:r>
        <w:rPr>
          <w:rFonts w:ascii="Arial" w:hAnsi="Arial" w:eastAsia="Calibri" w:cs="Arial"/>
          <w:b/>
          <w:color w:val="000000"/>
        </w:rPr>
        <w:t xml:space="preserve">6.2. </w:t>
      </w:r>
      <w:r>
        <w:rPr>
          <w:rFonts w:ascii="Arial" w:hAnsi="Arial" w:eastAsia="Calibri" w:cs="Arial"/>
          <w:color w:val="000000"/>
        </w:rPr>
        <w:t xml:space="preserve">Durante a sessão pública, a comunicação entre o </w:t>
      </w:r>
      <w:r>
        <w:rPr>
          <w:rFonts w:ascii="Arial" w:hAnsi="Arial" w:eastAsia="Calibri" w:cs="Arial"/>
          <w:b/>
          <w:color w:val="000000"/>
        </w:rPr>
        <w:t>Pregoeiro</w:t>
      </w:r>
      <w:r>
        <w:rPr>
          <w:rFonts w:ascii="Arial" w:hAnsi="Arial" w:eastAsia="Calibri" w:cs="Arial"/>
          <w:color w:val="000000"/>
        </w:rPr>
        <w:t xml:space="preserve"> e as </w:t>
      </w:r>
      <w:r>
        <w:rPr>
          <w:rFonts w:ascii="Arial" w:hAnsi="Arial" w:eastAsia="Calibri" w:cs="Arial"/>
          <w:b/>
          <w:color w:val="000000"/>
        </w:rPr>
        <w:t>licitantes</w:t>
      </w:r>
      <w:r>
        <w:rPr>
          <w:rFonts w:ascii="Arial" w:hAnsi="Arial" w:eastAsia="Calibri" w:cs="Arial"/>
          <w:color w:val="000000"/>
        </w:rPr>
        <w:t xml:space="preserve"> ocorrerá exclusivamente mediante troca de mensagens, em campo próprio do sistema eletrônico;</w:t>
      </w:r>
    </w:p>
    <w:p>
      <w:pPr>
        <w:pStyle w:val="103"/>
        <w:widowControl w:val="0"/>
        <w:tabs>
          <w:tab w:val="left" w:pos="426"/>
          <w:tab w:val="left" w:pos="993"/>
        </w:tabs>
        <w:snapToGrid w:val="0"/>
        <w:spacing w:before="120" w:after="120" w:afterLines="50"/>
        <w:ind w:left="0"/>
        <w:jc w:val="both"/>
        <w:rPr>
          <w:rFonts w:ascii="Arial" w:hAnsi="Arial" w:eastAsia="Calibri" w:cs="Arial"/>
          <w:color w:val="000000"/>
        </w:rPr>
      </w:pPr>
      <w:r>
        <w:rPr>
          <w:rFonts w:ascii="Arial" w:hAnsi="Arial" w:eastAsia="Calibri" w:cs="Arial"/>
          <w:b/>
          <w:color w:val="000000"/>
        </w:rPr>
        <w:t xml:space="preserve">6.3. </w:t>
      </w:r>
      <w:r>
        <w:rPr>
          <w:rFonts w:ascii="Arial" w:hAnsi="Arial" w:eastAsia="Calibri" w:cs="Arial"/>
          <w:color w:val="000000"/>
        </w:rPr>
        <w:t xml:space="preserve">Cabe à </w:t>
      </w:r>
      <w:r>
        <w:rPr>
          <w:rFonts w:ascii="Arial" w:hAnsi="Arial" w:eastAsia="Calibri" w:cs="Arial"/>
          <w:b/>
          <w:color w:val="000000"/>
        </w:rPr>
        <w:t>licitante</w:t>
      </w:r>
      <w:r>
        <w:rPr>
          <w:rFonts w:ascii="Arial" w:hAnsi="Arial" w:eastAsia="Calibri" w:cs="Arial"/>
          <w:color w:val="000000"/>
        </w:rPr>
        <w:t xml:space="preserve"> acompanhar as operações no sistema eletrônico durante a sessão pública do </w:t>
      </w:r>
      <w:r>
        <w:rPr>
          <w:rFonts w:ascii="Arial" w:hAnsi="Arial" w:eastAsia="Calibri" w:cs="Arial"/>
          <w:b/>
          <w:color w:val="000000"/>
        </w:rPr>
        <w:t>Pregão</w:t>
      </w:r>
      <w:r>
        <w:rPr>
          <w:rFonts w:ascii="Arial" w:hAnsi="Arial" w:eastAsia="Calibri" w:cs="Arial"/>
          <w:color w:val="000000"/>
        </w:rPr>
        <w:t>, ficando responsável pelo ônus decorrente da perda de negócios diante da inobservância de qualquer mensagem emitida pelo sistema ou de sua desconexão;</w:t>
      </w:r>
    </w:p>
    <w:p>
      <w:pPr>
        <w:pStyle w:val="103"/>
        <w:widowControl w:val="0"/>
        <w:tabs>
          <w:tab w:val="left" w:pos="426"/>
          <w:tab w:val="left" w:pos="993"/>
        </w:tabs>
        <w:snapToGrid w:val="0"/>
        <w:spacing w:before="120" w:after="120" w:afterLines="50"/>
        <w:ind w:left="0"/>
        <w:jc w:val="both"/>
        <w:rPr>
          <w:rFonts w:ascii="Arial" w:hAnsi="Arial" w:eastAsia="Calibri" w:cs="Arial"/>
          <w:b/>
        </w:rPr>
      </w:pPr>
      <w:r>
        <w:rPr>
          <w:rFonts w:ascii="Arial" w:hAnsi="Arial" w:eastAsia="Calibri" w:cs="Arial"/>
          <w:b/>
        </w:rPr>
        <w:t>6.4. Informa-se ainda que devido ao caráter sigiloso das licitações, na fase de lances, o Pregoeiro não atenderá ao telefone para responder questões inerentes ao presente Pregão.</w:t>
      </w:r>
    </w:p>
    <w:p>
      <w:pPr>
        <w:pStyle w:val="103"/>
        <w:widowControl w:val="0"/>
        <w:tabs>
          <w:tab w:val="left" w:pos="426"/>
          <w:tab w:val="left" w:pos="993"/>
        </w:tabs>
        <w:snapToGrid w:val="0"/>
        <w:spacing w:before="120" w:after="120" w:afterLines="50"/>
        <w:ind w:left="0"/>
        <w:jc w:val="both"/>
        <w:rPr>
          <w:rFonts w:ascii="Arial" w:hAnsi="Arial" w:eastAsia="Calibri" w:cs="Arial"/>
          <w:b/>
        </w:rPr>
      </w:pPr>
      <w:r>
        <w:rPr>
          <w:rFonts w:ascii="Arial" w:hAnsi="Arial" w:cs="Arial"/>
          <w:sz w:val="20"/>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111125</wp:posOffset>
                </wp:positionV>
                <wp:extent cx="6200775" cy="248285"/>
                <wp:effectExtent l="4445" t="4445" r="43180" b="33020"/>
                <wp:wrapNone/>
                <wp:docPr id="6" name="Retângulo 10"/>
                <wp:cNvGraphicFramePr/>
                <a:graphic xmlns:a="http://schemas.openxmlformats.org/drawingml/2006/main">
                  <a:graphicData uri="http://schemas.microsoft.com/office/word/2010/wordprocessingShape">
                    <wps:wsp>
                      <wps:cNvSpPr/>
                      <wps:spPr>
                        <a:xfrm>
                          <a:off x="0" y="0"/>
                          <a:ext cx="6200775" cy="24828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0.7pt;margin-top:8.75pt;height:19.55pt;width:488.25pt;z-index:251664384;mso-width-relative:page;mso-height-relative:page;" fillcolor="#D8D8D8" filled="t" stroked="t" coordsize="21600,21600" o:gfxdata="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pfxpDYAAAACAEA&#10;AA8AAAAAAAAAAQAgAAAAIgAAAGRycy9kb3ducmV2LnhtbFBLAQIUABQAAAAIAIdO4kBCid99UwIA&#10;ANk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VII – DA CLASSIFICAÇÃO DAS PROPOSTAS</w:t>
                      </w:r>
                    </w:p>
                  </w:txbxContent>
                </v:textbox>
              </v:rect>
            </w:pict>
          </mc:Fallback>
        </mc:AlternateContent>
      </w:r>
    </w:p>
    <w:p>
      <w:pPr>
        <w:pStyle w:val="103"/>
        <w:widowControl w:val="0"/>
        <w:tabs>
          <w:tab w:val="left" w:pos="426"/>
          <w:tab w:val="left" w:pos="993"/>
        </w:tabs>
        <w:snapToGrid w:val="0"/>
        <w:spacing w:before="120" w:after="120" w:afterLines="50"/>
        <w:ind w:left="0"/>
        <w:jc w:val="both"/>
        <w:rPr>
          <w:rFonts w:ascii="Arial" w:hAnsi="Arial" w:eastAsia="Calibri" w:cs="Arial"/>
          <w:b/>
        </w:rPr>
      </w:pPr>
    </w:p>
    <w:p>
      <w:pPr>
        <w:widowControl w:val="0"/>
        <w:numPr>
          <w:ilvl w:val="0"/>
          <w:numId w:val="8"/>
        </w:numPr>
        <w:spacing w:after="120"/>
        <w:ind w:left="360" w:hanging="360"/>
        <w:jc w:val="both"/>
        <w:rPr>
          <w:rFonts w:ascii="Arial" w:hAnsi="Arial" w:eastAsia="Calibri" w:cs="Arial"/>
          <w:vanish/>
          <w:color w:val="000000"/>
        </w:rPr>
      </w:pPr>
    </w:p>
    <w:p>
      <w:pPr>
        <w:pStyle w:val="31"/>
        <w:widowControl w:val="0"/>
        <w:tabs>
          <w:tab w:val="left" w:pos="-709"/>
          <w:tab w:val="left" w:pos="426"/>
          <w:tab w:val="clear" w:pos="4419"/>
          <w:tab w:val="clear" w:pos="8838"/>
        </w:tabs>
        <w:spacing w:after="120"/>
        <w:rPr>
          <w:rFonts w:ascii="Arial" w:hAnsi="Arial" w:eastAsia="Calibri" w:cs="Arial"/>
          <w:color w:val="000000"/>
        </w:rPr>
      </w:pPr>
      <w:r>
        <w:rPr>
          <w:rFonts w:ascii="Arial" w:hAnsi="Arial" w:eastAsia="Calibri" w:cs="Arial"/>
          <w:b/>
          <w:color w:val="000000"/>
        </w:rPr>
        <w:t xml:space="preserve">7.1. </w:t>
      </w:r>
      <w:r>
        <w:rPr>
          <w:rFonts w:ascii="Arial" w:hAnsi="Arial" w:eastAsia="Calibri" w:cs="Arial"/>
          <w:color w:val="000000"/>
        </w:rPr>
        <w:t xml:space="preserve">O </w:t>
      </w:r>
      <w:r>
        <w:rPr>
          <w:rFonts w:ascii="Arial" w:hAnsi="Arial" w:eastAsia="Calibri" w:cs="Arial"/>
          <w:b/>
          <w:color w:val="000000"/>
        </w:rPr>
        <w:t>Pregoeiro</w:t>
      </w:r>
      <w:r>
        <w:rPr>
          <w:rFonts w:ascii="Arial" w:hAnsi="Arial" w:eastAsia="Calibri" w:cs="Arial"/>
          <w:color w:val="000000"/>
        </w:rPr>
        <w:t xml:space="preserve"> verificará as propostas apresentadas e desclassificará, motivadamente, aquelas que não estejam em conformidade com os requisitos estabelecidos neste Edital;</w:t>
      </w:r>
    </w:p>
    <w:p>
      <w:pPr>
        <w:pStyle w:val="2"/>
        <w:keepNext w:val="0"/>
        <w:widowControl w:val="0"/>
        <w:tabs>
          <w:tab w:val="left" w:pos="567"/>
        </w:tabs>
        <w:spacing w:before="0" w:after="120"/>
        <w:ind w:left="0"/>
        <w:jc w:val="both"/>
        <w:rPr>
          <w:rFonts w:cs="Arial"/>
          <w:color w:val="000000"/>
        </w:rPr>
      </w:pPr>
    </w:p>
    <w:p>
      <w:pPr>
        <w:pStyle w:val="2"/>
        <w:keepNext w:val="0"/>
        <w:widowControl w:val="0"/>
        <w:tabs>
          <w:tab w:val="left" w:pos="567"/>
        </w:tabs>
        <w:spacing w:before="0" w:after="120"/>
        <w:ind w:left="0"/>
        <w:jc w:val="both"/>
        <w:rPr>
          <w:rFonts w:cs="Arial"/>
          <w:color w:val="000000"/>
        </w:rPr>
      </w:pPr>
      <w:r>
        <w:rPr>
          <w:rFonts w:cs="Arial"/>
          <w:sz w:val="20"/>
        </w:rPr>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-121920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15pt;margin-top:-9.6pt;height:23.25pt;width:489.8pt;z-index:251665408;mso-width-relative:page;mso-height-relative:page;" fillcolor="#D8D8D8" filled="t" stroked="t" coordsize="21600,21600" o:gfxdata="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oIDR7YAAAACQEA&#10;AA8AAAAAAAAAAQAgAAAAIgAAAGRycy9kb3ducmV2LnhtbFBLAQIUABQAAAAIAIdO4kAJX66BUwIA&#10;ANk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VIII – DA FORMULAÇÃO DE LANCES</w:t>
                      </w:r>
                    </w:p>
                  </w:txbxContent>
                </v:textbox>
              </v:rect>
            </w:pict>
          </mc:Fallback>
        </mc:AlternateContent>
      </w:r>
    </w:p>
    <w:p>
      <w:pPr>
        <w:widowControl w:val="0"/>
        <w:spacing w:after="120"/>
        <w:jc w:val="both"/>
        <w:rPr>
          <w:rFonts w:ascii="Arial" w:hAnsi="Arial" w:eastAsia="Calibri" w:cs="Arial"/>
          <w:vanish/>
          <w:color w:val="000000"/>
        </w:rPr>
      </w:pPr>
    </w:p>
    <w:p>
      <w:pPr>
        <w:spacing w:after="120" w:afterLines="50"/>
        <w:jc w:val="both"/>
        <w:rPr>
          <w:rFonts w:ascii="Arial" w:hAnsi="Arial" w:eastAsia="Calibri" w:cs="Arial"/>
        </w:rPr>
      </w:pPr>
      <w:r>
        <w:rPr>
          <w:rFonts w:ascii="Arial" w:hAnsi="Arial" w:eastAsia="Calibri" w:cs="Arial"/>
          <w:b/>
        </w:rPr>
        <w:t>8.1.</w:t>
      </w:r>
      <w:r>
        <w:rPr>
          <w:rFonts w:ascii="Arial" w:hAnsi="Arial" w:eastAsia="Calibri" w:cs="Arial"/>
        </w:rPr>
        <w:t xml:space="preserve"> Somente as licitantes que apresentarem proposta de preços em consonância com o que dispõe o edital, poderão apresentar lances para o(s) LOTE(s) cotado(s), exclusivamente por meio do Sistema Eletrônico, sendo o licitante imediatamente informado do seu recebimento e respectivo horário de registro e valor.</w:t>
      </w:r>
    </w:p>
    <w:p>
      <w:pPr>
        <w:spacing w:after="120" w:afterLines="50"/>
        <w:ind w:left="720" w:leftChars="300"/>
        <w:jc w:val="both"/>
        <w:rPr>
          <w:rFonts w:ascii="Arial" w:hAnsi="Arial" w:eastAsia="Calibri" w:cs="Arial"/>
        </w:rPr>
      </w:pPr>
      <w:r>
        <w:rPr>
          <w:rFonts w:ascii="Arial" w:hAnsi="Arial" w:eastAsia="Calibri" w:cs="Arial"/>
          <w:b/>
        </w:rPr>
        <w:t xml:space="preserve">8.1.1. </w:t>
      </w:r>
      <w:r>
        <w:rPr>
          <w:rFonts w:ascii="Arial" w:hAnsi="Arial" w:eastAsia="Calibri" w:cs="Arial"/>
        </w:rPr>
        <w:t>Assim como as propostas de preços, os lances serão ofertados pelo VALOR UNITÁRIO DE CADA ITEM;</w:t>
      </w:r>
    </w:p>
    <w:p>
      <w:pPr>
        <w:spacing w:after="120" w:afterLines="50"/>
        <w:ind w:left="720" w:leftChars="300"/>
        <w:jc w:val="both"/>
        <w:rPr>
          <w:rFonts w:ascii="Arial" w:hAnsi="Arial" w:eastAsia="Calibri" w:cs="Arial"/>
        </w:rPr>
      </w:pPr>
      <w:r>
        <w:rPr>
          <w:rFonts w:ascii="Arial" w:hAnsi="Arial" w:eastAsia="Calibri" w:cs="Arial"/>
          <w:b/>
        </w:rPr>
        <w:t>8.1.2.</w:t>
      </w:r>
      <w:r>
        <w:rPr>
          <w:rFonts w:ascii="Arial" w:hAnsi="Arial" w:eastAsia="Calibri" w:cs="Arial"/>
        </w:rPr>
        <w:t xml:space="preserve"> Serão aceitos somente lances em moeda corrente nacional (R$), com no máximo 02 (duas) casas decimais, considerando as quantidades constantes na proposta inicial cadastrada no sistema.</w:t>
      </w:r>
    </w:p>
    <w:p>
      <w:pPr>
        <w:spacing w:after="120" w:afterLines="50"/>
        <w:jc w:val="both"/>
        <w:rPr>
          <w:rFonts w:ascii="Arial" w:hAnsi="Arial" w:eastAsia="Calibri" w:cs="Arial"/>
        </w:rPr>
      </w:pPr>
      <w:r>
        <w:rPr>
          <w:rFonts w:ascii="Arial" w:hAnsi="Arial" w:eastAsia="Calibri" w:cs="Arial"/>
          <w:b/>
        </w:rPr>
        <w:t>8.2.</w:t>
      </w:r>
      <w:r>
        <w:rPr>
          <w:rFonts w:ascii="Arial" w:hAnsi="Arial" w:eastAsia="Calibri" w:cs="Arial"/>
        </w:rPr>
        <w:t xml:space="preserve"> A abertura e fechamento da fase de lances “via internet”, será feito pelo Pregoeiro(a).</w:t>
      </w:r>
    </w:p>
    <w:p>
      <w:pPr>
        <w:spacing w:after="120" w:afterLines="50"/>
        <w:jc w:val="both"/>
        <w:rPr>
          <w:rFonts w:ascii="Arial" w:hAnsi="Arial" w:eastAsia="Calibri" w:cs="Arial"/>
        </w:rPr>
      </w:pPr>
      <w:r>
        <w:rPr>
          <w:rFonts w:ascii="Arial" w:hAnsi="Arial" w:eastAsia="Calibri" w:cs="Arial"/>
          <w:b/>
        </w:rPr>
        <w:t>8.3.</w:t>
      </w:r>
      <w:r>
        <w:rPr>
          <w:rFonts w:ascii="Arial" w:hAnsi="Arial" w:eastAsia="Calibri" w:cs="Arial"/>
        </w:rPr>
        <w:t xml:space="preserve"> As licitantes poderão oferecer lances menores e sucessivos com intervalo minimo de R$ 0,01 (um  centavo de Real), observado o horário fixado e as regras de sua aceitação.</w:t>
      </w:r>
    </w:p>
    <w:p>
      <w:pPr>
        <w:spacing w:after="120" w:afterLines="50"/>
        <w:jc w:val="both"/>
        <w:rPr>
          <w:rFonts w:ascii="Arial" w:hAnsi="Arial" w:eastAsia="Calibri" w:cs="Arial"/>
        </w:rPr>
      </w:pPr>
      <w:r>
        <w:rPr>
          <w:rFonts w:ascii="Arial" w:hAnsi="Arial" w:eastAsia="Calibri" w:cs="Arial"/>
          <w:b/>
        </w:rPr>
        <w:t>8.4.</w:t>
      </w:r>
      <w:r>
        <w:rPr>
          <w:rFonts w:ascii="Arial" w:hAnsi="Arial" w:eastAsia="Calibri" w:cs="Arial"/>
        </w:rPr>
        <w:t xml:space="preserve"> A licitante somente poderá oferecer lances inferiores ao último por ele ofertado e registrado no sistema.</w:t>
      </w:r>
    </w:p>
    <w:p>
      <w:pPr>
        <w:spacing w:after="120" w:afterLines="50"/>
        <w:jc w:val="both"/>
        <w:rPr>
          <w:rFonts w:ascii="Arial" w:hAnsi="Arial" w:eastAsia="Calibri" w:cs="Arial"/>
        </w:rPr>
      </w:pPr>
      <w:r>
        <w:rPr>
          <w:rFonts w:ascii="Arial" w:hAnsi="Arial" w:eastAsia="Calibri" w:cs="Arial"/>
          <w:b/>
        </w:rPr>
        <w:t xml:space="preserve">8.5. </w:t>
      </w:r>
      <w:r>
        <w:rPr>
          <w:rFonts w:ascii="Arial" w:hAnsi="Arial" w:eastAsia="Calibri" w:cs="Arial"/>
        </w:rPr>
        <w:t>Não serão aceitos dois ou mais lances de mesmo valor, prevalecendo aquele que for recebido e registrado em primeiro lugar.</w:t>
      </w:r>
    </w:p>
    <w:p>
      <w:pPr>
        <w:spacing w:after="120" w:afterLines="50"/>
        <w:jc w:val="both"/>
        <w:rPr>
          <w:rFonts w:ascii="Arial" w:hAnsi="Arial" w:eastAsia="Calibri" w:cs="Arial"/>
        </w:rPr>
      </w:pPr>
      <w:r>
        <w:rPr>
          <w:rFonts w:ascii="Arial" w:hAnsi="Arial" w:eastAsia="Calibri" w:cs="Arial"/>
          <w:b/>
        </w:rPr>
        <w:t>8.6.</w:t>
      </w:r>
      <w:r>
        <w:rPr>
          <w:rFonts w:ascii="Arial" w:hAnsi="Arial" w:eastAsia="Calibri" w:cs="Arial"/>
        </w:rPr>
        <w:t xml:space="preserve"> Durante o transcurso da sessão pública, as licitantes serão informadas em tempo real do valor do menor lance registrado que tenha sido apresentado pelas demais licitantes, vedada a identificação do detentor do lance.</w:t>
      </w:r>
    </w:p>
    <w:p>
      <w:pPr>
        <w:spacing w:after="120" w:afterLines="50"/>
        <w:jc w:val="both"/>
        <w:rPr>
          <w:rFonts w:ascii="Arial" w:hAnsi="Arial" w:eastAsia="Calibri" w:cs="Arial"/>
        </w:rPr>
      </w:pPr>
      <w:r>
        <w:rPr>
          <w:rFonts w:ascii="Arial" w:hAnsi="Arial" w:eastAsia="Calibri" w:cs="Arial"/>
          <w:b/>
        </w:rPr>
        <w:t>8.7.</w:t>
      </w:r>
      <w:r>
        <w:rPr>
          <w:rFonts w:ascii="Arial" w:hAnsi="Arial" w:eastAsia="Calibri" w:cs="Arial"/>
        </w:rPr>
        <w:t xml:space="preserve"> No caso de desconexão com o Pregoeiro(a), no decorrer da etapa competitiva do PREGÃO ELETRÔNICO, o sistema eletrônico poderá permanecer acessível às licitantes para a recepção dos lances.</w:t>
      </w:r>
    </w:p>
    <w:p>
      <w:pPr>
        <w:spacing w:after="120" w:afterLines="50"/>
        <w:jc w:val="both"/>
        <w:rPr>
          <w:rFonts w:ascii="Arial" w:hAnsi="Arial" w:eastAsia="Calibri" w:cs="Arial"/>
        </w:rPr>
      </w:pPr>
      <w:r>
        <w:rPr>
          <w:rFonts w:ascii="Arial" w:hAnsi="Arial" w:eastAsia="Calibri" w:cs="Arial"/>
          <w:b/>
        </w:rPr>
        <w:t xml:space="preserve">8.7.1. </w:t>
      </w:r>
      <w:r>
        <w:rPr>
          <w:rFonts w:ascii="Arial" w:hAnsi="Arial" w:eastAsia="Calibri" w:cs="Arial"/>
        </w:rPr>
        <w:t>O Pregoeiro(a), quando possível, dará continuidade a sua atuação no certame, sem prejuízo dos atos realizados.</w:t>
      </w:r>
    </w:p>
    <w:p>
      <w:pPr>
        <w:spacing w:after="120" w:afterLines="50"/>
        <w:jc w:val="both"/>
        <w:rPr>
          <w:rFonts w:ascii="Arial" w:hAnsi="Arial" w:eastAsia="Calibri" w:cs="Arial"/>
        </w:rPr>
      </w:pPr>
      <w:r>
        <w:rPr>
          <w:rFonts w:ascii="Arial" w:hAnsi="Arial" w:eastAsia="Calibri" w:cs="Arial"/>
          <w:b/>
        </w:rPr>
        <w:t xml:space="preserve">8.7.2. </w:t>
      </w:r>
      <w:r>
        <w:rPr>
          <w:rFonts w:ascii="Arial" w:hAnsi="Arial" w:eastAsia="Calibri" w:cs="Arial"/>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fldChar w:fldCharType="begin"/>
      </w:r>
      <w:r>
        <w:instrText xml:space="preserve"> HYPERLINK "http://www.licitanet.com.br" </w:instrText>
      </w:r>
      <w:r>
        <w:fldChar w:fldCharType="separate"/>
      </w:r>
      <w:r>
        <w:rPr>
          <w:rStyle w:val="18"/>
          <w:rFonts w:ascii="Arial" w:hAnsi="Arial" w:eastAsia="Calibri" w:cs="Arial"/>
        </w:rPr>
        <w:t>www.licitanet.com.br</w:t>
      </w:r>
      <w:r>
        <w:rPr>
          <w:rStyle w:val="18"/>
          <w:rFonts w:ascii="Arial" w:hAnsi="Arial" w:eastAsia="Calibri" w:cs="Arial"/>
        </w:rPr>
        <w:fldChar w:fldCharType="end"/>
      </w:r>
    </w:p>
    <w:p>
      <w:pPr>
        <w:spacing w:after="120" w:afterLines="50"/>
        <w:jc w:val="both"/>
        <w:rPr>
          <w:rFonts w:ascii="Arial" w:hAnsi="Arial" w:eastAsia="Calibri" w:cs="Arial"/>
        </w:rPr>
      </w:pPr>
      <w:r>
        <w:rPr>
          <w:rFonts w:ascii="Arial" w:hAnsi="Arial" w:eastAsia="Calibri" w:cs="Arial"/>
          <w:b/>
        </w:rPr>
        <w:t>8.8.</w:t>
      </w:r>
      <w:r>
        <w:rPr>
          <w:rFonts w:ascii="Arial" w:hAnsi="Arial" w:eastAsia="Calibri" w:cs="Arial"/>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after="120" w:afterLines="50"/>
        <w:ind w:left="720" w:leftChars="300"/>
        <w:jc w:val="both"/>
        <w:rPr>
          <w:rFonts w:ascii="Arial" w:hAnsi="Arial" w:eastAsia="Calibri" w:cs="Arial"/>
        </w:rPr>
      </w:pPr>
      <w:r>
        <w:rPr>
          <w:rFonts w:ascii="Arial" w:hAnsi="Arial" w:eastAsia="Calibri" w:cs="Arial"/>
          <w:b/>
        </w:rPr>
        <w:t>8.8.1.</w:t>
      </w:r>
      <w:r>
        <w:rPr>
          <w:rFonts w:ascii="Arial" w:hAnsi="Arial" w:eastAsia="Calibri" w:cs="Arial"/>
        </w:rPr>
        <w:t xml:space="preserve"> Caso o sistema não emita o aviso de fechamento iminente, o Pregoeiro (a) se responsabilizará pelo aviso de encerramento aos licitantes, observado o mesmo tempo de até 30 (trinta) minutos.</w:t>
      </w:r>
    </w:p>
    <w:p>
      <w:pPr>
        <w:spacing w:after="120" w:afterLines="50"/>
        <w:jc w:val="both"/>
        <w:rPr>
          <w:rFonts w:ascii="Arial" w:hAnsi="Arial" w:eastAsia="Calibri" w:cs="Arial"/>
        </w:rPr>
      </w:pPr>
      <w:r>
        <w:rPr>
          <w:rFonts w:ascii="Arial" w:hAnsi="Arial" w:eastAsia="Calibri" w:cs="Arial"/>
          <w:b/>
        </w:rPr>
        <w:t xml:space="preserve">8.9. </w:t>
      </w:r>
      <w:r>
        <w:rPr>
          <w:rFonts w:ascii="Arial" w:hAnsi="Arial" w:eastAsia="Calibri" w:cs="Arial"/>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after="120" w:afterLines="50"/>
        <w:jc w:val="both"/>
        <w:rPr>
          <w:rFonts w:ascii="Arial" w:hAnsi="Arial" w:eastAsia="Calibri" w:cs="Arial"/>
        </w:rPr>
      </w:pPr>
      <w:r>
        <w:rPr>
          <w:rFonts w:ascii="Arial" w:hAnsi="Arial" w:eastAsia="Calibri" w:cs="Arial"/>
          <w:b/>
        </w:rPr>
        <w:t>8.10.</w:t>
      </w:r>
      <w:r>
        <w:rPr>
          <w:rFonts w:ascii="Arial" w:hAnsi="Arial" w:eastAsia="Calibri" w:cs="Arial"/>
        </w:rPr>
        <w:t xml:space="preserve"> A desistência em apresentar lances implicará na exclusão da licitante, na etapa de lances e na manutenção do último preço, por ela apresentada, para efeito de ordenação das propostas de preços.</w:t>
      </w:r>
    </w:p>
    <w:p>
      <w:pPr>
        <w:spacing w:after="120" w:afterLines="50"/>
        <w:jc w:val="both"/>
        <w:rPr>
          <w:rFonts w:ascii="Arial" w:hAnsi="Arial" w:eastAsia="Calibri" w:cs="Arial"/>
        </w:rPr>
      </w:pPr>
      <w:r>
        <w:rPr>
          <w:rFonts w:ascii="Arial" w:hAnsi="Arial" w:eastAsia="Calibri" w:cs="Arial"/>
          <w:b/>
        </w:rPr>
        <w:t xml:space="preserve">8.11. </w:t>
      </w:r>
      <w:r>
        <w:rPr>
          <w:rFonts w:ascii="Arial" w:hAnsi="Arial" w:eastAsia="Calibri" w:cs="Arial"/>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jc w:val="both"/>
        <w:rPr>
          <w:rFonts w:ascii="Arial" w:hAnsi="Arial" w:eastAsia="Calibri" w:cs="Arial"/>
        </w:rPr>
      </w:pPr>
      <w:r>
        <w:rPr>
          <w:rFonts w:ascii="Arial" w:hAnsi="Arial" w:eastAsia="Calibri" w:cs="Arial"/>
          <w:b/>
        </w:rPr>
        <w:t xml:space="preserve">8.12. </w:t>
      </w:r>
      <w:r>
        <w:rPr>
          <w:rFonts w:ascii="Arial" w:hAnsi="Arial" w:eastAsia="Calibri" w:cs="Arial"/>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rPr>
          <w:rFonts w:ascii="Arial" w:hAnsi="Arial" w:cs="Arial"/>
          <w:sz w:val="20"/>
        </w:rPr>
      </w:pPr>
      <w:r>
        <w:rPr>
          <w:rFonts w:ascii="Arial" w:hAnsi="Arial" w:cs="Arial"/>
          <w:sz w:val="20"/>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102870</wp:posOffset>
                </wp:positionV>
                <wp:extent cx="6172835" cy="3333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3333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8.1pt;height:26.25pt;width:486.05pt;z-index:251666432;mso-width-relative:page;mso-height-relative:page;" fillcolor="#D8D8D8" filled="t" stroked="t" coordsize="21600,21600" o:gfxdata="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5cvLdcAAAAIAQAA&#10;DwAAAAAAAAABACAAAAAiAAAAZHJzL2Rvd25yZXYueG1sUEsBAhQAFAAAAAgAh07iQBKoKEl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IX – DO BENEFÍCIO ÀS ME/EPP</w:t>
                      </w:r>
                    </w:p>
                  </w:txbxContent>
                </v:textbox>
              </v:rect>
            </w:pict>
          </mc:Fallback>
        </mc:AlternateContent>
      </w:r>
    </w:p>
    <w:p>
      <w:pPr>
        <w:rPr>
          <w:rFonts w:ascii="Arial" w:hAnsi="Arial" w:cs="Arial"/>
          <w:sz w:val="20"/>
        </w:rPr>
      </w:pPr>
    </w:p>
    <w:p>
      <w:pPr>
        <w:pStyle w:val="2"/>
        <w:keepNext w:val="0"/>
        <w:widowControl w:val="0"/>
        <w:tabs>
          <w:tab w:val="left" w:pos="567"/>
        </w:tabs>
        <w:spacing w:before="0" w:after="120"/>
        <w:ind w:left="0"/>
        <w:jc w:val="both"/>
        <w:rPr>
          <w:rFonts w:cs="Arial"/>
          <w:color w:val="000000"/>
        </w:rPr>
      </w:pPr>
    </w:p>
    <w:p>
      <w:pPr>
        <w:pStyle w:val="31"/>
        <w:widowControl w:val="0"/>
        <w:tabs>
          <w:tab w:val="left" w:pos="284"/>
          <w:tab w:val="left" w:pos="426"/>
          <w:tab w:val="clear" w:pos="4419"/>
          <w:tab w:val="clear" w:pos="8838"/>
        </w:tabs>
        <w:spacing w:after="120"/>
        <w:rPr>
          <w:rFonts w:ascii="Arial" w:hAnsi="Arial" w:cs="Arial"/>
          <w:color w:val="000000"/>
          <w:szCs w:val="24"/>
        </w:rPr>
      </w:pPr>
      <w:r>
        <w:rPr>
          <w:rFonts w:ascii="Arial" w:hAnsi="Arial" w:cs="Arial"/>
          <w:b/>
          <w:color w:val="000000"/>
          <w:szCs w:val="24"/>
        </w:rPr>
        <w:t xml:space="preserve">9.1. </w:t>
      </w:r>
      <w:r>
        <w:rPr>
          <w:rFonts w:ascii="Arial" w:hAnsi="Arial" w:cs="Arial"/>
          <w:color w:val="000000"/>
          <w:szCs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1"/>
        <w:widowControl w:val="0"/>
        <w:tabs>
          <w:tab w:val="left" w:pos="284"/>
          <w:tab w:val="left" w:pos="567"/>
          <w:tab w:val="left" w:pos="1276"/>
          <w:tab w:val="clear" w:pos="4419"/>
          <w:tab w:val="clear" w:pos="8838"/>
        </w:tabs>
        <w:spacing w:after="120"/>
        <w:ind w:left="567"/>
        <w:rPr>
          <w:rFonts w:ascii="Arial" w:hAnsi="Arial" w:cs="Arial"/>
          <w:color w:val="000000"/>
          <w:szCs w:val="24"/>
        </w:rPr>
      </w:pPr>
      <w:r>
        <w:rPr>
          <w:rFonts w:ascii="Arial" w:hAnsi="Arial" w:cs="Arial"/>
          <w:b/>
          <w:color w:val="000000"/>
          <w:szCs w:val="24"/>
        </w:rPr>
        <w:t xml:space="preserve">9.1.1. </w:t>
      </w:r>
      <w:r>
        <w:rPr>
          <w:rFonts w:ascii="Arial" w:hAnsi="Arial" w:cs="Arial"/>
          <w:color w:val="000000"/>
          <w:szCs w:val="24"/>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ascii="Arial" w:hAnsi="Arial" w:cs="Arial"/>
          <w:b/>
          <w:color w:val="000000"/>
          <w:szCs w:val="24"/>
        </w:rPr>
        <w:t>Pregão</w:t>
      </w:r>
      <w:r>
        <w:rPr>
          <w:rFonts w:ascii="Arial" w:hAnsi="Arial" w:cs="Arial"/>
          <w:color w:val="000000"/>
          <w:szCs w:val="24"/>
        </w:rPr>
        <w:t xml:space="preserve">; </w:t>
      </w:r>
    </w:p>
    <w:p>
      <w:pPr>
        <w:pStyle w:val="31"/>
        <w:widowControl w:val="0"/>
        <w:tabs>
          <w:tab w:val="left" w:pos="284"/>
          <w:tab w:val="left" w:pos="567"/>
          <w:tab w:val="left" w:pos="1276"/>
          <w:tab w:val="clear" w:pos="4419"/>
          <w:tab w:val="clear" w:pos="8838"/>
        </w:tabs>
        <w:spacing w:after="120"/>
        <w:ind w:left="567"/>
        <w:rPr>
          <w:rFonts w:ascii="Arial" w:hAnsi="Arial" w:cs="Arial"/>
          <w:szCs w:val="24"/>
        </w:rPr>
      </w:pPr>
      <w:r>
        <w:rPr>
          <w:rFonts w:ascii="Arial" w:hAnsi="Arial" w:cs="Arial"/>
          <w:b/>
          <w:bCs/>
          <w:szCs w:val="24"/>
        </w:rPr>
        <w:t>9.1.2.</w:t>
      </w:r>
      <w:r>
        <w:rPr>
          <w:rFonts w:ascii="Arial" w:hAnsi="Arial" w:cs="Arial"/>
          <w:szCs w:val="24"/>
        </w:rPr>
        <w:t xml:space="preserve"> A fim de cumprir o disposto no artigo 3º da Lei Municipal 1.953 de 27/05/2021, a prioridade de contratação com a microempresas e empresas de </w:t>
      </w:r>
      <w:r>
        <w:rPr>
          <w:rFonts w:ascii="Arial" w:hAnsi="Arial" w:cs="Arial"/>
          <w:szCs w:val="24"/>
        </w:rPr>
        <w:tab/>
      </w:r>
      <w:r>
        <w:rPr>
          <w:rFonts w:ascii="Arial" w:hAnsi="Arial" w:cs="Arial"/>
          <w:szCs w:val="24"/>
        </w:rPr>
        <w:t xml:space="preserve">pequeno porte sediadas local ou regionalmente, até o limite de 10% (dez por cento) do melhor preço válido, proporciona a esta o direito de ofertar um preço menor do que  aquela classificada (empate Ficto). </w:t>
      </w:r>
    </w:p>
    <w:p>
      <w:pPr>
        <w:pStyle w:val="31"/>
        <w:widowControl w:val="0"/>
        <w:tabs>
          <w:tab w:val="left" w:pos="284"/>
          <w:tab w:val="left" w:pos="567"/>
          <w:tab w:val="left" w:pos="1276"/>
          <w:tab w:val="clear" w:pos="4419"/>
          <w:tab w:val="clear" w:pos="8838"/>
        </w:tabs>
        <w:spacing w:after="120"/>
        <w:ind w:left="567"/>
        <w:rPr>
          <w:rFonts w:ascii="Arial" w:hAnsi="Arial" w:cs="Arial"/>
          <w:szCs w:val="24"/>
        </w:rPr>
      </w:pPr>
      <w:r>
        <w:rPr>
          <w:rFonts w:ascii="Arial" w:hAnsi="Arial" w:cs="Arial"/>
          <w:b/>
          <w:bCs/>
          <w:szCs w:val="24"/>
        </w:rPr>
        <w:t xml:space="preserve">9.1.3. </w:t>
      </w:r>
      <w:r>
        <w:rPr>
          <w:rFonts w:ascii="Arial" w:hAnsi="Arial" w:cs="Arial"/>
          <w:szCs w:val="24"/>
        </w:rPr>
        <w:t>Realizada esta etapa, e não havendo menor proposta por parte de ME e EPP sediadas local ou regionalmente, será aberta a possibilidade de que outras ME e EPP possam oferecer proposta inferior a melhor proposta, desde que seja até 5% maior (empate ficto).</w:t>
      </w:r>
    </w:p>
    <w:p>
      <w:pPr>
        <w:pStyle w:val="26"/>
        <w:spacing w:beforeAutospacing="1"/>
        <w:jc w:val="both"/>
        <w:rPr>
          <w:rFonts w:ascii="Arial" w:hAnsi="Arial"/>
          <w:szCs w:val="24"/>
        </w:rPr>
      </w:pPr>
      <w:r>
        <w:rPr>
          <w:rFonts w:ascii="Arial" w:hAnsi="Arial"/>
          <w:b/>
          <w:szCs w:val="24"/>
        </w:rPr>
        <w:t>9.1.4.</w:t>
      </w:r>
      <w:r>
        <w:rPr>
          <w:rFonts w:ascii="Arial" w:hAnsi="Arial"/>
          <w:szCs w:val="24"/>
        </w:rPr>
        <w:t xml:space="preserve"> Em consonância com o Anexo 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26"/>
        <w:spacing w:beforeAutospacing="1"/>
        <w:jc w:val="both"/>
        <w:rPr>
          <w:rFonts w:ascii="Arial" w:hAnsi="Arial" w:eastAsia="Calibri" w:cs="Arial"/>
          <w:color w:val="000000"/>
        </w:rPr>
      </w:pPr>
      <w:r>
        <w:rPr>
          <w:rFonts w:ascii="Arial" w:hAnsi="Arial" w:eastAsia="Calibri" w:cs="Arial"/>
          <w:b/>
          <w:color w:val="000000"/>
        </w:rPr>
        <w:t xml:space="preserve">9.2. </w:t>
      </w:r>
      <w:r>
        <w:rPr>
          <w:rFonts w:ascii="Arial" w:hAnsi="Arial" w:eastAsia="Calibri" w:cs="Arial"/>
          <w:color w:val="000000"/>
        </w:rPr>
        <w:t xml:space="preserve">Não sendo vencedora a microempresa ou a empresa de pequeno porte mais bem classificada, na forma da subcondição anterior, o sistema, de forma automática, convocará as </w:t>
      </w:r>
      <w:r>
        <w:rPr>
          <w:rFonts w:ascii="Arial" w:hAnsi="Arial" w:eastAsia="Calibri" w:cs="Arial"/>
          <w:b/>
          <w:color w:val="000000"/>
        </w:rPr>
        <w:t>licitantes</w:t>
      </w:r>
      <w:r>
        <w:rPr>
          <w:rFonts w:ascii="Arial" w:hAnsi="Arial" w:eastAsia="Calibri" w:cs="Arial"/>
          <w:color w:val="000000"/>
        </w:rPr>
        <w:t xml:space="preserve"> remanescentes que porventura se enquadrem na situação descrita nesta condição, na ordem classificatória, para o exercício do mesmo direito; </w:t>
      </w:r>
    </w:p>
    <w:p>
      <w:pPr>
        <w:pStyle w:val="31"/>
        <w:widowControl w:val="0"/>
        <w:tabs>
          <w:tab w:val="left" w:pos="-2268"/>
          <w:tab w:val="left" w:pos="-993"/>
          <w:tab w:val="left" w:pos="-426"/>
          <w:tab w:val="left" w:pos="0"/>
          <w:tab w:val="left" w:pos="426"/>
          <w:tab w:val="clear" w:pos="4419"/>
          <w:tab w:val="clear" w:pos="8838"/>
        </w:tabs>
        <w:spacing w:after="120"/>
        <w:rPr>
          <w:rFonts w:ascii="Arial" w:hAnsi="Arial" w:eastAsia="Calibri" w:cs="Arial"/>
          <w:color w:val="000000"/>
        </w:rPr>
      </w:pPr>
      <w:r>
        <w:rPr>
          <w:rFonts w:ascii="Arial" w:hAnsi="Arial" w:eastAsia="Calibri" w:cs="Arial"/>
          <w:b/>
          <w:color w:val="000000"/>
        </w:rPr>
        <w:t xml:space="preserve">9.3. </w:t>
      </w:r>
      <w:r>
        <w:rPr>
          <w:rFonts w:ascii="Arial" w:hAnsi="Arial" w:eastAsia="Calibri" w:cs="Arial"/>
          <w:color w:val="000000"/>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1"/>
        <w:widowControl w:val="0"/>
        <w:tabs>
          <w:tab w:val="left" w:pos="-2268"/>
          <w:tab w:val="left" w:pos="-1560"/>
          <w:tab w:val="left" w:pos="-993"/>
          <w:tab w:val="left" w:pos="-426"/>
          <w:tab w:val="left" w:pos="0"/>
          <w:tab w:val="left" w:pos="426"/>
          <w:tab w:val="clear" w:pos="4419"/>
          <w:tab w:val="clear" w:pos="8838"/>
        </w:tabs>
        <w:spacing w:after="120"/>
        <w:rPr>
          <w:rFonts w:ascii="Arial" w:hAnsi="Arial" w:eastAsia="Calibri" w:cs="Arial"/>
          <w:color w:val="000000"/>
        </w:rPr>
      </w:pPr>
      <w:r>
        <w:rPr>
          <w:rFonts w:ascii="Arial" w:hAnsi="Arial" w:eastAsia="Calibri" w:cs="Arial"/>
          <w:b/>
          <w:color w:val="000000"/>
        </w:rPr>
        <w:t xml:space="preserve">9.4. </w:t>
      </w:r>
      <w:r>
        <w:rPr>
          <w:rFonts w:ascii="Arial" w:hAnsi="Arial" w:eastAsia="Calibri" w:cs="Arial"/>
          <w:color w:val="000000"/>
        </w:rPr>
        <w:t>A convocada que não apresentar proposta dentro do prazo de 5 (cinco) minutos, controlados pelo Sistema, decairá do direito previsto nos artigos 44 e 45 da Lei Complementar n.º 123/2006;</w:t>
      </w:r>
    </w:p>
    <w:p>
      <w:pPr>
        <w:pStyle w:val="31"/>
        <w:widowControl w:val="0"/>
        <w:tabs>
          <w:tab w:val="left" w:pos="-1560"/>
          <w:tab w:val="left" w:pos="-142"/>
          <w:tab w:val="left" w:pos="0"/>
          <w:tab w:val="left" w:pos="426"/>
          <w:tab w:val="clear" w:pos="4419"/>
          <w:tab w:val="clear" w:pos="8838"/>
        </w:tabs>
        <w:spacing w:after="120"/>
        <w:rPr>
          <w:rFonts w:ascii="Arial" w:hAnsi="Arial" w:eastAsia="Calibri" w:cs="Arial"/>
          <w:color w:val="000000"/>
        </w:rPr>
      </w:pPr>
      <w:r>
        <w:rPr>
          <w:rFonts w:ascii="Arial" w:hAnsi="Arial" w:eastAsia="Calibri" w:cs="Arial"/>
          <w:b/>
          <w:color w:val="000000"/>
        </w:rPr>
        <w:t xml:space="preserve">9.5. </w:t>
      </w:r>
      <w:r>
        <w:rPr>
          <w:rFonts w:ascii="Arial" w:hAnsi="Arial" w:eastAsia="Calibri" w:cs="Arial"/>
          <w:color w:val="000000"/>
        </w:rPr>
        <w:t xml:space="preserve">Na hipótese de não contratação nos termos previstos nesta Seção, o procedimento licitatório prossegue com as demais </w:t>
      </w:r>
      <w:r>
        <w:rPr>
          <w:rFonts w:ascii="Arial" w:hAnsi="Arial" w:eastAsia="Calibri" w:cs="Arial"/>
          <w:b/>
          <w:color w:val="000000"/>
        </w:rPr>
        <w:t>licitantes</w:t>
      </w:r>
      <w:r>
        <w:rPr>
          <w:rFonts w:ascii="Arial" w:hAnsi="Arial" w:eastAsia="Calibri" w:cs="Arial"/>
          <w:color w:val="000000"/>
        </w:rPr>
        <w:t>.</w:t>
      </w:r>
    </w:p>
    <w:p>
      <w:pPr>
        <w:pStyle w:val="31"/>
        <w:widowControl w:val="0"/>
        <w:tabs>
          <w:tab w:val="left" w:pos="-1560"/>
          <w:tab w:val="left" w:pos="-142"/>
          <w:tab w:val="left" w:pos="0"/>
          <w:tab w:val="left" w:pos="426"/>
          <w:tab w:val="clear" w:pos="4419"/>
          <w:tab w:val="clear" w:pos="8838"/>
        </w:tabs>
        <w:rPr>
          <w:rFonts w:ascii="Arial" w:hAnsi="Arial" w:eastAsia="Calibri" w:cs="Arial"/>
          <w:color w:val="000000"/>
        </w:rPr>
      </w:pPr>
      <w:r>
        <w:rPr>
          <w:rFonts w:ascii="Arial" w:hAnsi="Arial" w:cs="Arial"/>
          <w:b/>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55880</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sz w:val="40"/>
                              </w:rPr>
                            </w:pPr>
                            <w:r>
                              <w:rPr>
                                <w:rFonts w:ascii="Arial" w:hAnsi="Arial" w:eastAsia="Calibri"/>
                                <w:b/>
                              </w:rPr>
                              <w:t>SEÇÃO X – DA NEGOCIAÇÃO</w:t>
                            </w:r>
                          </w:p>
                        </w:txbxContent>
                      </wps:txbx>
                      <wps:bodyPr wrap="square" upright="1"/>
                    </wps:wsp>
                  </a:graphicData>
                </a:graphic>
              </wp:anchor>
            </w:drawing>
          </mc:Choice>
          <mc:Fallback>
            <w:pict>
              <v:rect id="Retângulo 13" o:spid="_x0000_s1026" o:spt="1" style="position:absolute;left:0pt;margin-left:-5.55pt;margin-top:4.4pt;height:23.25pt;width:492pt;z-index:251667456;mso-width-relative:page;mso-height-relative:page;" fillcolor="#D8D8D8" filled="t" stroked="t" coordsize="21600,21600" o:gfxdata="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WS5Um2AAAAAgBAAAPAAAAAAAAAAEAIAAA&#10;ACIAAABkcnMvZG93bnJldi54bWxQSwECFAAUAAAACACHTuJAHi/o80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sz w:val="40"/>
                        </w:rPr>
                      </w:pPr>
                      <w:r>
                        <w:rPr>
                          <w:rFonts w:ascii="Arial" w:hAnsi="Arial" w:eastAsia="Calibri"/>
                          <w:b/>
                        </w:rPr>
                        <w:t>SEÇÃO X – DA NEGOCIAÇÃO</w:t>
                      </w:r>
                    </w:p>
                  </w:txbxContent>
                </v:textbox>
              </v:rect>
            </w:pict>
          </mc:Fallback>
        </mc:AlternateContent>
      </w:r>
    </w:p>
    <w:p>
      <w:pPr>
        <w:pStyle w:val="31"/>
        <w:widowControl w:val="0"/>
        <w:tabs>
          <w:tab w:val="left" w:pos="993"/>
          <w:tab w:val="clear" w:pos="4419"/>
          <w:tab w:val="clear" w:pos="8838"/>
        </w:tabs>
        <w:spacing w:after="120"/>
        <w:rPr>
          <w:rFonts w:ascii="Arial" w:hAnsi="Arial" w:eastAsia="Calibri" w:cs="Arial"/>
          <w:b/>
          <w:color w:val="000000"/>
        </w:rPr>
      </w:pPr>
    </w:p>
    <w:p>
      <w:pPr>
        <w:pStyle w:val="103"/>
        <w:widowControl w:val="0"/>
        <w:tabs>
          <w:tab w:val="left" w:pos="-426"/>
          <w:tab w:val="left" w:pos="426"/>
        </w:tabs>
        <w:spacing w:after="120"/>
        <w:ind w:left="0"/>
        <w:jc w:val="both"/>
        <w:rPr>
          <w:rFonts w:ascii="Arial" w:hAnsi="Arial" w:eastAsia="Calibri" w:cs="Arial"/>
          <w:color w:val="000000"/>
          <w:sz w:val="20"/>
        </w:rPr>
      </w:pPr>
      <w:r>
        <w:rPr>
          <w:rFonts w:ascii="Arial" w:hAnsi="Arial" w:eastAsia="Calibri" w:cs="Arial"/>
          <w:b/>
          <w:color w:val="000000"/>
        </w:rPr>
        <w:t xml:space="preserve">10.1. </w:t>
      </w:r>
      <w:r>
        <w:rPr>
          <w:rFonts w:ascii="Arial" w:hAnsi="Arial" w:eastAsia="Calibri" w:cs="Arial"/>
          <w:color w:val="000000"/>
        </w:rPr>
        <w:t xml:space="preserve">O(a) </w:t>
      </w:r>
      <w:r>
        <w:rPr>
          <w:rFonts w:ascii="Arial" w:hAnsi="Arial" w:eastAsia="Calibri" w:cs="Arial"/>
          <w:b/>
          <w:color w:val="000000"/>
        </w:rPr>
        <w:t>Pregoeiro(a)</w:t>
      </w:r>
      <w:r>
        <w:rPr>
          <w:rFonts w:ascii="Arial" w:hAnsi="Arial" w:eastAsia="Calibri" w:cs="Arial"/>
          <w:color w:val="000000"/>
        </w:rPr>
        <w:t xml:space="preserve"> poderá encaminhar contraproposta diretamente à </w:t>
      </w:r>
      <w:r>
        <w:rPr>
          <w:rFonts w:ascii="Arial" w:hAnsi="Arial" w:eastAsia="Calibri" w:cs="Arial"/>
          <w:b/>
          <w:color w:val="000000"/>
        </w:rPr>
        <w:t>licitante</w:t>
      </w:r>
      <w:r>
        <w:rPr>
          <w:rFonts w:ascii="Arial" w:hAnsi="Arial" w:eastAsia="Calibri" w:cs="Arial"/>
          <w:color w:val="000000"/>
        </w:rPr>
        <w:t xml:space="preserve"> que tenha apresentado o lance mais vantajoso, observado o critério de julgamento e o valor estimado para a contratação;</w:t>
      </w:r>
    </w:p>
    <w:p>
      <w:pPr>
        <w:pStyle w:val="103"/>
        <w:widowControl w:val="0"/>
        <w:tabs>
          <w:tab w:val="left" w:pos="-426"/>
          <w:tab w:val="left" w:pos="-142"/>
          <w:tab w:val="left" w:pos="426"/>
        </w:tabs>
        <w:spacing w:before="120" w:beforeLines="50" w:after="120"/>
        <w:ind w:left="0"/>
        <w:jc w:val="both"/>
        <w:rPr>
          <w:rFonts w:ascii="Arial" w:hAnsi="Arial" w:eastAsia="Calibri" w:cs="Arial"/>
          <w:color w:val="000000"/>
        </w:rPr>
      </w:pPr>
      <w:r>
        <w:rPr>
          <w:rFonts w:ascii="Arial" w:hAnsi="Arial" w:eastAsia="Calibri" w:cs="Arial"/>
          <w:b/>
          <w:color w:val="000000"/>
        </w:rPr>
        <w:t xml:space="preserve">10.2. </w:t>
      </w:r>
      <w:r>
        <w:rPr>
          <w:rFonts w:ascii="Arial" w:hAnsi="Arial" w:eastAsia="Calibri" w:cs="Arial"/>
          <w:color w:val="000000"/>
        </w:rPr>
        <w:t xml:space="preserve">A negociação será realizada por meio do sistema, podendo ser acompanhada pelas demais </w:t>
      </w:r>
      <w:r>
        <w:rPr>
          <w:rFonts w:ascii="Arial" w:hAnsi="Arial" w:eastAsia="Calibri" w:cs="Arial"/>
          <w:b/>
          <w:color w:val="000000"/>
        </w:rPr>
        <w:t>licitantes</w:t>
      </w:r>
      <w:r>
        <w:rPr>
          <w:rFonts w:ascii="Arial" w:hAnsi="Arial" w:eastAsia="Calibri" w:cs="Arial"/>
          <w:color w:val="000000"/>
        </w:rPr>
        <w:t>.</w:t>
      </w:r>
    </w:p>
    <w:p>
      <w:pPr>
        <w:pStyle w:val="103"/>
        <w:widowControl w:val="0"/>
        <w:tabs>
          <w:tab w:val="left" w:pos="-426"/>
          <w:tab w:val="left" w:pos="-142"/>
          <w:tab w:val="left" w:pos="426"/>
        </w:tabs>
        <w:spacing w:before="120" w:beforeLines="50" w:after="120"/>
        <w:ind w:left="0"/>
        <w:jc w:val="both"/>
        <w:rPr>
          <w:rFonts w:ascii="Arial" w:hAnsi="Arial" w:eastAsia="Calibri" w:cs="Arial"/>
          <w:color w:val="000000"/>
        </w:rPr>
      </w:pPr>
      <w:r>
        <w:rPr>
          <w:rFonts w:ascii="Arial" w:hAnsi="Arial" w:cs="Arial"/>
          <w:b/>
          <w:color w:val="000000"/>
          <w:szCs w:val="24"/>
        </w:rPr>
        <w:t xml:space="preserve">10.3. </w:t>
      </w:r>
      <w:r>
        <w:rPr>
          <w:rFonts w:ascii="Arial" w:hAnsi="Arial" w:cs="Arial"/>
          <w:color w:val="000000"/>
          <w:szCs w:val="24"/>
        </w:rPr>
        <w:t>A licitante vencedora deverá encaminhar no prazo máximo de até 2 (duas) horas resposta à contraproposta apresentada pelo Pregoeiro.</w:t>
      </w:r>
    </w:p>
    <w:p>
      <w:pPr>
        <w:pStyle w:val="2"/>
        <w:keepNext w:val="0"/>
        <w:widowControl w:val="0"/>
        <w:tabs>
          <w:tab w:val="left" w:pos="1134"/>
        </w:tabs>
        <w:spacing w:before="0" w:after="120"/>
        <w:ind w:left="0"/>
        <w:jc w:val="both"/>
        <w:rPr>
          <w:rFonts w:cs="Arial"/>
          <w:color w:val="000000"/>
        </w:rPr>
      </w:pPr>
      <w:r>
        <w:rPr>
          <w:rFonts w:cs="Arial"/>
          <w:sz w:val="20"/>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87630</wp:posOffset>
                </wp:positionV>
                <wp:extent cx="6248400" cy="323215"/>
                <wp:effectExtent l="4445" t="4445" r="33655" b="34290"/>
                <wp:wrapNone/>
                <wp:docPr id="10" name="Retângulo 14"/>
                <wp:cNvGraphicFramePr/>
                <a:graphic xmlns:a="http://schemas.openxmlformats.org/drawingml/2006/main">
                  <a:graphicData uri="http://schemas.microsoft.com/office/word/2010/wordprocessingShape">
                    <wps:wsp>
                      <wps:cNvSpPr/>
                      <wps:spPr>
                        <a:xfrm>
                          <a:off x="0" y="0"/>
                          <a:ext cx="6248400" cy="32321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XI – DA ACEITABILIDADE DA PROPOSTA</w:t>
                            </w:r>
                          </w:p>
                        </w:txbxContent>
                      </wps:txbx>
                      <wps:bodyPr wrap="square" upright="1"/>
                    </wps:wsp>
                  </a:graphicData>
                </a:graphic>
              </wp:anchor>
            </w:drawing>
          </mc:Choice>
          <mc:Fallback>
            <w:pict>
              <v:rect id="Retângulo 14" o:spid="_x0000_s1026" o:spt="1" style="position:absolute;left:0pt;margin-left:-3.3pt;margin-top:6.9pt;height:25.45pt;width:492pt;z-index:251668480;mso-width-relative:page;mso-height-relative:page;" fillcolor="#D8D8D8" filled="t" stroked="t" coordsize="21600,21600" o:gfxdata="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yb9HB2AAAAAgBAAAPAAAAAAAAAAEAIAAA&#10;ACIAAABkcnMvZG93bnJldi54bWxQSwECFAAUAAAACACHTuJALsWDJ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XI – DA ACEITABILIDADE DA PROPOSTA</w:t>
                      </w:r>
                    </w:p>
                  </w:txbxContent>
                </v:textbox>
              </v:rect>
            </w:pict>
          </mc:Fallback>
        </mc:AlternateContent>
      </w:r>
    </w:p>
    <w:p>
      <w:pPr>
        <w:pStyle w:val="31"/>
        <w:widowControl w:val="0"/>
        <w:tabs>
          <w:tab w:val="clear" w:pos="4419"/>
          <w:tab w:val="clear" w:pos="8838"/>
        </w:tabs>
        <w:spacing w:after="120"/>
        <w:rPr>
          <w:rFonts w:ascii="Arial" w:hAnsi="Arial" w:eastAsia="Calibri" w:cs="Arial"/>
          <w:color w:val="000000"/>
        </w:rPr>
      </w:pPr>
    </w:p>
    <w:p>
      <w:pPr>
        <w:pStyle w:val="31"/>
        <w:widowControl w:val="0"/>
        <w:tabs>
          <w:tab w:val="left" w:pos="709"/>
          <w:tab w:val="left" w:pos="851"/>
          <w:tab w:val="left" w:pos="1134"/>
          <w:tab w:val="clear" w:pos="4419"/>
          <w:tab w:val="clear" w:pos="8838"/>
        </w:tabs>
        <w:spacing w:after="120"/>
        <w:rPr>
          <w:rFonts w:ascii="Arial" w:hAnsi="Arial" w:cs="Arial"/>
          <w:szCs w:val="24"/>
        </w:rPr>
      </w:pPr>
      <w:r>
        <w:rPr>
          <w:rFonts w:ascii="Arial" w:hAnsi="Arial" w:cs="Arial"/>
          <w:b/>
          <w:color w:val="000000"/>
          <w:szCs w:val="24"/>
        </w:rPr>
        <w:t xml:space="preserve">11.1. </w:t>
      </w:r>
      <w:r>
        <w:rPr>
          <w:rFonts w:ascii="Arial" w:hAnsi="Arial" w:cs="Arial"/>
          <w:szCs w:val="24"/>
        </w:rPr>
        <w:t>Encerrada a fase de lances e negociação, o licitante classificado provisoriamente em primeiro lugar deverá encaminhar a proposta de preços adequada ao último valor ofertado, devidamente preenchida na forma do Anexo I-A – Modelo de Planilha de composição dos custos com mão de obra, Anexo I-B – Modelo de Planilha de composição dos custos com veículos e equipamentos; e Anexo II – Modelo de Proposta;</w:t>
      </w:r>
      <w:r>
        <w:rPr>
          <w:rFonts w:ascii="Arial" w:hAnsi="Arial" w:cs="Arial"/>
          <w:b/>
          <w:color w:val="FF0000"/>
          <w:szCs w:val="24"/>
        </w:rPr>
        <w:t xml:space="preserve"> </w:t>
      </w:r>
      <w:r>
        <w:rPr>
          <w:rFonts w:ascii="Arial" w:hAnsi="Arial" w:cs="Arial"/>
          <w:szCs w:val="24"/>
        </w:rPr>
        <w:t>do Edital;</w:t>
      </w:r>
    </w:p>
    <w:p>
      <w:pPr>
        <w:pStyle w:val="31"/>
        <w:widowControl w:val="0"/>
        <w:tabs>
          <w:tab w:val="left" w:pos="1134"/>
          <w:tab w:val="left" w:pos="1400"/>
          <w:tab w:val="clear" w:pos="4419"/>
          <w:tab w:val="clear" w:pos="8838"/>
        </w:tabs>
        <w:spacing w:after="120"/>
        <w:ind w:left="720" w:leftChars="300"/>
        <w:rPr>
          <w:rFonts w:ascii="Arial" w:hAnsi="Arial" w:cs="Arial"/>
          <w:szCs w:val="24"/>
        </w:rPr>
      </w:pPr>
      <w:r>
        <w:rPr>
          <w:rFonts w:ascii="Arial" w:hAnsi="Arial" w:cs="Arial"/>
          <w:b/>
          <w:szCs w:val="24"/>
        </w:rPr>
        <w:t xml:space="preserve">11.1.1. </w:t>
      </w:r>
      <w:r>
        <w:rPr>
          <w:rFonts w:ascii="Arial" w:hAnsi="Arial" w:cs="Arial"/>
          <w:szCs w:val="24"/>
        </w:rPr>
        <w:t>O encaminhamento se dará através do site LICITANET no rol de menus da Sala de Disputa, dentro do prazo estabelecido, após a fase de lances.</w:t>
      </w:r>
    </w:p>
    <w:p>
      <w:pPr>
        <w:pStyle w:val="31"/>
        <w:widowControl w:val="0"/>
        <w:tabs>
          <w:tab w:val="left" w:pos="1134"/>
          <w:tab w:val="left" w:pos="1400"/>
          <w:tab w:val="clear" w:pos="4419"/>
          <w:tab w:val="clear" w:pos="8838"/>
        </w:tabs>
        <w:spacing w:after="120"/>
        <w:ind w:left="720" w:leftChars="300"/>
        <w:rPr>
          <w:rFonts w:ascii="Arial" w:hAnsi="Arial" w:cs="Arial"/>
          <w:szCs w:val="24"/>
        </w:rPr>
      </w:pPr>
      <w:r>
        <w:rPr>
          <w:rFonts w:ascii="Arial" w:hAnsi="Arial" w:cs="Arial"/>
          <w:b/>
          <w:szCs w:val="24"/>
        </w:rPr>
        <w:t>11.1.2.</w:t>
      </w:r>
      <w:r>
        <w:rPr>
          <w:rFonts w:ascii="Arial" w:hAnsi="Arial" w:cs="Arial"/>
          <w:szCs w:val="24"/>
        </w:rPr>
        <w:t xml:space="preserve"> Os documentos de habilitação deverão ser enviados até a abertura da sessão pública, nos termos do art. 26 do Decreto 10.024/19;</w:t>
      </w:r>
    </w:p>
    <w:p>
      <w:pPr>
        <w:pStyle w:val="31"/>
        <w:widowControl w:val="0"/>
        <w:tabs>
          <w:tab w:val="left" w:pos="709"/>
          <w:tab w:val="left" w:pos="851"/>
          <w:tab w:val="left" w:pos="1134"/>
          <w:tab w:val="clear" w:pos="4419"/>
          <w:tab w:val="clear" w:pos="8838"/>
        </w:tabs>
        <w:spacing w:after="120"/>
        <w:rPr>
          <w:rFonts w:ascii="Arial" w:hAnsi="Arial" w:cs="Arial"/>
          <w:szCs w:val="24"/>
        </w:rPr>
      </w:pPr>
      <w:r>
        <w:rPr>
          <w:rFonts w:ascii="Arial" w:hAnsi="Arial" w:cs="Arial"/>
          <w:b/>
          <w:szCs w:val="24"/>
        </w:rPr>
        <w:t>11.1.2.</w:t>
      </w:r>
      <w:r>
        <w:rPr>
          <w:rFonts w:ascii="Arial" w:hAnsi="Arial" w:cs="Arial"/>
          <w:szCs w:val="24"/>
        </w:rPr>
        <w:t xml:space="preserve"> Em casos excepcionais de dificuldades técnicas, poderá desde que solicitado ao Pregoeiro, ser utilizado o envio da documentação relacionada à proposta para o e-mail: </w:t>
      </w:r>
      <w:r>
        <w:fldChar w:fldCharType="begin"/>
      </w:r>
      <w:r>
        <w:instrText xml:space="preserve"> HYPERLINK "mailto:licita7@pva.mt.gov.br" </w:instrText>
      </w:r>
      <w:r>
        <w:fldChar w:fldCharType="separate"/>
      </w:r>
      <w:r>
        <w:rPr>
          <w:rStyle w:val="18"/>
          <w:rFonts w:ascii="Arial" w:hAnsi="Arial" w:cs="Arial"/>
          <w:szCs w:val="24"/>
        </w:rPr>
        <w:t>pregao@pva.mt.gov.br</w:t>
      </w:r>
      <w:r>
        <w:rPr>
          <w:rStyle w:val="18"/>
          <w:rFonts w:ascii="Arial" w:hAnsi="Arial" w:cs="Arial"/>
          <w:szCs w:val="24"/>
        </w:rPr>
        <w:fldChar w:fldCharType="end"/>
      </w:r>
      <w:r>
        <w:rPr>
          <w:rFonts w:ascii="Arial" w:hAnsi="Arial" w:cs="Arial"/>
          <w:szCs w:val="24"/>
        </w:rPr>
        <w:t>.</w:t>
      </w:r>
    </w:p>
    <w:p>
      <w:pPr>
        <w:pStyle w:val="31"/>
        <w:widowControl w:val="0"/>
        <w:tabs>
          <w:tab w:val="left" w:pos="709"/>
          <w:tab w:val="left" w:pos="851"/>
          <w:tab w:val="left" w:pos="1134"/>
          <w:tab w:val="clear" w:pos="4419"/>
          <w:tab w:val="clear" w:pos="8838"/>
        </w:tabs>
        <w:spacing w:after="120"/>
        <w:rPr>
          <w:rFonts w:ascii="Arial" w:hAnsi="Arial" w:cs="Arial"/>
          <w:szCs w:val="24"/>
        </w:rPr>
      </w:pPr>
      <w:r>
        <w:rPr>
          <w:rFonts w:ascii="Arial" w:hAnsi="Arial" w:cs="Arial"/>
          <w:b/>
          <w:szCs w:val="24"/>
        </w:rPr>
        <w:t xml:space="preserve">11.2. </w:t>
      </w:r>
      <w:r>
        <w:rPr>
          <w:rFonts w:ascii="Arial" w:hAnsi="Arial" w:cs="Arial"/>
          <w:szCs w:val="24"/>
        </w:rPr>
        <w:t xml:space="preserve">A proposta de preços, contendo as exigências deste edital, atualizada com o último lance, deverá ser enviada </w:t>
      </w:r>
      <w:r>
        <w:rPr>
          <w:rFonts w:ascii="Arial" w:hAnsi="Arial" w:cs="Arial"/>
          <w:color w:val="000000"/>
          <w:szCs w:val="24"/>
        </w:rPr>
        <w:t>em arquivo único, até às 10 (dez) horas (horário de Brasília – DF) do dia útil seguinte ao da convocação efetuada pelo</w:t>
      </w:r>
      <w:r>
        <w:rPr>
          <w:rFonts w:ascii="Arial" w:hAnsi="Arial" w:cs="Arial"/>
          <w:b/>
          <w:color w:val="000000"/>
          <w:szCs w:val="24"/>
        </w:rPr>
        <w:t xml:space="preserve"> Pregoeiro</w:t>
      </w:r>
      <w:r>
        <w:rPr>
          <w:rFonts w:ascii="Arial" w:hAnsi="Arial" w:cs="Arial"/>
          <w:szCs w:val="24"/>
        </w:rPr>
        <w:t xml:space="preserve"> e, informar no campo “chat mensagem” que enviou a documentação no site LICITANET, sob pena de desclassificação, ou, se for solicitado pelo Pregoeiro, por  email – </w:t>
      </w:r>
      <w:r>
        <w:fldChar w:fldCharType="begin"/>
      </w:r>
      <w:r>
        <w:instrText xml:space="preserve"> HYPERLINK "mailto:licita7@pva.mt.gov.br" </w:instrText>
      </w:r>
      <w:r>
        <w:fldChar w:fldCharType="separate"/>
      </w:r>
      <w:r>
        <w:rPr>
          <w:rStyle w:val="18"/>
          <w:rFonts w:ascii="Arial" w:hAnsi="Arial" w:cs="Arial"/>
          <w:szCs w:val="24"/>
        </w:rPr>
        <w:t>pregao@pva.mt.gov.br</w:t>
      </w:r>
      <w:r>
        <w:rPr>
          <w:rStyle w:val="18"/>
          <w:rFonts w:ascii="Arial" w:hAnsi="Arial" w:cs="Arial"/>
          <w:szCs w:val="24"/>
        </w:rPr>
        <w:fldChar w:fldCharType="end"/>
      </w:r>
      <w:r>
        <w:rPr>
          <w:rFonts w:ascii="Arial" w:hAnsi="Arial" w:cs="Arial"/>
          <w:szCs w:val="24"/>
        </w:rPr>
        <w:t>;</w:t>
      </w:r>
    </w:p>
    <w:p>
      <w:pPr>
        <w:pStyle w:val="31"/>
        <w:widowControl w:val="0"/>
        <w:tabs>
          <w:tab w:val="left" w:pos="600"/>
          <w:tab w:val="left" w:pos="709"/>
          <w:tab w:val="left" w:pos="851"/>
          <w:tab w:val="left" w:pos="1134"/>
          <w:tab w:val="clear" w:pos="4419"/>
          <w:tab w:val="clear" w:pos="8838"/>
        </w:tabs>
        <w:spacing w:after="120"/>
        <w:ind w:left="720" w:leftChars="300"/>
        <w:rPr>
          <w:rFonts w:ascii="Arial" w:hAnsi="Arial" w:cs="Arial"/>
          <w:szCs w:val="24"/>
        </w:rPr>
      </w:pPr>
      <w:r>
        <w:rPr>
          <w:rFonts w:ascii="Arial" w:hAnsi="Arial" w:cs="Arial"/>
          <w:b/>
          <w:szCs w:val="24"/>
        </w:rPr>
        <w:t xml:space="preserve">11.2.1. </w:t>
      </w:r>
      <w:r>
        <w:rPr>
          <w:rFonts w:ascii="Arial" w:hAnsi="Arial" w:cs="Arial"/>
          <w:szCs w:val="24"/>
        </w:rPr>
        <w:t xml:space="preserve">O Pregoeiro poderá convocar o licitante vencedor para o envio de documentos complementares, na forma do §9º do art. 26 do Decreto 10.024/19, no prazo estipulado no item 10.3. deste edital, para o envio pelo LICITANET ou por e-mail, contados a partir do momento da convocação no CHAT (sala de disputa). </w:t>
      </w:r>
    </w:p>
    <w:p>
      <w:pPr>
        <w:pStyle w:val="31"/>
        <w:widowControl w:val="0"/>
        <w:tabs>
          <w:tab w:val="clear" w:pos="4419"/>
          <w:tab w:val="clear" w:pos="8838"/>
        </w:tabs>
        <w:spacing w:after="120"/>
        <w:rPr>
          <w:rFonts w:ascii="Arial" w:hAnsi="Arial" w:cs="Arial"/>
          <w:b/>
          <w:color w:val="000000"/>
          <w:szCs w:val="24"/>
        </w:rPr>
      </w:pPr>
      <w:r>
        <w:rPr>
          <w:rFonts w:ascii="Arial" w:hAnsi="Arial" w:cs="Arial"/>
          <w:b/>
          <w:color w:val="000000"/>
          <w:szCs w:val="24"/>
        </w:rPr>
        <w:t xml:space="preserve">11.3. </w:t>
      </w:r>
      <w:r>
        <w:rPr>
          <w:rFonts w:ascii="Arial" w:hAnsi="Arial" w:cs="Arial"/>
          <w:color w:val="000000"/>
          <w:szCs w:val="24"/>
        </w:rPr>
        <w:t xml:space="preserve">Os documentos remetidos ao email </w:t>
      </w:r>
      <w:r>
        <w:fldChar w:fldCharType="begin"/>
      </w:r>
      <w:r>
        <w:instrText xml:space="preserve"> HYPERLINK "mailto:licita7@pva.mt.gov.br" </w:instrText>
      </w:r>
      <w:r>
        <w:fldChar w:fldCharType="separate"/>
      </w:r>
      <w:r>
        <w:rPr>
          <w:rStyle w:val="18"/>
          <w:rFonts w:ascii="Arial" w:hAnsi="Arial" w:cs="Arial"/>
          <w:szCs w:val="24"/>
        </w:rPr>
        <w:t>pregao@pva.mt.gov.br</w:t>
      </w:r>
      <w:r>
        <w:rPr>
          <w:rStyle w:val="18"/>
          <w:rFonts w:ascii="Arial" w:hAnsi="Arial" w:cs="Arial"/>
          <w:szCs w:val="24"/>
        </w:rPr>
        <w:fldChar w:fldCharType="end"/>
      </w:r>
      <w:r>
        <w:rPr>
          <w:rFonts w:ascii="Arial" w:hAnsi="Arial" w:cs="Arial"/>
          <w:color w:val="000000"/>
          <w:szCs w:val="24"/>
        </w:rPr>
        <w:t xml:space="preserve"> poderão ser solicitados em original ou por cópia autenticada a qualquer momento:</w:t>
      </w:r>
    </w:p>
    <w:p>
      <w:pPr>
        <w:widowControl w:val="0"/>
        <w:tabs>
          <w:tab w:val="left" w:pos="-142"/>
          <w:tab w:val="left" w:pos="709"/>
          <w:tab w:val="left" w:pos="851"/>
        </w:tabs>
        <w:spacing w:after="120"/>
        <w:ind w:left="720" w:leftChars="300"/>
        <w:jc w:val="both"/>
        <w:rPr>
          <w:rFonts w:ascii="Arial" w:hAnsi="Arial" w:cs="Arial"/>
          <w:szCs w:val="24"/>
        </w:rPr>
      </w:pPr>
      <w:r>
        <w:rPr>
          <w:rFonts w:ascii="Arial" w:hAnsi="Arial" w:cs="Arial"/>
          <w:b/>
          <w:color w:val="000000"/>
          <w:szCs w:val="24"/>
        </w:rPr>
        <w:t xml:space="preserve">11.3.1. </w:t>
      </w:r>
      <w:r>
        <w:rPr>
          <w:rFonts w:ascii="Arial" w:hAnsi="Arial" w:cs="Arial"/>
          <w:color w:val="000000"/>
          <w:szCs w:val="24"/>
        </w:rPr>
        <w:t>Os originais ou cópias autenticadas, caso sejam solicitados, deverão ser encaminhados ao Setor de Licitações do Município de Primavera do Leste, situado na Rua Maringá nº 444 - Centro, CEP 78850-000, Primavera do Leste/MT, no prazo máximo de</w:t>
      </w:r>
      <w:r>
        <w:rPr>
          <w:rFonts w:ascii="Arial" w:hAnsi="Arial" w:cs="Arial"/>
          <w:color w:val="FF0000"/>
          <w:szCs w:val="24"/>
        </w:rPr>
        <w:t xml:space="preserve"> </w:t>
      </w:r>
      <w:r>
        <w:rPr>
          <w:rFonts w:ascii="Arial" w:hAnsi="Arial" w:cs="Arial"/>
          <w:b/>
          <w:szCs w:val="24"/>
        </w:rPr>
        <w:t>5 (cinco) dias úteis</w:t>
      </w:r>
      <w:r>
        <w:rPr>
          <w:rFonts w:ascii="Arial" w:hAnsi="Arial" w:cs="Arial"/>
          <w:szCs w:val="24"/>
        </w:rPr>
        <w:t>;</w:t>
      </w:r>
    </w:p>
    <w:p>
      <w:pPr>
        <w:widowControl w:val="0"/>
        <w:tabs>
          <w:tab w:val="left" w:pos="-142"/>
          <w:tab w:val="left" w:pos="0"/>
          <w:tab w:val="left" w:pos="709"/>
          <w:tab w:val="left" w:pos="851"/>
        </w:tabs>
        <w:spacing w:after="120"/>
        <w:ind w:left="720" w:leftChars="300"/>
        <w:jc w:val="both"/>
        <w:rPr>
          <w:rFonts w:ascii="Arial" w:hAnsi="Arial" w:cs="Arial"/>
          <w:color w:val="000000"/>
          <w:szCs w:val="24"/>
        </w:rPr>
      </w:pPr>
      <w:r>
        <w:rPr>
          <w:rFonts w:ascii="Arial" w:hAnsi="Arial" w:cs="Arial"/>
          <w:b/>
          <w:color w:val="000000"/>
          <w:szCs w:val="24"/>
        </w:rPr>
        <w:t xml:space="preserve">11.3.2. </w:t>
      </w:r>
      <w:r>
        <w:rPr>
          <w:rFonts w:ascii="Arial" w:hAnsi="Arial" w:cs="Arial"/>
          <w:color w:val="000000"/>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tabs>
          <w:tab w:val="left" w:pos="-142"/>
          <w:tab w:val="left" w:pos="0"/>
          <w:tab w:val="left" w:pos="709"/>
          <w:tab w:val="left" w:pos="851"/>
        </w:tabs>
        <w:spacing w:after="120"/>
        <w:ind w:left="720" w:leftChars="300"/>
        <w:jc w:val="both"/>
        <w:rPr>
          <w:rFonts w:ascii="Arial" w:hAnsi="Arial" w:cs="Arial"/>
          <w:color w:val="000000"/>
          <w:szCs w:val="24"/>
        </w:rPr>
      </w:pPr>
      <w:r>
        <w:rPr>
          <w:rFonts w:ascii="Arial" w:hAnsi="Arial" w:cs="Arial"/>
          <w:b/>
          <w:color w:val="000000"/>
          <w:szCs w:val="24"/>
        </w:rPr>
        <w:t>11.3.3.</w:t>
      </w:r>
      <w:r>
        <w:rPr>
          <w:rFonts w:ascii="Arial" w:hAnsi="Arial" w:cs="Arial"/>
          <w:color w:val="000000"/>
          <w:szCs w:val="24"/>
        </w:rPr>
        <w:t xml:space="preserve"> A licitante que apresentar documentação autenticada por processo de autenticação digital feita por Cartório competente, com comprovante de autenticação na forma eletrônica devidamente instruído no processo fica dispensada do envio da documentação física na forma do item 13.2. deste edital.</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11.4. </w:t>
      </w:r>
      <w:r>
        <w:rPr>
          <w:rFonts w:ascii="Arial" w:hAnsi="Arial" w:cs="Arial"/>
          <w:szCs w:val="24"/>
          <w:lang w:eastAsia="en-US"/>
        </w:rPr>
        <w:t xml:space="preserve">Será desclassificada a proposta ou o lance vencedor, que: </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rPr>
        <w:t xml:space="preserve">a) </w:t>
      </w:r>
      <w:r>
        <w:rPr>
          <w:rFonts w:ascii="Arial" w:hAnsi="Arial" w:cs="Arial"/>
          <w:szCs w:val="24"/>
        </w:rPr>
        <w:t>contenha vício insanável ou ilegalidade;</w:t>
      </w:r>
    </w:p>
    <w:p>
      <w:pPr>
        <w:pStyle w:val="31"/>
        <w:widowControl w:val="0"/>
        <w:tabs>
          <w:tab w:val="left" w:pos="709"/>
          <w:tab w:val="left" w:pos="851"/>
          <w:tab w:val="left" w:pos="1134"/>
          <w:tab w:val="clear" w:pos="4419"/>
          <w:tab w:val="clear" w:pos="8838"/>
        </w:tabs>
        <w:spacing w:after="120"/>
        <w:rPr>
          <w:rFonts w:ascii="Arial" w:hAnsi="Arial" w:cs="Arial"/>
          <w:szCs w:val="24"/>
        </w:rPr>
      </w:pPr>
      <w:r>
        <w:rPr>
          <w:rFonts w:ascii="Arial" w:hAnsi="Arial" w:cs="Arial"/>
          <w:b/>
          <w:szCs w:val="24"/>
        </w:rPr>
        <w:t>b)</w:t>
      </w:r>
      <w:r>
        <w:rPr>
          <w:rFonts w:ascii="Arial" w:hAnsi="Arial" w:cs="Arial"/>
          <w:szCs w:val="24"/>
        </w:rPr>
        <w:t xml:space="preserve"> não apresente as especificações técnicas exigidas pelo Termo de Referência;</w:t>
      </w:r>
    </w:p>
    <w:p>
      <w:pPr>
        <w:pStyle w:val="31"/>
        <w:widowControl w:val="0"/>
        <w:tabs>
          <w:tab w:val="left" w:pos="709"/>
          <w:tab w:val="left" w:pos="851"/>
          <w:tab w:val="left" w:pos="1134"/>
          <w:tab w:val="clear" w:pos="4419"/>
          <w:tab w:val="clear" w:pos="8838"/>
        </w:tabs>
        <w:spacing w:after="120"/>
        <w:rPr>
          <w:rFonts w:ascii="Arial" w:hAnsi="Arial" w:cs="Arial"/>
          <w:szCs w:val="24"/>
        </w:rPr>
      </w:pPr>
      <w:r>
        <w:rPr>
          <w:rFonts w:ascii="Arial" w:hAnsi="Arial" w:cs="Arial"/>
          <w:b/>
          <w:szCs w:val="24"/>
        </w:rPr>
        <w:t>c)</w:t>
      </w:r>
      <w:r>
        <w:rPr>
          <w:rFonts w:ascii="Arial" w:hAnsi="Arial" w:cs="Arial"/>
          <w:szCs w:val="24"/>
        </w:rPr>
        <w:t xml:space="preserve"> apresentar preço final superior ao preço máximo fixado, ou que apresentar preço manifestamente inexequível. </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rPr>
        <w:t>d)</w:t>
      </w:r>
      <w:r>
        <w:rPr>
          <w:rFonts w:ascii="Arial" w:hAnsi="Arial" w:cs="Arial"/>
          <w:szCs w:val="24"/>
        </w:rPr>
        <w:t xml:space="preserve"> Quando o licitante não conseguir comprovar que possui ou possuirá recursos suficientes para executar a contento o objeto, será considerada inexequível a proposta de preços ou menor lance que:</w:t>
      </w:r>
    </w:p>
    <w:p>
      <w:pPr>
        <w:pStyle w:val="31"/>
        <w:widowControl w:val="0"/>
        <w:tabs>
          <w:tab w:val="left" w:pos="709"/>
          <w:tab w:val="left" w:pos="851"/>
          <w:tab w:val="left" w:pos="1134"/>
          <w:tab w:val="clear" w:pos="4419"/>
          <w:tab w:val="clear" w:pos="8838"/>
        </w:tabs>
        <w:spacing w:after="120"/>
        <w:ind w:left="720" w:leftChars="300"/>
        <w:rPr>
          <w:rFonts w:ascii="Arial" w:hAnsi="Arial" w:cs="Arial"/>
          <w:szCs w:val="24"/>
          <w:lang w:eastAsia="en-US"/>
        </w:rPr>
      </w:pPr>
      <w:r>
        <w:rPr>
          <w:rFonts w:ascii="Arial" w:hAnsi="Arial" w:cs="Arial"/>
          <w:b/>
          <w:szCs w:val="24"/>
        </w:rPr>
        <w:t>d.1.)</w:t>
      </w:r>
      <w:r>
        <w:rPr>
          <w:rFonts w:ascii="Arial" w:hAnsi="Arial" w:cs="Arial"/>
          <w:szCs w:val="24"/>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1"/>
        <w:widowControl w:val="0"/>
        <w:tabs>
          <w:tab w:val="left" w:pos="709"/>
          <w:tab w:val="left" w:pos="851"/>
          <w:tab w:val="left" w:pos="1134"/>
          <w:tab w:val="clear" w:pos="4419"/>
          <w:tab w:val="clear" w:pos="8838"/>
        </w:tabs>
        <w:spacing w:after="120"/>
        <w:ind w:left="720" w:leftChars="300"/>
        <w:rPr>
          <w:rFonts w:ascii="Arial" w:hAnsi="Arial" w:cs="Arial"/>
          <w:szCs w:val="24"/>
        </w:rPr>
      </w:pPr>
      <w:r>
        <w:rPr>
          <w:rFonts w:ascii="Arial" w:hAnsi="Arial" w:cs="Arial"/>
          <w:b/>
          <w:szCs w:val="24"/>
        </w:rPr>
        <w:t>d.2.)</w:t>
      </w:r>
      <w:r>
        <w:rPr>
          <w:rFonts w:ascii="Arial" w:hAnsi="Arial" w:cs="Arial"/>
          <w:szCs w:val="24"/>
        </w:rPr>
        <w:t xml:space="preserve"> apresentar um ou mais valores da planilha de custo que sejam inferiores àqueles fixados em instrumentos de caráter normativo obrigatório, tais como leis, medidas provisórias e convenções coletivas de trabalho vigentes.</w:t>
      </w:r>
    </w:p>
    <w:p>
      <w:pPr>
        <w:pStyle w:val="31"/>
        <w:widowControl w:val="0"/>
        <w:tabs>
          <w:tab w:val="left" w:pos="709"/>
          <w:tab w:val="clear" w:pos="4419"/>
          <w:tab w:val="clear" w:pos="8838"/>
        </w:tabs>
        <w:spacing w:after="120"/>
        <w:rPr>
          <w:rFonts w:ascii="Arial" w:hAnsi="Arial" w:cs="Arial"/>
          <w:color w:val="000000"/>
          <w:szCs w:val="24"/>
        </w:rPr>
      </w:pPr>
      <w:r>
        <w:rPr>
          <w:rFonts w:ascii="Arial" w:hAnsi="Arial" w:cs="Arial"/>
          <w:b/>
          <w:color w:val="000000"/>
          <w:szCs w:val="24"/>
        </w:rPr>
        <w:t xml:space="preserve">11.5. </w:t>
      </w:r>
      <w:r>
        <w:rPr>
          <w:rFonts w:ascii="Arial" w:hAnsi="Arial" w:cs="Arial"/>
          <w:color w:val="000000"/>
          <w:szCs w:val="24"/>
        </w:rPr>
        <w:t>Não se considerará qualquer oferta de vantagem não prevista neste Edital, inclusive financiamentos subsidiados ou a fundo perdido;</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11.6. </w:t>
      </w:r>
      <w:r>
        <w:rPr>
          <w:rFonts w:ascii="Arial" w:hAnsi="Arial" w:cs="Arial"/>
          <w:szCs w:val="24"/>
          <w:lang w:eastAsia="en-US"/>
        </w:rPr>
        <w:t>A proposta deverá estar de acordo com a convenção coletiva da categoria a ser contratada;</w:t>
      </w:r>
    </w:p>
    <w:p>
      <w:pPr>
        <w:pStyle w:val="31"/>
        <w:widowControl w:val="0"/>
        <w:tabs>
          <w:tab w:val="left" w:pos="709"/>
          <w:tab w:val="left" w:pos="851"/>
          <w:tab w:val="left" w:pos="1134"/>
          <w:tab w:val="clear" w:pos="4419"/>
          <w:tab w:val="clear" w:pos="8838"/>
        </w:tabs>
        <w:spacing w:after="120"/>
        <w:ind w:left="715" w:leftChars="298" w:firstLine="3"/>
        <w:rPr>
          <w:rFonts w:ascii="Arial" w:hAnsi="Arial" w:cs="Arial"/>
          <w:bCs/>
          <w:szCs w:val="24"/>
        </w:rPr>
      </w:pPr>
      <w:r>
        <w:rPr>
          <w:rFonts w:ascii="Arial" w:hAnsi="Arial" w:eastAsia="Calibri" w:cs="Arial"/>
          <w:b/>
          <w:lang w:eastAsia="en-US"/>
        </w:rPr>
        <w:t xml:space="preserve">11.6.1. </w:t>
      </w:r>
      <w:r>
        <w:rPr>
          <w:rFonts w:ascii="Arial" w:hAnsi="Arial" w:cs="Arial"/>
          <w:bCs/>
          <w:szCs w:val="24"/>
        </w:rPr>
        <w:t>A proposta de preços realinhada e a</w:t>
      </w:r>
      <w:r>
        <w:rPr>
          <w:rFonts w:ascii="Arial" w:hAnsi="Arial" w:eastAsia="Calibri" w:cs="Arial"/>
          <w:bCs/>
          <w:lang w:eastAsia="en-US"/>
        </w:rPr>
        <w:t xml:space="preserve"> planilha de composição de custos conforme os modelos constantes dos Anexo I-A, Anexo I-B e Anexo II, atendendo aos requisitos da Convenção Coletiva de Trabalho (CCT MT000063-2023 ou a que vier a substituí-la), deverá ser enviada pela licitante detentora da melhor proposta em formato “PDF” devidamente assinada e rubricada, também no formato excel “.XLS”  </w:t>
      </w:r>
      <w:r>
        <w:rPr>
          <w:rFonts w:ascii="Arial" w:hAnsi="Arial" w:cs="Arial"/>
          <w:bCs/>
          <w:color w:val="000000"/>
          <w:szCs w:val="24"/>
        </w:rPr>
        <w:t xml:space="preserve"> até às 10 (dez) horas (horário de Brasília – DF) do dia útil seguinte ao da convocação efetuada pelo Pregoeiro</w:t>
      </w:r>
      <w:r>
        <w:rPr>
          <w:rFonts w:ascii="Arial" w:hAnsi="Arial" w:cs="Arial"/>
          <w:bCs/>
          <w:szCs w:val="24"/>
        </w:rPr>
        <w:t xml:space="preserve"> e, informar no campo “chat mensagem” que enviou a documentação no site LICITANET, sob pena de desclassificação, ou, se for solicitado  pelo Pregoeiro,  por  email – </w:t>
      </w:r>
      <w:r>
        <w:fldChar w:fldCharType="begin"/>
      </w:r>
      <w:r>
        <w:instrText xml:space="preserve"> HYPERLINK "mailto:licita7@pva.mt.gov.br" </w:instrText>
      </w:r>
      <w:r>
        <w:fldChar w:fldCharType="separate"/>
      </w:r>
      <w:r>
        <w:rPr>
          <w:rStyle w:val="18"/>
          <w:rFonts w:ascii="Arial" w:hAnsi="Arial" w:cs="Arial"/>
          <w:bCs/>
          <w:szCs w:val="24"/>
          <w:u w:val="none"/>
        </w:rPr>
        <w:t>pregao@pva.mt.gov.br</w:t>
      </w:r>
      <w:r>
        <w:rPr>
          <w:rStyle w:val="18"/>
          <w:rFonts w:ascii="Arial" w:hAnsi="Arial" w:cs="Arial"/>
          <w:bCs/>
          <w:szCs w:val="24"/>
          <w:u w:val="none"/>
        </w:rPr>
        <w:fldChar w:fldCharType="end"/>
      </w:r>
      <w:r>
        <w:rPr>
          <w:rFonts w:ascii="Arial" w:hAnsi="Arial" w:cs="Arial"/>
          <w:bCs/>
          <w:szCs w:val="24"/>
        </w:rPr>
        <w:t>;</w:t>
      </w:r>
    </w:p>
    <w:p>
      <w:pPr>
        <w:pStyle w:val="31"/>
        <w:widowControl w:val="0"/>
        <w:tabs>
          <w:tab w:val="left" w:pos="709"/>
          <w:tab w:val="left" w:pos="851"/>
          <w:tab w:val="left" w:pos="1134"/>
          <w:tab w:val="clear" w:pos="4419"/>
          <w:tab w:val="clear" w:pos="8838"/>
        </w:tabs>
        <w:spacing w:after="120"/>
        <w:ind w:left="715" w:leftChars="298" w:firstLine="3"/>
        <w:rPr>
          <w:rFonts w:ascii="Arial" w:hAnsi="Arial" w:eastAsia="Calibri" w:cs="Arial"/>
          <w:bCs/>
          <w:lang w:eastAsia="en-US"/>
        </w:rPr>
      </w:pPr>
      <w:r>
        <w:rPr>
          <w:rFonts w:ascii="Arial" w:hAnsi="Arial" w:eastAsia="Calibri" w:cs="Arial"/>
          <w:b/>
          <w:lang w:eastAsia="en-US"/>
        </w:rPr>
        <w:t>11.6.2.</w:t>
      </w:r>
      <w:r>
        <w:rPr>
          <w:rFonts w:ascii="Arial" w:hAnsi="Arial" w:eastAsia="Calibri" w:cs="Arial"/>
          <w:bCs/>
          <w:lang w:eastAsia="en-US"/>
        </w:rPr>
        <w:t xml:space="preserve"> O Pregoeiro poderá fixar prazo a licitante classificada provisoriamente em primeiro lugar para o </w:t>
      </w:r>
      <w:r>
        <w:rPr>
          <w:rFonts w:ascii="Arial" w:hAnsi="Arial" w:eastAsia="Calibri" w:cs="Arial"/>
          <w:b/>
          <w:u w:val="single"/>
          <w:lang w:eastAsia="en-US"/>
        </w:rPr>
        <w:t xml:space="preserve">reenvio </w:t>
      </w:r>
      <w:r>
        <w:rPr>
          <w:rFonts w:ascii="Arial" w:hAnsi="Arial" w:eastAsia="Calibri" w:cs="Arial"/>
          <w:bCs/>
          <w:lang w:eastAsia="en-US"/>
        </w:rPr>
        <w:t xml:space="preserve"> do Anexo I-A, Anexo I-B e Anexo II contendo a proposta realinhada e planilha de composição de preços quando o preço total ofertado for aceitável, mas os preços unitários que compõem a planilha de custos necessitem de ajustes aos valores estimados pelo Município;</w:t>
      </w:r>
    </w:p>
    <w:p>
      <w:pPr>
        <w:pStyle w:val="31"/>
        <w:widowControl w:val="0"/>
        <w:tabs>
          <w:tab w:val="left" w:pos="709"/>
          <w:tab w:val="left" w:pos="851"/>
          <w:tab w:val="left" w:pos="1134"/>
          <w:tab w:val="clear" w:pos="4419"/>
          <w:tab w:val="clear" w:pos="8838"/>
        </w:tabs>
        <w:spacing w:after="120"/>
        <w:ind w:left="715" w:leftChars="298" w:firstLine="3"/>
        <w:rPr>
          <w:rFonts w:ascii="Arial" w:hAnsi="Arial" w:eastAsia="Calibri" w:cs="Arial"/>
          <w:bCs/>
          <w:lang w:eastAsia="en-US"/>
        </w:rPr>
      </w:pPr>
      <w:r>
        <w:rPr>
          <w:rFonts w:ascii="Arial" w:hAnsi="Arial" w:eastAsia="Calibri" w:cs="Arial"/>
          <w:b/>
          <w:lang w:eastAsia="en-US"/>
        </w:rPr>
        <w:t xml:space="preserve">11.6.3. </w:t>
      </w:r>
      <w:r>
        <w:rPr>
          <w:rFonts w:ascii="Arial" w:hAnsi="Arial" w:eastAsia="Calibri" w:cs="Arial"/>
          <w:bCs/>
          <w:lang w:eastAsia="en-US"/>
        </w:rPr>
        <w:t>O ajuste da proposta não poderá implicar aumento do seu valor global;</w:t>
      </w:r>
    </w:p>
    <w:p>
      <w:pPr>
        <w:pStyle w:val="31"/>
        <w:widowControl w:val="0"/>
        <w:tabs>
          <w:tab w:val="left" w:pos="709"/>
          <w:tab w:val="left" w:pos="851"/>
          <w:tab w:val="left" w:pos="1134"/>
          <w:tab w:val="clear" w:pos="4419"/>
          <w:tab w:val="clear" w:pos="8838"/>
        </w:tabs>
        <w:spacing w:after="120"/>
        <w:ind w:left="715" w:leftChars="298" w:firstLine="3"/>
        <w:rPr>
          <w:rFonts w:ascii="Arial" w:hAnsi="Arial" w:eastAsia="Calibri" w:cs="Arial"/>
          <w:bCs/>
          <w:lang w:eastAsia="en-US"/>
        </w:rPr>
      </w:pPr>
      <w:r>
        <w:rPr>
          <w:rFonts w:ascii="Arial" w:hAnsi="Arial" w:eastAsia="Calibri" w:cs="Arial"/>
          <w:b/>
          <w:lang w:eastAsia="en-US"/>
        </w:rPr>
        <w:t xml:space="preserve">11.6.4. </w:t>
      </w:r>
      <w:r>
        <w:rPr>
          <w:rFonts w:ascii="Arial" w:hAnsi="Arial" w:eastAsia="Calibri" w:cs="Arial"/>
          <w:bCs/>
          <w:lang w:eastAsia="en-US"/>
        </w:rPr>
        <w:t>Não serão aceitas propostas com valor global superior ao estimado, ou com preços manifestamente inexequíveis;</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11.7. </w:t>
      </w:r>
      <w:r>
        <w:rPr>
          <w:rFonts w:ascii="Arial" w:hAnsi="Arial" w:cs="Arial"/>
          <w:szCs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11.8. </w:t>
      </w:r>
      <w:r>
        <w:rPr>
          <w:rFonts w:ascii="Arial" w:hAnsi="Arial" w:cs="Arial"/>
          <w:szCs w:val="24"/>
          <w:lang w:eastAsia="en-US"/>
        </w:rPr>
        <w:t>Para fins de análise da proposta quanto ao cumprimento das especificações do objeto e exequibilidade, poderá ser colhida a manifestação escrita do setor requisitante do serviço ou da área especializada no objeto.</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11.9. </w:t>
      </w:r>
      <w:r>
        <w:rPr>
          <w:rFonts w:ascii="Arial" w:hAnsi="Arial" w:cs="Arial"/>
          <w:szCs w:val="24"/>
          <w:lang w:eastAsia="en-US"/>
        </w:rPr>
        <w:t>Se a proposta de preços não for aceitável ou se a licitante não atender as exigências habilitatórias, o Pregoeiro(a) examinará a proposta de preços subsequentes e, assim sucessivamente na ordem de classificação até a apuração de uma proposta de preços que atenda ao Edital, sendo o respectivo licitante declarado vencedor e a ele adjudicado o objeto do certame.</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11.10. </w:t>
      </w:r>
      <w:r>
        <w:rPr>
          <w:rFonts w:ascii="Arial" w:hAnsi="Arial" w:cs="Arial"/>
          <w:szCs w:val="24"/>
          <w:lang w:eastAsia="en-US"/>
        </w:rPr>
        <w:t>Se a proposta ou lance vencedor for desclassificado, o Pregoeiro examinará a proposta ou lance subsequente, e, assim sucessivamente, na ordem de classificação.</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11.11. </w:t>
      </w:r>
      <w:r>
        <w:rPr>
          <w:rFonts w:ascii="Arial" w:hAnsi="Arial" w:cs="Arial"/>
          <w:szCs w:val="24"/>
          <w:lang w:eastAsia="en-US"/>
        </w:rPr>
        <w:t>Havendo necessidade, o Pregoeiro suspenderá a sessão, informando no “chat” a nova data e horário para a continuidade da mesma.</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11.12. </w:t>
      </w:r>
      <w:r>
        <w:rPr>
          <w:rFonts w:ascii="Arial" w:hAnsi="Arial" w:cs="Arial"/>
          <w:szCs w:val="24"/>
          <w:lang w:eastAsia="en-US"/>
        </w:rPr>
        <w:t>Não poderá haver desistência dos lances ofertados, sujeitando-se o proponente desistente às penalidades estabelecidas neste Edital.</w:t>
      </w:r>
    </w:p>
    <w:p>
      <w:pPr>
        <w:pStyle w:val="31"/>
        <w:widowControl w:val="0"/>
        <w:tabs>
          <w:tab w:val="left" w:pos="709"/>
          <w:tab w:val="clear" w:pos="4419"/>
          <w:tab w:val="clear" w:pos="8838"/>
        </w:tabs>
        <w:spacing w:after="120"/>
        <w:rPr>
          <w:rFonts w:ascii="Arial" w:hAnsi="Arial" w:cs="Arial"/>
          <w:szCs w:val="24"/>
          <w:lang w:eastAsia="en-US"/>
        </w:rPr>
      </w:pPr>
      <w:r>
        <w:rPr>
          <w:rFonts w:ascii="Arial" w:hAnsi="Arial" w:cs="Arial"/>
          <w:b/>
          <w:color w:val="000000"/>
          <w:szCs w:val="24"/>
        </w:rPr>
        <w:t xml:space="preserve">11.13. </w:t>
      </w:r>
      <w:r>
        <w:rPr>
          <w:rFonts w:ascii="Arial" w:hAnsi="Arial" w:cs="Arial"/>
          <w:color w:val="000000"/>
          <w:szCs w:val="24"/>
        </w:rPr>
        <w:t xml:space="preserve">A </w:t>
      </w:r>
      <w:r>
        <w:rPr>
          <w:rFonts w:ascii="Arial" w:hAnsi="Arial" w:cs="Arial"/>
          <w:b/>
          <w:color w:val="000000"/>
          <w:szCs w:val="24"/>
        </w:rPr>
        <w:t>licitante</w:t>
      </w:r>
      <w:r>
        <w:rPr>
          <w:rFonts w:ascii="Arial" w:hAnsi="Arial" w:cs="Arial"/>
          <w:color w:val="000000"/>
          <w:szCs w:val="24"/>
        </w:rPr>
        <w:t xml:space="preserve"> que abandonar o certame, deixando de enviar a documentação indicada nesta seção, será desclassificada e sujeitar-se-á às sanções previstas neste Edital;</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11.14. </w:t>
      </w:r>
      <w:r>
        <w:rPr>
          <w:rFonts w:ascii="Arial" w:hAnsi="Arial" w:cs="Arial"/>
          <w:szCs w:val="24"/>
          <w:lang w:eastAsia="en-US"/>
        </w:rPr>
        <w:t>Atendidas as especificações do edital, estando habilitada a licitante e tendo sido aceito o menor preço apurado, o Pregoeiro(a) declarará a(s) empresa(s) vencedora(s) do(s) respectivo(s) item (ns).</w:t>
      </w:r>
    </w:p>
    <w:p>
      <w:pPr>
        <w:pStyle w:val="31"/>
        <w:widowControl w:val="0"/>
        <w:tabs>
          <w:tab w:val="left" w:pos="709"/>
          <w:tab w:val="left" w:pos="851"/>
          <w:tab w:val="left" w:pos="1134"/>
          <w:tab w:val="clear" w:pos="4419"/>
          <w:tab w:val="clear" w:pos="8838"/>
        </w:tabs>
        <w:spacing w:after="120"/>
        <w:rPr>
          <w:rFonts w:ascii="Arial" w:hAnsi="Arial" w:cs="Arial"/>
          <w:szCs w:val="24"/>
          <w:lang w:eastAsia="en-US"/>
        </w:rPr>
      </w:pPr>
      <w:r>
        <w:rPr>
          <w:rFonts w:ascii="Arial" w:hAnsi="Arial" w:cs="Arial"/>
          <w:b/>
          <w:szCs w:val="24"/>
          <w:lang w:eastAsia="en-US"/>
        </w:rPr>
        <w:t xml:space="preserve">11.15. </w:t>
      </w:r>
      <w:r>
        <w:rPr>
          <w:rFonts w:ascii="Arial" w:hAnsi="Arial" w:cs="Arial"/>
          <w:szCs w:val="24"/>
          <w:lang w:eastAsia="en-US"/>
        </w:rPr>
        <w:t>A indicação do lance vencedor, a classificação dos lances apresentados e demais informações relativas à Sessão Pública do PREGÃO ELETRÔNICO constarão em Ata divulgada no Sistema Eletrônico, sem prejuízo das demais formas de publicidade prevista na legislação pertinente.</w:t>
      </w:r>
    </w:p>
    <w:p>
      <w:pPr>
        <w:pStyle w:val="31"/>
        <w:widowControl w:val="0"/>
        <w:tabs>
          <w:tab w:val="clear" w:pos="4419"/>
          <w:tab w:val="clear" w:pos="8838"/>
        </w:tabs>
        <w:spacing w:after="120"/>
        <w:rPr>
          <w:rFonts w:ascii="Arial" w:hAnsi="Arial" w:eastAsia="Calibri" w:cs="Arial"/>
          <w:color w:val="000000"/>
        </w:rPr>
      </w:pPr>
      <w:r>
        <w:rPr>
          <w:rFonts w:ascii="Arial" w:hAnsi="Arial" w:cs="Arial"/>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42545</wp:posOffset>
                </wp:positionV>
                <wp:extent cx="6248400" cy="323850"/>
                <wp:effectExtent l="4445" t="4445" r="33655" b="33655"/>
                <wp:wrapNone/>
                <wp:docPr id="11" name="Retângulo 15"/>
                <wp:cNvGraphicFramePr/>
                <a:graphic xmlns:a="http://schemas.openxmlformats.org/drawingml/2006/main">
                  <a:graphicData uri="http://schemas.microsoft.com/office/word/2010/wordprocessingShape">
                    <wps:wsp>
                      <wps:cNvSpPr/>
                      <wps:spPr>
                        <a:xfrm>
                          <a:off x="0" y="0"/>
                          <a:ext cx="6248400" cy="3238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sz w:val="32"/>
                              </w:rPr>
                            </w:pPr>
                            <w:r>
                              <w:rPr>
                                <w:rFonts w:ascii="Arial" w:hAnsi="Arial" w:eastAsia="Calibri"/>
                                <w:b/>
                              </w:rPr>
                              <w:t>SEÇÃO XII – DA HABILITAÇÃO</w:t>
                            </w:r>
                          </w:p>
                        </w:txbxContent>
                      </wps:txbx>
                      <wps:bodyPr wrap="square" upright="1"/>
                    </wps:wsp>
                  </a:graphicData>
                </a:graphic>
              </wp:anchor>
            </w:drawing>
          </mc:Choice>
          <mc:Fallback>
            <w:pict>
              <v:rect id="Retângulo 15" o:spid="_x0000_s1026" o:spt="1" style="position:absolute;left:0pt;margin-left:-1.8pt;margin-top:3.35pt;height:25.5pt;width:492pt;z-index:251669504;mso-width-relative:page;mso-height-relative:page;" fillcolor="#D8D8D8" filled="t" stroked="t" coordsize="21600,21600" o:gfxdata="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yVMhNcAAAAHAQAADwAAAAAAAAAB&#10;ACAAAAAiAAAAZHJzL2Rvd25yZXYueG1sUEsBAhQAFAAAAAgAh07iQDcxQv1KAgAAwwQAAA4AAAAA&#10;AAAAAQAgAAAAJgEAAGRycy9lMm9Eb2MueG1sUEsFBgAAAAAGAAYAWQEAAOIFA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sz w:val="32"/>
                        </w:rPr>
                      </w:pPr>
                      <w:r>
                        <w:rPr>
                          <w:rFonts w:ascii="Arial" w:hAnsi="Arial" w:eastAsia="Calibri"/>
                          <w:b/>
                        </w:rPr>
                        <w:t>SEÇÃO XII – DA HABILITAÇÃO</w:t>
                      </w:r>
                    </w:p>
                  </w:txbxContent>
                </v:textbox>
              </v:rect>
            </w:pict>
          </mc:Fallback>
        </mc:AlternateContent>
      </w:r>
    </w:p>
    <w:p>
      <w:pPr>
        <w:pStyle w:val="2"/>
        <w:keepNext w:val="0"/>
        <w:widowControl w:val="0"/>
        <w:tabs>
          <w:tab w:val="left" w:pos="1134"/>
        </w:tabs>
        <w:spacing w:before="0" w:after="120"/>
        <w:ind w:left="0"/>
        <w:jc w:val="both"/>
        <w:rPr>
          <w:rFonts w:cs="Arial"/>
          <w:color w:val="000000"/>
        </w:rPr>
      </w:pPr>
    </w:p>
    <w:p>
      <w:pPr>
        <w:widowControl w:val="0"/>
        <w:spacing w:after="120"/>
        <w:ind w:left="705"/>
        <w:jc w:val="both"/>
        <w:rPr>
          <w:rFonts w:ascii="Arial" w:hAnsi="Arial" w:eastAsia="Calibri" w:cs="Arial"/>
          <w:vanish/>
          <w:color w:val="000000"/>
        </w:rPr>
      </w:pPr>
    </w:p>
    <w:p>
      <w:pPr>
        <w:pStyle w:val="31"/>
        <w:widowControl w:val="0"/>
        <w:tabs>
          <w:tab w:val="left" w:pos="0"/>
          <w:tab w:val="left" w:pos="993"/>
          <w:tab w:val="left" w:pos="1134"/>
          <w:tab w:val="clear" w:pos="4419"/>
          <w:tab w:val="clear" w:pos="8838"/>
        </w:tabs>
        <w:spacing w:after="120"/>
        <w:rPr>
          <w:rFonts w:ascii="Arial" w:hAnsi="Arial" w:eastAsia="Calibri" w:cs="Arial"/>
          <w:b/>
          <w:color w:val="000000"/>
        </w:rPr>
      </w:pPr>
      <w:r>
        <w:rPr>
          <w:rFonts w:ascii="Arial" w:hAnsi="Arial" w:eastAsia="Calibri" w:cs="Arial"/>
          <w:b/>
          <w:color w:val="000000"/>
        </w:rPr>
        <w:t xml:space="preserve">12.1. </w:t>
      </w:r>
      <w:r>
        <w:rPr>
          <w:rFonts w:ascii="Arial" w:hAnsi="Arial" w:eastAsia="Calibri" w:cs="Arial"/>
          <w:color w:val="000000"/>
          <w:lang w:eastAsia="ar-SA"/>
        </w:rPr>
        <w:t>Como condição prévia ao exame da documentação de habilitação</w:t>
      </w:r>
      <w:r>
        <w:rPr>
          <w:rFonts w:ascii="Arial" w:hAnsi="Arial" w:eastAsia="Calibri" w:cs="Arial"/>
          <w:color w:val="000000"/>
        </w:rPr>
        <w:t xml:space="preserve"> do licitante detentor da proposta classificada em primeiro lugar</w:t>
      </w:r>
      <w:r>
        <w:rPr>
          <w:rFonts w:ascii="Arial" w:hAnsi="Arial" w:eastAsia="Calibri" w:cs="Arial"/>
          <w:color w:val="000000"/>
          <w:lang w:eastAsia="ar-SA"/>
        </w:rPr>
        <w:t xml:space="preserve">, </w:t>
      </w:r>
      <w:r>
        <w:rPr>
          <w:rFonts w:ascii="Arial" w:hAnsi="Arial" w:eastAsia="Calibri" w:cs="Arial"/>
          <w:color w:val="000000"/>
        </w:rPr>
        <w:t xml:space="preserve">o Pregoeiro </w:t>
      </w:r>
      <w:r>
        <w:rPr>
          <w:rFonts w:ascii="Arial" w:hAnsi="Arial" w:eastAsia="Calibri" w:cs="Arial"/>
          <w:color w:val="000000"/>
          <w:lang w:eastAsia="ar-SA"/>
        </w:rPr>
        <w:t>verificará o eventual descumprimento das condições de participação, especialmente quanto à</w:t>
      </w:r>
      <w:r>
        <w:rPr>
          <w:rFonts w:ascii="Arial" w:hAnsi="Arial" w:eastAsia="Calibri" w:cs="Arial"/>
          <w:color w:val="000000"/>
        </w:rPr>
        <w:t xml:space="preserve"> existência de sanção que impeça a participação no certame ou a futura contratação, mediante a consulta aos seguintes cadastros:</w:t>
      </w:r>
    </w:p>
    <w:p>
      <w:pPr>
        <w:pStyle w:val="31"/>
        <w:widowControl w:val="0"/>
        <w:tabs>
          <w:tab w:val="left" w:pos="0"/>
          <w:tab w:val="left" w:pos="993"/>
          <w:tab w:val="left" w:pos="1134"/>
          <w:tab w:val="clear" w:pos="4419"/>
          <w:tab w:val="clear" w:pos="8838"/>
        </w:tabs>
        <w:spacing w:after="120"/>
        <w:rPr>
          <w:rFonts w:ascii="Arial" w:hAnsi="Arial" w:eastAsia="Calibri" w:cs="Arial"/>
          <w:color w:val="000000"/>
        </w:rPr>
      </w:pPr>
      <w:r>
        <w:rPr>
          <w:rFonts w:ascii="Arial" w:hAnsi="Arial" w:eastAsia="Calibri" w:cs="Arial"/>
          <w:color w:val="000000"/>
        </w:rPr>
        <w:t>a) CRC - Certificado de Registro Cadastral emitido pela Prefeitura Municipal de Primavera do Leste;</w:t>
      </w:r>
    </w:p>
    <w:p>
      <w:pPr>
        <w:pStyle w:val="31"/>
        <w:widowControl w:val="0"/>
        <w:tabs>
          <w:tab w:val="left" w:pos="0"/>
          <w:tab w:val="left" w:pos="993"/>
          <w:tab w:val="left" w:pos="1134"/>
          <w:tab w:val="clear" w:pos="4419"/>
          <w:tab w:val="clear" w:pos="8838"/>
        </w:tabs>
        <w:spacing w:after="120"/>
        <w:rPr>
          <w:rFonts w:ascii="Arial" w:hAnsi="Arial" w:eastAsia="Calibri" w:cs="Arial"/>
          <w:color w:val="000000"/>
        </w:rPr>
      </w:pPr>
      <w:r>
        <w:rPr>
          <w:rFonts w:ascii="Arial" w:hAnsi="Arial" w:eastAsia="Calibri" w:cs="Arial"/>
          <w:color w:val="000000"/>
        </w:rPr>
        <w:t>b) Cadastro Nacional de Empresas Inidôneas e Suspensas – CEIS da Controladoria Geral da União (</w:t>
      </w:r>
      <w:r>
        <w:fldChar w:fldCharType="begin"/>
      </w:r>
      <w:r>
        <w:instrText xml:space="preserve"> HYPERLINK "http://www.portaltransparencia.gov.br/sancoes/ceis?ordenarPor=nome&amp;direcao=asc" </w:instrText>
      </w:r>
      <w:r>
        <w:fldChar w:fldCharType="separate"/>
      </w:r>
      <w:r>
        <w:rPr>
          <w:rStyle w:val="18"/>
          <w:rFonts w:ascii="Arial" w:hAnsi="Arial" w:eastAsia="Calibri" w:cs="Arial"/>
        </w:rPr>
        <w:t>http://www.portaltransparencia.gov.br/sancoes/ceis?ordenarPor=nome&amp;direcao=asc</w:t>
      </w:r>
      <w:r>
        <w:rPr>
          <w:rStyle w:val="18"/>
          <w:rFonts w:ascii="Arial" w:hAnsi="Arial" w:eastAsia="Calibri" w:cs="Arial"/>
        </w:rPr>
        <w:fldChar w:fldCharType="end"/>
      </w:r>
      <w:r>
        <w:rPr>
          <w:rFonts w:ascii="Arial" w:hAnsi="Arial" w:eastAsia="Calibri" w:cs="Arial"/>
          <w:color w:val="000000"/>
        </w:rPr>
        <w:t>)</w:t>
      </w:r>
    </w:p>
    <w:p>
      <w:pPr>
        <w:pStyle w:val="31"/>
        <w:widowControl w:val="0"/>
        <w:tabs>
          <w:tab w:val="left" w:pos="0"/>
          <w:tab w:val="left" w:pos="993"/>
          <w:tab w:val="left" w:pos="1134"/>
          <w:tab w:val="clear" w:pos="4419"/>
          <w:tab w:val="clear" w:pos="8838"/>
        </w:tabs>
        <w:spacing w:after="120"/>
        <w:rPr>
          <w:rFonts w:ascii="Arial" w:hAnsi="Arial" w:eastAsia="Calibri" w:cs="Arial"/>
          <w:color w:val="000000"/>
        </w:rPr>
      </w:pPr>
      <w:r>
        <w:rPr>
          <w:rFonts w:ascii="Arial" w:hAnsi="Arial" w:eastAsia="Calibri" w:cs="Arial"/>
          <w:color w:val="000000"/>
        </w:rPr>
        <w:t>c) Cadastro de Licitantes Inidôneos do Tribunal de Contas da União (</w:t>
      </w:r>
      <w:r>
        <w:fldChar w:fldCharType="begin"/>
      </w:r>
      <w:r>
        <w:instrText xml:space="preserve"> HYPERLINK "https://contas.tcu.gov.br/ords/f?p=INABILITADO:INIDONEOS" </w:instrText>
      </w:r>
      <w:r>
        <w:fldChar w:fldCharType="separate"/>
      </w:r>
      <w:r>
        <w:rPr>
          <w:rStyle w:val="18"/>
          <w:rFonts w:ascii="Arial" w:hAnsi="Arial" w:eastAsia="Calibri" w:cs="Arial"/>
        </w:rPr>
        <w:t>https://contas.tcu.gov.br/ords/f?p=INABILITADO:INIDONEOS)</w:t>
      </w:r>
      <w:r>
        <w:rPr>
          <w:rStyle w:val="18"/>
          <w:rFonts w:ascii="Arial" w:hAnsi="Arial" w:eastAsia="Calibri" w:cs="Arial"/>
        </w:rPr>
        <w:fldChar w:fldCharType="end"/>
      </w:r>
    </w:p>
    <w:p>
      <w:pPr>
        <w:pStyle w:val="31"/>
        <w:widowControl w:val="0"/>
        <w:tabs>
          <w:tab w:val="left" w:pos="0"/>
          <w:tab w:val="left" w:pos="993"/>
          <w:tab w:val="left" w:pos="1134"/>
          <w:tab w:val="clear" w:pos="4419"/>
          <w:tab w:val="clear" w:pos="8838"/>
        </w:tabs>
        <w:spacing w:after="120"/>
        <w:rPr>
          <w:rFonts w:ascii="Arial" w:hAnsi="Arial" w:eastAsia="Calibri" w:cs="Arial"/>
          <w:color w:val="000000"/>
        </w:rPr>
      </w:pPr>
      <w:r>
        <w:rPr>
          <w:rFonts w:ascii="Arial" w:hAnsi="Arial" w:eastAsia="Calibri" w:cs="Arial"/>
          <w:color w:val="000000"/>
        </w:rPr>
        <w:t>d) Cadastro Nacional de Condenações Cíveis por Improbidade Administrativa do Conselho Nacional Justiça (</w:t>
      </w:r>
      <w:r>
        <w:fldChar w:fldCharType="begin"/>
      </w:r>
      <w:r>
        <w:instrText xml:space="preserve"> HYPERLINK "http://www.cnj.jus.br/improbidade_adm/consultar_requerido.php" </w:instrText>
      </w:r>
      <w:r>
        <w:fldChar w:fldCharType="separate"/>
      </w:r>
      <w:r>
        <w:rPr>
          <w:rStyle w:val="18"/>
          <w:rFonts w:ascii="Arial" w:hAnsi="Arial" w:eastAsia="Calibri" w:cs="Arial"/>
        </w:rPr>
        <w:t>http://www.cnj.jus.br/improbidade_adm/consultar_requerido.php</w:t>
      </w:r>
      <w:r>
        <w:rPr>
          <w:rStyle w:val="18"/>
          <w:rFonts w:ascii="Arial" w:hAnsi="Arial" w:eastAsia="Calibri" w:cs="Arial"/>
        </w:rPr>
        <w:fldChar w:fldCharType="end"/>
      </w:r>
      <w:r>
        <w:rPr>
          <w:rFonts w:ascii="Arial" w:hAnsi="Arial" w:eastAsia="Calibri" w:cs="Arial"/>
          <w:color w:val="000000"/>
        </w:rPr>
        <w:t>);</w:t>
      </w:r>
    </w:p>
    <w:p>
      <w:pPr>
        <w:pStyle w:val="31"/>
        <w:widowControl w:val="0"/>
        <w:tabs>
          <w:tab w:val="left" w:pos="200"/>
          <w:tab w:val="left" w:pos="993"/>
          <w:tab w:val="left" w:pos="1134"/>
          <w:tab w:val="clear" w:pos="4419"/>
          <w:tab w:val="clear" w:pos="8838"/>
        </w:tabs>
        <w:spacing w:after="120"/>
        <w:ind w:left="720" w:leftChars="300"/>
        <w:rPr>
          <w:rFonts w:ascii="Arial" w:hAnsi="Arial" w:eastAsia="Calibri" w:cs="Arial"/>
          <w:color w:val="000000"/>
        </w:rPr>
      </w:pPr>
      <w:r>
        <w:rPr>
          <w:rFonts w:ascii="Arial" w:hAnsi="Arial" w:eastAsia="Calibri" w:cs="Arial"/>
          <w:b/>
          <w:color w:val="000000"/>
        </w:rPr>
        <w:t xml:space="preserve">12.1.1. </w:t>
      </w:r>
      <w:r>
        <w:rPr>
          <w:rFonts w:ascii="Arial" w:hAnsi="Arial" w:eastAsia="Calibri" w:cs="Arial"/>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1"/>
        <w:widowControl w:val="0"/>
        <w:tabs>
          <w:tab w:val="left" w:pos="200"/>
          <w:tab w:val="left" w:pos="1400"/>
          <w:tab w:val="clear" w:pos="4419"/>
          <w:tab w:val="clear" w:pos="8838"/>
        </w:tabs>
        <w:spacing w:after="120"/>
        <w:ind w:left="1673" w:leftChars="697"/>
        <w:rPr>
          <w:rFonts w:ascii="Arial" w:hAnsi="Arial" w:eastAsia="Calibri" w:cs="Arial"/>
          <w:color w:val="000000"/>
        </w:rPr>
      </w:pPr>
      <w:r>
        <w:rPr>
          <w:rFonts w:ascii="Arial" w:hAnsi="Arial" w:eastAsia="Calibri" w:cs="Arial"/>
          <w:b/>
          <w:color w:val="000000"/>
        </w:rPr>
        <w:t xml:space="preserve">12.1.1.1 </w:t>
      </w:r>
      <w:r>
        <w:rPr>
          <w:rFonts w:ascii="Arial" w:hAnsi="Arial" w:eastAsia="Calibri" w:cs="Arial"/>
          <w:color w:val="000000"/>
        </w:rPr>
        <w:t>Constatada a existência de sanção, o Pregoeiro reputará o licitante inabilitado, por falta de condição de participação.</w:t>
      </w:r>
    </w:p>
    <w:p>
      <w:pPr>
        <w:pStyle w:val="31"/>
        <w:widowControl w:val="0"/>
        <w:tabs>
          <w:tab w:val="left" w:pos="200"/>
          <w:tab w:val="left" w:pos="1400"/>
          <w:tab w:val="clear" w:pos="4419"/>
          <w:tab w:val="clear" w:pos="8838"/>
        </w:tabs>
        <w:spacing w:after="120"/>
        <w:ind w:left="1673" w:leftChars="697"/>
        <w:rPr>
          <w:rFonts w:ascii="Arial" w:hAnsi="Arial" w:eastAsia="Calibri" w:cs="Arial"/>
          <w:b/>
          <w:color w:val="000000"/>
        </w:rPr>
      </w:pPr>
      <w:r>
        <w:rPr>
          <w:rFonts w:ascii="Arial" w:hAnsi="Arial" w:eastAsia="Calibri" w:cs="Arial"/>
          <w:b/>
          <w:color w:val="000000"/>
        </w:rPr>
        <w:t xml:space="preserve">12.1.1.2. </w:t>
      </w:r>
      <w:r>
        <w:rPr>
          <w:rFonts w:ascii="Arial" w:hAnsi="Arial" w:eastAsia="Calibri" w:cs="Arial"/>
          <w:color w:val="000000"/>
        </w:rPr>
        <w:t>O licitante será convocado para manifestação previamente à sua desclassificação.</w:t>
      </w:r>
    </w:p>
    <w:p>
      <w:pPr>
        <w:pStyle w:val="31"/>
        <w:widowControl w:val="0"/>
        <w:tabs>
          <w:tab w:val="left" w:pos="0"/>
          <w:tab w:val="left" w:pos="993"/>
          <w:tab w:val="left" w:pos="1134"/>
          <w:tab w:val="clear" w:pos="4419"/>
          <w:tab w:val="clear" w:pos="8838"/>
        </w:tabs>
        <w:spacing w:after="120"/>
        <w:rPr>
          <w:rFonts w:ascii="Arial" w:hAnsi="Arial" w:eastAsia="Calibri" w:cs="Arial"/>
          <w:color w:val="000000"/>
          <w:lang w:eastAsia="en-US"/>
        </w:rPr>
      </w:pPr>
      <w:r>
        <w:rPr>
          <w:rFonts w:ascii="Arial" w:hAnsi="Arial" w:eastAsia="Calibri" w:cs="Arial"/>
          <w:b/>
          <w:color w:val="000000"/>
          <w:lang w:eastAsia="en-US"/>
        </w:rPr>
        <w:t xml:space="preserve">12.2. </w:t>
      </w:r>
      <w:r>
        <w:rPr>
          <w:rFonts w:ascii="Arial" w:hAnsi="Arial" w:eastAsia="Calibri" w:cs="Arial"/>
          <w:color w:val="000000"/>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1"/>
        <w:widowControl w:val="0"/>
        <w:tabs>
          <w:tab w:val="left" w:pos="0"/>
          <w:tab w:val="left" w:pos="993"/>
          <w:tab w:val="left" w:pos="1134"/>
          <w:tab w:val="clear" w:pos="4419"/>
          <w:tab w:val="clear" w:pos="8838"/>
        </w:tabs>
        <w:spacing w:after="120"/>
        <w:rPr>
          <w:rFonts w:ascii="Arial" w:hAnsi="Arial" w:eastAsia="Calibri" w:cs="Arial"/>
          <w:color w:val="000000"/>
          <w:lang w:eastAsia="en-US"/>
        </w:rPr>
      </w:pPr>
      <w:r>
        <w:rPr>
          <w:rFonts w:ascii="Arial" w:hAnsi="Arial" w:eastAsia="Calibri" w:cs="Arial"/>
          <w:b/>
          <w:color w:val="000000"/>
          <w:lang w:eastAsia="en-US"/>
        </w:rPr>
        <w:t xml:space="preserve">12.3. </w:t>
      </w:r>
      <w:r>
        <w:rPr>
          <w:rFonts w:ascii="Arial" w:hAnsi="Arial" w:eastAsia="Calibri" w:cs="Arial"/>
          <w:color w:val="000000"/>
          <w:lang w:eastAsia="en-US"/>
        </w:rPr>
        <w:t>Não ocorrendo inabilitação, o Pregoeiro consultará o CRC, em relação à habilitação jurídica, à regularidade fiscal e à qualificação econômico-financeira.</w:t>
      </w:r>
    </w:p>
    <w:p>
      <w:pPr>
        <w:pStyle w:val="31"/>
        <w:widowControl w:val="0"/>
        <w:tabs>
          <w:tab w:val="left" w:pos="0"/>
          <w:tab w:val="left" w:pos="993"/>
          <w:tab w:val="left" w:pos="1134"/>
          <w:tab w:val="clear" w:pos="4419"/>
          <w:tab w:val="clear" w:pos="8838"/>
        </w:tabs>
        <w:spacing w:after="120"/>
        <w:rPr>
          <w:rFonts w:ascii="Arial" w:hAnsi="Arial" w:eastAsia="Calibri" w:cs="Arial"/>
          <w:color w:val="000000"/>
          <w:lang w:eastAsia="en-US"/>
        </w:rPr>
      </w:pPr>
      <w:r>
        <w:rPr>
          <w:rFonts w:ascii="Arial" w:hAnsi="Arial" w:eastAsia="Calibri" w:cs="Arial"/>
          <w:b/>
          <w:color w:val="000000"/>
          <w:lang w:eastAsia="en-US"/>
        </w:rPr>
        <w:t xml:space="preserve">12.4. </w:t>
      </w:r>
      <w:r>
        <w:rPr>
          <w:rFonts w:ascii="Arial" w:hAnsi="Arial" w:eastAsia="Calibri" w:cs="Arial"/>
          <w:color w:val="000000"/>
          <w:lang w:eastAsia="en-US"/>
        </w:rPr>
        <w:t>Poderão ser consultados os sítios oficiais emissores de certidões, especialmente quando o licitante esteja com alguma documentação vencida junto ao CRC.</w:t>
      </w:r>
    </w:p>
    <w:p>
      <w:pPr>
        <w:pStyle w:val="31"/>
        <w:widowControl w:val="0"/>
        <w:tabs>
          <w:tab w:val="left" w:pos="200"/>
          <w:tab w:val="left" w:pos="993"/>
          <w:tab w:val="left" w:pos="1134"/>
          <w:tab w:val="clear" w:pos="4419"/>
          <w:tab w:val="clear" w:pos="8838"/>
        </w:tabs>
        <w:spacing w:after="120"/>
        <w:ind w:left="720" w:leftChars="300"/>
        <w:rPr>
          <w:rFonts w:ascii="Arial" w:hAnsi="Arial" w:eastAsia="Calibri" w:cs="Arial"/>
          <w:color w:val="000000"/>
          <w:lang w:eastAsia="en-US"/>
        </w:rPr>
      </w:pPr>
      <w:r>
        <w:rPr>
          <w:rFonts w:ascii="Arial" w:hAnsi="Arial" w:eastAsia="Calibri" w:cs="Arial"/>
          <w:b/>
          <w:color w:val="000000"/>
          <w:lang w:eastAsia="en-US"/>
        </w:rPr>
        <w:t xml:space="preserve">12.4.1.  </w:t>
      </w:r>
      <w:r>
        <w:rPr>
          <w:rFonts w:ascii="Arial" w:hAnsi="Arial" w:eastAsia="Calibri" w:cs="Arial"/>
          <w:color w:val="000000"/>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ascii="Arial" w:hAnsi="Arial" w:eastAsia="Calibri" w:cs="Arial"/>
          <w:b/>
          <w:color w:val="000000"/>
          <w:lang w:eastAsia="en-US"/>
        </w:rPr>
        <w:t>02 (duas) horas</w:t>
      </w:r>
      <w:r>
        <w:rPr>
          <w:rFonts w:ascii="Arial" w:hAnsi="Arial" w:eastAsia="Calibri" w:cs="Arial"/>
          <w:color w:val="000000"/>
          <w:lang w:eastAsia="en-US"/>
        </w:rPr>
        <w:t>, documento válido que comprove o atendimento das exigências deste Edital, sob pena de inabilitação.</w:t>
      </w:r>
    </w:p>
    <w:p>
      <w:pPr>
        <w:pStyle w:val="31"/>
        <w:widowControl w:val="0"/>
        <w:tabs>
          <w:tab w:val="left" w:pos="0"/>
          <w:tab w:val="left" w:pos="993"/>
          <w:tab w:val="left" w:pos="1134"/>
          <w:tab w:val="clear" w:pos="4419"/>
          <w:tab w:val="clear" w:pos="8838"/>
        </w:tabs>
        <w:spacing w:after="120"/>
        <w:rPr>
          <w:rFonts w:ascii="Arial" w:hAnsi="Arial" w:eastAsia="Calibri" w:cs="Arial"/>
          <w:color w:val="000000"/>
          <w:lang w:eastAsia="en-US"/>
        </w:rPr>
      </w:pPr>
      <w:r>
        <w:rPr>
          <w:rFonts w:ascii="Arial" w:hAnsi="Arial" w:eastAsia="Calibri" w:cs="Arial"/>
          <w:b/>
          <w:color w:val="000000"/>
          <w:lang w:eastAsia="en-US"/>
        </w:rPr>
        <w:t xml:space="preserve">12.5. </w:t>
      </w:r>
      <w:r>
        <w:rPr>
          <w:rFonts w:ascii="Arial" w:hAnsi="Arial" w:eastAsia="Calibri" w:cs="Arial"/>
          <w:color w:val="000000"/>
          <w:lang w:eastAsia="en-US"/>
        </w:rPr>
        <w:t>As Microempresas e Empresas de Pequeno Porte deverão encaminhar a documentação de habilitação, ainda que haja alguma restrição de regularidade fiscal e trabalhista, nos termos do art. 43, § 1º da LC nº 123, de 2006.</w:t>
      </w:r>
    </w:p>
    <w:p>
      <w:pPr>
        <w:pStyle w:val="31"/>
        <w:widowControl w:val="0"/>
        <w:tabs>
          <w:tab w:val="left" w:pos="0"/>
          <w:tab w:val="left" w:pos="993"/>
          <w:tab w:val="left" w:pos="1134"/>
          <w:tab w:val="clear" w:pos="4419"/>
          <w:tab w:val="clear" w:pos="8838"/>
        </w:tabs>
        <w:spacing w:after="120"/>
        <w:rPr>
          <w:rFonts w:ascii="Arial" w:hAnsi="Arial" w:eastAsia="Calibri" w:cs="Arial"/>
          <w:color w:val="000000"/>
          <w:lang w:eastAsia="en-US"/>
        </w:rPr>
      </w:pPr>
      <w:r>
        <w:rPr>
          <w:rFonts w:ascii="Arial" w:hAnsi="Arial" w:eastAsia="Calibri" w:cs="Arial"/>
          <w:b/>
          <w:color w:val="000000"/>
          <w:lang w:eastAsia="en-US"/>
        </w:rPr>
        <w:t xml:space="preserve">12.6. </w:t>
      </w:r>
      <w:r>
        <w:rPr>
          <w:rFonts w:ascii="Arial" w:hAnsi="Arial" w:eastAsia="Calibri" w:cs="Arial"/>
          <w:color w:val="000000"/>
          <w:lang w:eastAsia="en-US"/>
        </w:rPr>
        <w:t xml:space="preserve">Os licitantes que </w:t>
      </w:r>
      <w:r>
        <w:rPr>
          <w:rFonts w:ascii="Arial" w:hAnsi="Arial" w:eastAsia="Calibri" w:cs="Arial"/>
          <w:b/>
          <w:color w:val="000000"/>
          <w:u w:val="single"/>
          <w:lang w:eastAsia="en-US"/>
        </w:rPr>
        <w:t xml:space="preserve">não tiverem CRC - Certificado de Registro Cadastral </w:t>
      </w:r>
      <w:r>
        <w:rPr>
          <w:rFonts w:ascii="Arial" w:hAnsi="Arial" w:eastAsia="Calibri" w:cs="Arial"/>
          <w:color w:val="000000"/>
          <w:lang w:eastAsia="en-US"/>
        </w:rPr>
        <w:t xml:space="preserve">emitido pela Prefeitura Municipal de Primavera do Leste - MT devidamente válido, </w:t>
      </w:r>
      <w:r>
        <w:rPr>
          <w:rFonts w:ascii="Arial" w:hAnsi="Arial" w:eastAsia="Calibri" w:cs="Arial"/>
          <w:b/>
          <w:color w:val="000000"/>
          <w:u w:val="single"/>
          <w:lang w:eastAsia="en-US"/>
        </w:rPr>
        <w:t>deverão</w:t>
      </w:r>
      <w:r>
        <w:rPr>
          <w:rFonts w:ascii="Arial" w:hAnsi="Arial" w:eastAsia="Calibri" w:cs="Arial"/>
          <w:color w:val="000000"/>
          <w:lang w:eastAsia="en-US"/>
        </w:rPr>
        <w:t xml:space="preserve"> apresentar a seguinte documentação relativa à Habilitação Jurídica e à Regularidade Fiscal e Trabalhista, bem como à Qualificação Econômico-Financeira, nas condições descritas adiante.</w:t>
      </w:r>
    </w:p>
    <w:p>
      <w:pPr>
        <w:pStyle w:val="103"/>
        <w:widowControl w:val="0"/>
        <w:tabs>
          <w:tab w:val="left" w:pos="709"/>
        </w:tabs>
        <w:spacing w:after="120"/>
        <w:ind w:left="0"/>
        <w:jc w:val="both"/>
        <w:rPr>
          <w:rFonts w:ascii="Arial" w:hAnsi="Arial" w:eastAsia="Calibri" w:cs="Arial"/>
          <w:color w:val="000000"/>
        </w:rPr>
      </w:pPr>
      <w:r>
        <w:rPr>
          <w:rFonts w:ascii="Arial" w:hAnsi="Arial" w:eastAsia="Calibri" w:cs="Arial"/>
          <w:b/>
          <w:color w:val="000000"/>
          <w:lang w:eastAsia="en-US"/>
        </w:rPr>
        <w:t xml:space="preserve">12.7. </w:t>
      </w:r>
      <w:r>
        <w:rPr>
          <w:rFonts w:ascii="Arial" w:hAnsi="Arial" w:eastAsia="Calibri" w:cs="Arial"/>
          <w:b/>
        </w:rPr>
        <w:t>Documentos Relativos à Habilitação Jurídica</w:t>
      </w:r>
      <w:r>
        <w:rPr>
          <w:rFonts w:ascii="Arial" w:hAnsi="Arial" w:eastAsia="Calibri" w:cs="Arial"/>
          <w:color w:val="000000"/>
        </w:rPr>
        <w:t>:</w:t>
      </w:r>
    </w:p>
    <w:p>
      <w:pPr>
        <w:widowControl w:val="0"/>
        <w:numPr>
          <w:ilvl w:val="0"/>
          <w:numId w:val="9"/>
        </w:numPr>
        <w:tabs>
          <w:tab w:val="left" w:pos="284"/>
        </w:tabs>
        <w:spacing w:after="120"/>
        <w:ind w:left="0" w:firstLine="0"/>
        <w:jc w:val="both"/>
        <w:rPr>
          <w:rFonts w:ascii="Arial" w:hAnsi="Arial" w:eastAsia="Calibri" w:cs="Arial"/>
        </w:rPr>
      </w:pPr>
      <w:r>
        <w:rPr>
          <w:rFonts w:ascii="Arial" w:hAnsi="Arial" w:eastAsia="Calibri" w:cs="Arial"/>
        </w:rPr>
        <w:t xml:space="preserve">Declaração de inexistência de fato superveniente impeditivo de habilitação, na forma do artigo 32, §2º, da Lei nº 8.666/93 (podendo ser adotado o modelo constante do </w:t>
      </w:r>
      <w:r>
        <w:rPr>
          <w:rFonts w:ascii="Arial" w:hAnsi="Arial" w:eastAsia="Calibri" w:cs="Arial"/>
          <w:b/>
        </w:rPr>
        <w:t>Anexo IV</w:t>
      </w:r>
      <w:r>
        <w:rPr>
          <w:rFonts w:ascii="Arial" w:hAnsi="Arial" w:eastAsia="Calibri" w:cs="Arial"/>
        </w:rPr>
        <w:t xml:space="preserve"> deste Edital);</w:t>
      </w:r>
    </w:p>
    <w:p>
      <w:pPr>
        <w:widowControl w:val="0"/>
        <w:spacing w:after="120"/>
        <w:jc w:val="both"/>
        <w:rPr>
          <w:rFonts w:ascii="Arial" w:hAnsi="Arial" w:eastAsia="Calibri" w:cs="Arial"/>
        </w:rPr>
      </w:pPr>
      <w:r>
        <w:rPr>
          <w:rFonts w:ascii="Arial" w:hAnsi="Arial" w:eastAsia="Calibri" w:cs="Arial"/>
          <w:b/>
        </w:rPr>
        <w:t>a.1)</w:t>
      </w:r>
      <w:r>
        <w:rPr>
          <w:rFonts w:ascii="Arial" w:hAnsi="Arial" w:eastAsia="Calibri" w:cs="Arial"/>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ascii="Arial" w:hAnsi="Arial" w:eastAsia="Calibri" w:cs="Arial"/>
          <w:b/>
        </w:rPr>
        <w:t>Anexo V</w:t>
      </w:r>
      <w:r>
        <w:rPr>
          <w:rFonts w:ascii="Arial" w:hAnsi="Arial" w:eastAsia="Calibri" w:cs="Arial"/>
        </w:rPr>
        <w:t xml:space="preserve"> deste Edital);</w:t>
      </w:r>
    </w:p>
    <w:p>
      <w:pPr>
        <w:widowControl w:val="0"/>
        <w:numPr>
          <w:ilvl w:val="0"/>
          <w:numId w:val="9"/>
        </w:numPr>
        <w:tabs>
          <w:tab w:val="left" w:pos="284"/>
          <w:tab w:val="left" w:pos="644"/>
        </w:tabs>
        <w:spacing w:after="120"/>
        <w:ind w:left="0" w:firstLine="0"/>
        <w:jc w:val="both"/>
        <w:rPr>
          <w:rFonts w:ascii="Arial" w:hAnsi="Arial" w:eastAsia="Calibri" w:cs="Arial"/>
        </w:rPr>
      </w:pPr>
      <w:r>
        <w:rPr>
          <w:rFonts w:ascii="Arial" w:hAnsi="Arial" w:eastAsia="Calibri" w:cs="Arial"/>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ascii="Arial" w:hAnsi="Arial" w:eastAsia="Calibri" w:cs="Arial"/>
          <w:b/>
        </w:rPr>
        <w:t xml:space="preserve"> (conforme modelo Anexo III)</w:t>
      </w:r>
      <w:r>
        <w:rPr>
          <w:rFonts w:ascii="Arial" w:hAnsi="Arial" w:eastAsia="Calibri" w:cs="Arial"/>
        </w:rPr>
        <w:t>;</w:t>
      </w:r>
    </w:p>
    <w:p>
      <w:pPr>
        <w:widowControl w:val="0"/>
        <w:numPr>
          <w:ilvl w:val="0"/>
          <w:numId w:val="9"/>
        </w:numPr>
        <w:tabs>
          <w:tab w:val="left" w:pos="284"/>
          <w:tab w:val="left" w:pos="644"/>
        </w:tabs>
        <w:spacing w:after="120"/>
        <w:ind w:left="0" w:firstLine="0"/>
        <w:jc w:val="both"/>
        <w:rPr>
          <w:rFonts w:ascii="Arial" w:hAnsi="Arial" w:eastAsia="Calibri" w:cs="Arial"/>
        </w:rPr>
      </w:pPr>
      <w:r>
        <w:rPr>
          <w:rFonts w:ascii="Arial" w:hAnsi="Arial" w:eastAsia="Calibri" w:cs="Arial"/>
        </w:rPr>
        <w:t>Declaração da própria Empresa de que não existe em seu quadro de empregados, servidores públicos exercendo funções de gerência, administração ou tomada de decisão (</w:t>
      </w:r>
      <w:r>
        <w:rPr>
          <w:rFonts w:ascii="Arial" w:hAnsi="Arial" w:eastAsia="Calibri" w:cs="Arial"/>
          <w:b/>
        </w:rPr>
        <w:t>conforme modelo Anexo III);</w:t>
      </w:r>
    </w:p>
    <w:p>
      <w:pPr>
        <w:widowControl w:val="0"/>
        <w:spacing w:after="120"/>
        <w:jc w:val="both"/>
        <w:rPr>
          <w:rFonts w:ascii="Arial" w:hAnsi="Arial" w:eastAsia="Calibri" w:cs="Arial"/>
        </w:rPr>
      </w:pPr>
      <w:r>
        <w:rPr>
          <w:rFonts w:ascii="Arial" w:hAnsi="Arial" w:eastAsia="Calibri" w:cs="Arial"/>
          <w:b/>
        </w:rPr>
        <w:t>d)</w:t>
      </w:r>
      <w:r>
        <w:rPr>
          <w:rFonts w:ascii="Arial" w:hAnsi="Arial" w:eastAsia="Calibri" w:cs="Arial"/>
        </w:rPr>
        <w:t xml:space="preserve"> </w:t>
      </w:r>
      <w:r>
        <w:rPr>
          <w:rFonts w:ascii="Arial" w:hAnsi="Arial" w:eastAsia="Calibri" w:cs="Arial"/>
          <w:b/>
        </w:rPr>
        <w:t xml:space="preserve">Cópia autenticada </w:t>
      </w:r>
      <w:r>
        <w:rPr>
          <w:rFonts w:ascii="Arial" w:hAnsi="Arial" w:eastAsia="Calibri" w:cs="Arial"/>
        </w:rPr>
        <w:t>(por cartório ou servidor competente) de cédula de identidade ou qualquer outro documento oficial de identificação com foto e do Cadastro de Pessoa Física (CPF) dos sócios, diretores ou do proprietário da empresa;</w:t>
      </w:r>
    </w:p>
    <w:p>
      <w:pPr>
        <w:widowControl w:val="0"/>
        <w:spacing w:after="120"/>
        <w:jc w:val="both"/>
        <w:rPr>
          <w:rFonts w:ascii="Arial" w:hAnsi="Arial" w:eastAsia="Calibri" w:cs="Arial"/>
        </w:rPr>
      </w:pPr>
      <w:r>
        <w:rPr>
          <w:rFonts w:ascii="Arial" w:hAnsi="Arial" w:eastAsia="Calibri" w:cs="Arial"/>
          <w:b/>
        </w:rPr>
        <w:t>e)</w:t>
      </w:r>
      <w:r>
        <w:rPr>
          <w:rFonts w:ascii="Arial" w:hAnsi="Arial" w:eastAsia="Calibri" w:cs="Arial"/>
        </w:rPr>
        <w:t xml:space="preserve"> Registro comercial, no caso de Empresa Individual ou Requerimento de empresário no caso de MEI, indicando ramo de atividade compatível com o objeto licitado;</w:t>
      </w:r>
    </w:p>
    <w:p>
      <w:pPr>
        <w:widowControl w:val="0"/>
        <w:spacing w:after="120"/>
        <w:jc w:val="both"/>
        <w:rPr>
          <w:rFonts w:ascii="Arial" w:hAnsi="Arial" w:eastAsia="Calibri" w:cs="Arial"/>
        </w:rPr>
      </w:pPr>
      <w:r>
        <w:rPr>
          <w:rFonts w:ascii="Arial" w:hAnsi="Arial" w:eastAsia="Calibri" w:cs="Arial"/>
          <w:b/>
        </w:rPr>
        <w:t>f)</w:t>
      </w:r>
      <w:r>
        <w:rPr>
          <w:rFonts w:ascii="Arial" w:hAnsi="Arial" w:eastAsia="Calibri" w:cs="Arial"/>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after="120"/>
        <w:jc w:val="both"/>
        <w:rPr>
          <w:rFonts w:ascii="Arial" w:hAnsi="Arial" w:eastAsia="Calibri" w:cs="Arial"/>
        </w:rPr>
      </w:pPr>
      <w:r>
        <w:rPr>
          <w:rFonts w:ascii="Arial" w:hAnsi="Arial" w:eastAsia="Calibri" w:cs="Arial"/>
          <w:b/>
        </w:rPr>
        <w:t>g)</w:t>
      </w:r>
      <w:r>
        <w:rPr>
          <w:rFonts w:ascii="Arial" w:hAnsi="Arial" w:eastAsia="Calibri" w:cs="Arial"/>
        </w:rPr>
        <w:t xml:space="preserve"> Inscrição do ato constitutivo e alterações</w:t>
      </w:r>
      <w:r>
        <w:rPr>
          <w:rFonts w:ascii="Arial" w:hAnsi="Arial" w:cs="Arial"/>
          <w:sz w:val="20"/>
        </w:rPr>
        <w:t xml:space="preserve"> </w:t>
      </w:r>
      <w:r>
        <w:rPr>
          <w:rFonts w:ascii="Arial" w:hAnsi="Arial" w:eastAsia="Calibri" w:cs="Arial"/>
        </w:rPr>
        <w:t>no registro civil das pessoas jurídicas, no caso de sociedades civis, acompanhada de prova de diretoria em exercício;</w:t>
      </w:r>
    </w:p>
    <w:p>
      <w:pPr>
        <w:widowControl w:val="0"/>
        <w:spacing w:after="120"/>
        <w:jc w:val="both"/>
        <w:rPr>
          <w:rFonts w:ascii="Arial" w:hAnsi="Arial" w:eastAsia="Calibri" w:cs="Arial"/>
        </w:rPr>
      </w:pPr>
      <w:r>
        <w:rPr>
          <w:rFonts w:ascii="Arial" w:hAnsi="Arial" w:eastAsia="Calibri" w:cs="Arial"/>
          <w:b/>
        </w:rPr>
        <w:t>h)</w:t>
      </w:r>
      <w:r>
        <w:rPr>
          <w:rFonts w:ascii="Arial" w:hAnsi="Arial" w:eastAsia="Calibri" w:cs="Arial"/>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after="120"/>
        <w:jc w:val="both"/>
        <w:rPr>
          <w:rFonts w:ascii="Arial" w:hAnsi="Arial" w:eastAsia="Calibri" w:cs="Arial"/>
        </w:rPr>
      </w:pPr>
      <w:r>
        <w:rPr>
          <w:rFonts w:ascii="Arial" w:hAnsi="Arial" w:eastAsia="Calibri" w:cs="Arial"/>
          <w:b/>
        </w:rPr>
        <w:t>i)</w:t>
      </w:r>
      <w:r>
        <w:rPr>
          <w:rFonts w:ascii="Arial" w:hAnsi="Arial" w:eastAsia="Calibri" w:cs="Arial"/>
        </w:rPr>
        <w:t xml:space="preserve"> </w:t>
      </w:r>
      <w:r>
        <w:rPr>
          <w:rFonts w:ascii="Arial" w:hAnsi="Arial" w:eastAsia="Calibri" w:cs="Arial"/>
          <w:b/>
        </w:rPr>
        <w:t>Alvará</w:t>
      </w:r>
      <w:r>
        <w:rPr>
          <w:rFonts w:ascii="Arial" w:hAnsi="Arial" w:eastAsia="Calibri" w:cs="Arial"/>
        </w:rPr>
        <w:t xml:space="preserve"> de Localização e Funcionamento;</w:t>
      </w:r>
    </w:p>
    <w:p>
      <w:pPr>
        <w:widowControl w:val="0"/>
        <w:tabs>
          <w:tab w:val="left" w:pos="284"/>
        </w:tabs>
        <w:spacing w:after="120"/>
        <w:jc w:val="both"/>
        <w:rPr>
          <w:rFonts w:ascii="Arial" w:hAnsi="Arial" w:eastAsia="Calibri" w:cs="Arial"/>
        </w:rPr>
      </w:pPr>
      <w:r>
        <w:rPr>
          <w:rFonts w:ascii="Arial" w:hAnsi="Arial" w:eastAsia="Calibri" w:cs="Arial"/>
          <w:b/>
        </w:rPr>
        <w:t>12.8. A documentação relativa à Regularidade Fiscal e Trabalhista:</w:t>
      </w:r>
    </w:p>
    <w:p>
      <w:pPr>
        <w:widowControl w:val="0"/>
        <w:spacing w:after="120"/>
        <w:jc w:val="both"/>
        <w:rPr>
          <w:rFonts w:ascii="Arial" w:hAnsi="Arial" w:cs="Arial"/>
          <w:color w:val="7030A0"/>
          <w:sz w:val="20"/>
        </w:rPr>
      </w:pPr>
      <w:r>
        <w:rPr>
          <w:rFonts w:ascii="Arial" w:hAnsi="Arial" w:eastAsia="Calibri" w:cs="Arial"/>
          <w:b/>
        </w:rPr>
        <w:t>a)</w:t>
      </w:r>
      <w:r>
        <w:rPr>
          <w:rFonts w:ascii="Arial" w:hAnsi="Arial" w:eastAsia="Calibri" w:cs="Arial"/>
        </w:rPr>
        <w:t xml:space="preserve"> Prova de inscrição no Cadastro Nacional de Pessoas Jurídicas </w:t>
      </w:r>
      <w:r>
        <w:rPr>
          <w:rFonts w:ascii="Arial" w:hAnsi="Arial" w:eastAsia="Calibri" w:cs="Arial"/>
          <w:b/>
        </w:rPr>
        <w:t>(CNPJ);</w:t>
      </w:r>
      <w:r>
        <w:rPr>
          <w:rFonts w:ascii="Arial" w:hAnsi="Arial" w:cs="Arial"/>
          <w:color w:val="7030A0"/>
          <w:sz w:val="20"/>
        </w:rPr>
        <w:t xml:space="preserve"> </w:t>
      </w:r>
    </w:p>
    <w:p>
      <w:pPr>
        <w:widowControl w:val="0"/>
        <w:spacing w:after="120"/>
        <w:jc w:val="both"/>
        <w:rPr>
          <w:rFonts w:ascii="Arial" w:hAnsi="Arial" w:eastAsia="Calibri" w:cs="Arial"/>
        </w:rPr>
      </w:pPr>
      <w:r>
        <w:rPr>
          <w:rFonts w:ascii="Arial" w:hAnsi="Arial" w:eastAsia="Calibri" w:cs="Arial"/>
          <w:b/>
        </w:rPr>
        <w:t>b)</w:t>
      </w:r>
      <w:r>
        <w:rPr>
          <w:rFonts w:ascii="Arial" w:hAnsi="Arial" w:eastAsia="Calibri" w:cs="Arial"/>
        </w:rPr>
        <w:t xml:space="preserve"> Prova de inscrição no cadastro de contribuintes estadual ou municipal, se houver relativo ao domicílio ou sede do licitante, pertinente ao seu ramo de atividade e compatível com o objeto contratual;</w:t>
      </w:r>
    </w:p>
    <w:p>
      <w:pPr>
        <w:widowControl w:val="0"/>
        <w:spacing w:after="120"/>
        <w:jc w:val="both"/>
        <w:rPr>
          <w:rFonts w:ascii="Arial" w:hAnsi="Arial" w:eastAsia="Calibri" w:cs="Arial"/>
        </w:rPr>
      </w:pPr>
      <w:r>
        <w:rPr>
          <w:rFonts w:ascii="Arial" w:hAnsi="Arial" w:eastAsia="Calibri" w:cs="Arial"/>
          <w:b/>
        </w:rPr>
        <w:t>c)</w:t>
      </w:r>
      <w:r>
        <w:rPr>
          <w:rFonts w:ascii="Arial" w:hAnsi="Arial" w:eastAsia="Calibri" w:cs="Arial"/>
        </w:rPr>
        <w:t xml:space="preserve"> </w:t>
      </w:r>
      <w:r>
        <w:rPr>
          <w:rFonts w:ascii="Arial" w:hAnsi="Arial" w:eastAsia="Calibri" w:cs="Arial"/>
          <w:color w:val="000000"/>
        </w:rPr>
        <w:t>Certidão Conjunta Negativa de Débitos</w:t>
      </w:r>
      <w:r>
        <w:rPr>
          <w:rFonts w:ascii="Arial" w:hAnsi="Arial" w:eastAsia="Calibri" w:cs="Arial"/>
        </w:rPr>
        <w:t xml:space="preserve"> relativos a Tributos Federais, Previdenciários e à Dívida Ativa da União emitida pelo Ministério da Fazenda, Procuradoria-Geral da Fazenda Nacional e Secretaria da Receita Federal, devidamente válida;</w:t>
      </w:r>
    </w:p>
    <w:p>
      <w:pPr>
        <w:widowControl w:val="0"/>
        <w:spacing w:after="120"/>
        <w:jc w:val="both"/>
        <w:rPr>
          <w:rFonts w:ascii="Arial" w:hAnsi="Arial" w:eastAsia="Calibri" w:cs="Arial"/>
        </w:rPr>
      </w:pPr>
      <w:r>
        <w:rPr>
          <w:rFonts w:ascii="Arial" w:hAnsi="Arial" w:eastAsia="Calibri" w:cs="Arial"/>
          <w:b/>
        </w:rPr>
        <w:t>d)</w:t>
      </w:r>
      <w:r>
        <w:rPr>
          <w:rFonts w:ascii="Arial" w:hAnsi="Arial" w:eastAsia="Calibri" w:cs="Arial"/>
        </w:rPr>
        <w:t xml:space="preserve"> Prova de regularidade com a Fazenda Municipal, da sede da empresa, devidamente válida;</w:t>
      </w:r>
    </w:p>
    <w:p>
      <w:pPr>
        <w:widowControl w:val="0"/>
        <w:spacing w:after="120"/>
        <w:jc w:val="both"/>
        <w:rPr>
          <w:rFonts w:ascii="Arial" w:hAnsi="Arial" w:eastAsia="Calibri" w:cs="Arial"/>
        </w:rPr>
      </w:pPr>
      <w:r>
        <w:rPr>
          <w:rFonts w:ascii="Arial" w:hAnsi="Arial" w:eastAsia="Calibri" w:cs="Arial"/>
          <w:b/>
        </w:rPr>
        <w:t>e)</w:t>
      </w:r>
      <w:r>
        <w:rPr>
          <w:rFonts w:ascii="Arial" w:hAnsi="Arial" w:eastAsia="Calibri" w:cs="Arial"/>
        </w:rPr>
        <w:t xml:space="preserve"> Prova de regularidade com a Fazenda Estadual, da sede da empresa, devidamente válida;</w:t>
      </w:r>
    </w:p>
    <w:p>
      <w:pPr>
        <w:widowControl w:val="0"/>
        <w:spacing w:after="120"/>
        <w:jc w:val="both"/>
        <w:rPr>
          <w:rFonts w:ascii="Arial" w:hAnsi="Arial" w:eastAsia="Calibri" w:cs="Arial"/>
        </w:rPr>
      </w:pPr>
      <w:r>
        <w:rPr>
          <w:rFonts w:ascii="Arial" w:hAnsi="Arial" w:eastAsia="Calibri" w:cs="Arial"/>
          <w:b/>
        </w:rPr>
        <w:t>f)</w:t>
      </w:r>
      <w:r>
        <w:rPr>
          <w:rFonts w:ascii="Arial" w:hAnsi="Arial" w:eastAsia="Calibri" w:cs="Arial"/>
        </w:rPr>
        <w:t xml:space="preserve"> Certidão Negativa de Débito de competência da Procuradoria Geral do Estado do respectivo domicílio tributário; </w:t>
      </w:r>
    </w:p>
    <w:p>
      <w:pPr>
        <w:widowControl w:val="0"/>
        <w:spacing w:after="120"/>
        <w:jc w:val="both"/>
        <w:rPr>
          <w:rFonts w:ascii="Arial" w:hAnsi="Arial" w:eastAsia="Calibri" w:cs="Arial"/>
        </w:rPr>
      </w:pPr>
      <w:r>
        <w:rPr>
          <w:rFonts w:ascii="Arial" w:hAnsi="Arial" w:eastAsia="Calibri" w:cs="Arial"/>
          <w:b/>
        </w:rPr>
        <w:t>f.1)</w:t>
      </w:r>
      <w:r>
        <w:rPr>
          <w:rFonts w:ascii="Arial" w:hAnsi="Arial" w:eastAsia="Calibri" w:cs="Arial"/>
        </w:rPr>
        <w:t xml:space="preserve"> Poderão ser apresentadas as respectivas Certidões descritas nos itens “e” e “f” de forma consolidada, de acordo com a legislação do domicílio tributário do licitante.</w:t>
      </w:r>
    </w:p>
    <w:p>
      <w:pPr>
        <w:widowControl w:val="0"/>
        <w:spacing w:after="120"/>
        <w:jc w:val="both"/>
        <w:rPr>
          <w:rFonts w:ascii="Arial" w:hAnsi="Arial" w:eastAsia="Calibri" w:cs="Arial"/>
        </w:rPr>
      </w:pPr>
      <w:r>
        <w:rPr>
          <w:rFonts w:ascii="Arial" w:hAnsi="Arial" w:eastAsia="Calibri" w:cs="Arial"/>
          <w:b/>
        </w:rPr>
        <w:t>g)</w:t>
      </w:r>
      <w:r>
        <w:rPr>
          <w:rFonts w:ascii="Arial" w:hAnsi="Arial" w:eastAsia="Calibri" w:cs="Arial"/>
        </w:rPr>
        <w:t xml:space="preserve"> Prova de Regularidade relativa ao Fundo de Garantia por Tempo de Serviço </w:t>
      </w:r>
      <w:r>
        <w:rPr>
          <w:rFonts w:ascii="Arial" w:hAnsi="Arial" w:eastAsia="Calibri" w:cs="Arial"/>
          <w:b/>
        </w:rPr>
        <w:t>– FGTS</w:t>
      </w:r>
      <w:r>
        <w:rPr>
          <w:rFonts w:ascii="Arial" w:hAnsi="Arial" w:eastAsia="Calibri" w:cs="Arial"/>
        </w:rPr>
        <w:t xml:space="preserve"> – CRF, emitido pela Caixa Econômica Federal;</w:t>
      </w:r>
    </w:p>
    <w:p>
      <w:pPr>
        <w:widowControl w:val="0"/>
        <w:tabs>
          <w:tab w:val="left" w:pos="284"/>
        </w:tabs>
        <w:spacing w:after="120"/>
        <w:jc w:val="both"/>
        <w:rPr>
          <w:rFonts w:ascii="Arial" w:hAnsi="Arial" w:eastAsia="Calibri" w:cs="Arial"/>
        </w:rPr>
      </w:pPr>
      <w:r>
        <w:rPr>
          <w:rFonts w:ascii="Arial" w:hAnsi="Arial" w:eastAsia="Calibri" w:cs="Arial"/>
          <w:b/>
        </w:rPr>
        <w:t xml:space="preserve">h) </w:t>
      </w:r>
      <w:r>
        <w:rPr>
          <w:rFonts w:ascii="Arial" w:hAnsi="Arial" w:eastAsia="Calibri" w:cs="Arial"/>
        </w:rPr>
        <w:t xml:space="preserve">Certidão Negativa de Débitos Trabalhistas, disponível nos portais na internet: </w:t>
      </w:r>
      <w:r>
        <w:fldChar w:fldCharType="begin"/>
      </w:r>
      <w:r>
        <w:instrText xml:space="preserve"> HYPERLINK "http://www.tst.gov.br/certidao" </w:instrText>
      </w:r>
      <w:r>
        <w:fldChar w:fldCharType="separate"/>
      </w:r>
      <w:r>
        <w:rPr>
          <w:rStyle w:val="18"/>
          <w:rFonts w:ascii="Arial" w:hAnsi="Arial" w:cs="Arial"/>
        </w:rPr>
        <w:t>www.tst.gov.br/certidao</w:t>
      </w:r>
      <w:r>
        <w:rPr>
          <w:rStyle w:val="18"/>
          <w:rFonts w:ascii="Arial" w:hAnsi="Arial" w:cs="Arial"/>
        </w:rPr>
        <w:fldChar w:fldCharType="end"/>
      </w:r>
      <w:r>
        <w:rPr>
          <w:rFonts w:ascii="Arial" w:hAnsi="Arial" w:eastAsia="Calibri" w:cs="Arial"/>
        </w:rPr>
        <w:t xml:space="preserve">, </w:t>
      </w:r>
      <w:r>
        <w:fldChar w:fldCharType="begin"/>
      </w:r>
      <w:r>
        <w:instrText xml:space="preserve"> HYPERLINK "http://www.tst.jus.br/certidao" </w:instrText>
      </w:r>
      <w:r>
        <w:fldChar w:fldCharType="separate"/>
      </w:r>
      <w:r>
        <w:rPr>
          <w:rStyle w:val="18"/>
          <w:rFonts w:ascii="Arial" w:hAnsi="Arial" w:cs="Arial"/>
        </w:rPr>
        <w:t>www.tst.jus.br/certidao</w:t>
      </w:r>
      <w:r>
        <w:rPr>
          <w:rStyle w:val="18"/>
          <w:rFonts w:ascii="Arial" w:hAnsi="Arial" w:cs="Arial"/>
        </w:rPr>
        <w:fldChar w:fldCharType="end"/>
      </w:r>
      <w:r>
        <w:rPr>
          <w:rFonts w:ascii="Arial" w:hAnsi="Arial" w:eastAsia="Calibri" w:cs="Arial"/>
        </w:rPr>
        <w:t>;</w:t>
      </w:r>
    </w:p>
    <w:p>
      <w:pPr>
        <w:widowControl w:val="0"/>
        <w:spacing w:after="120"/>
        <w:jc w:val="both"/>
        <w:rPr>
          <w:rFonts w:ascii="Arial" w:hAnsi="Arial" w:cs="Arial"/>
          <w:sz w:val="20"/>
        </w:rPr>
      </w:pPr>
      <w:r>
        <w:rPr>
          <w:rFonts w:ascii="Arial" w:hAnsi="Arial" w:eastAsia="Calibri" w:cs="Arial"/>
          <w:b/>
        </w:rPr>
        <w:t>12.8.1.</w:t>
      </w:r>
      <w:r>
        <w:rPr>
          <w:rFonts w:ascii="Arial" w:hAnsi="Arial" w:eastAsia="Calibri" w:cs="Arial"/>
        </w:rPr>
        <w:t xml:space="preserve"> A prova de </w:t>
      </w:r>
      <w:r>
        <w:rPr>
          <w:rFonts w:ascii="Arial" w:hAnsi="Arial" w:eastAsia="Calibri" w:cs="Arial"/>
          <w:lang w:eastAsia="en-US"/>
        </w:rPr>
        <w:t>inexistência de débitos inadimplidos perante a Justiça do Trabalho deverá</w:t>
      </w:r>
      <w:r>
        <w:rPr>
          <w:rFonts w:ascii="Arial" w:hAnsi="Arial" w:eastAsia="Calibri" w:cs="Arial"/>
        </w:rPr>
        <w:t xml:space="preserve"> ser feita mediante </w:t>
      </w:r>
      <w:r>
        <w:rPr>
          <w:rFonts w:ascii="Arial" w:hAnsi="Arial" w:eastAsia="Calibri" w:cs="Arial"/>
          <w:lang w:eastAsia="en-US"/>
        </w:rPr>
        <w:t>a apresentação de certidão negativa ou positiva com efeito de negativa, nos termos do Título VII-A da Consolidação das Leis do Trabalho, aprovada pelo Decreto-Lei 5.452, de 1º de maio de 1943;</w:t>
      </w:r>
    </w:p>
    <w:p>
      <w:pPr>
        <w:widowControl w:val="0"/>
        <w:spacing w:after="120"/>
        <w:jc w:val="both"/>
        <w:rPr>
          <w:rFonts w:ascii="Arial" w:hAnsi="Arial" w:eastAsia="Calibri" w:cs="Arial"/>
        </w:rPr>
      </w:pPr>
      <w:r>
        <w:rPr>
          <w:rFonts w:ascii="Arial" w:hAnsi="Arial" w:eastAsia="Calibri" w:cs="Arial"/>
          <w:b/>
        </w:rPr>
        <w:t>12.8.2.</w:t>
      </w:r>
      <w:r>
        <w:rPr>
          <w:rFonts w:ascii="Arial" w:hAnsi="Arial" w:eastAsia="Calibri" w:cs="Arial"/>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ascii="Arial" w:hAnsi="Arial" w:eastAsia="Calibri" w:cs="Arial"/>
          <w:b/>
        </w:rPr>
      </w:pPr>
      <w:r>
        <w:rPr>
          <w:rFonts w:ascii="Arial" w:hAnsi="Arial" w:eastAsia="Calibri" w:cs="Arial"/>
          <w:b/>
        </w:rPr>
        <w:t xml:space="preserve">12.9. A documentação relativa à Qualificação Econômico-Financeira </w:t>
      </w:r>
      <w:r>
        <w:rPr>
          <w:rFonts w:ascii="Arial" w:hAnsi="Arial" w:eastAsia="Calibri" w:cs="Arial"/>
        </w:rPr>
        <w:t>consistirá na apresentação dos seguintes documentos:</w:t>
      </w:r>
    </w:p>
    <w:p>
      <w:pPr>
        <w:widowControl w:val="0"/>
        <w:spacing w:after="120"/>
        <w:jc w:val="both"/>
        <w:rPr>
          <w:rFonts w:ascii="Arial" w:hAnsi="Arial" w:eastAsia="Calibri" w:cs="Arial"/>
        </w:rPr>
      </w:pPr>
      <w:r>
        <w:rPr>
          <w:rFonts w:ascii="Arial" w:hAnsi="Arial" w:eastAsia="Calibri" w:cs="Arial"/>
          <w:b/>
        </w:rPr>
        <w:t>a) Balanço patrimonial</w:t>
      </w:r>
      <w:r>
        <w:rPr>
          <w:rFonts w:ascii="Arial" w:hAnsi="Arial" w:eastAsia="Calibri" w:cs="Arial"/>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after="120"/>
        <w:jc w:val="both"/>
        <w:rPr>
          <w:rFonts w:ascii="Arial" w:hAnsi="Arial" w:eastAsia="Calibri" w:cs="Arial"/>
        </w:rPr>
      </w:pPr>
      <w:r>
        <w:rPr>
          <w:rFonts w:ascii="Arial" w:hAnsi="Arial" w:eastAsia="Calibri" w:cs="Arial"/>
        </w:rPr>
        <w:t xml:space="preserve">Serão considerados aceitos como na forma da lei o balanço patrimonial e demonstrações contábeis assim apresentados: </w:t>
      </w:r>
    </w:p>
    <w:p>
      <w:pPr>
        <w:widowControl w:val="0"/>
        <w:spacing w:after="60"/>
        <w:jc w:val="both"/>
        <w:rPr>
          <w:rFonts w:ascii="Arial" w:hAnsi="Arial" w:eastAsia="Calibri" w:cs="Arial"/>
        </w:rPr>
      </w:pPr>
      <w:r>
        <w:rPr>
          <w:rFonts w:ascii="Arial" w:hAnsi="Arial" w:eastAsia="Calibri" w:cs="Arial"/>
          <w:b/>
        </w:rPr>
        <w:t>1º)</w:t>
      </w:r>
      <w:r>
        <w:rPr>
          <w:rFonts w:ascii="Arial" w:hAnsi="Arial" w:eastAsia="Calibri" w:cs="Arial"/>
        </w:rPr>
        <w:t xml:space="preserve"> Sociedades regidas pela Lei n. 6.404/76 (</w:t>
      </w:r>
      <w:r>
        <w:rPr>
          <w:rFonts w:ascii="Arial" w:hAnsi="Arial" w:eastAsia="Calibri" w:cs="Arial"/>
          <w:b/>
        </w:rPr>
        <w:t>sociedade anônima</w:t>
      </w:r>
      <w:r>
        <w:rPr>
          <w:rFonts w:ascii="Arial" w:hAnsi="Arial" w:eastAsia="Calibri" w:cs="Arial"/>
        </w:rPr>
        <w:t xml:space="preserve">): </w:t>
      </w:r>
    </w:p>
    <w:p>
      <w:pPr>
        <w:widowControl w:val="0"/>
        <w:spacing w:after="60"/>
        <w:jc w:val="both"/>
        <w:rPr>
          <w:rFonts w:ascii="Arial" w:hAnsi="Arial" w:eastAsia="Calibri" w:cs="Arial"/>
        </w:rPr>
      </w:pPr>
      <w:r>
        <w:rPr>
          <w:rFonts w:ascii="Arial" w:hAnsi="Arial" w:eastAsia="Calibri" w:cs="Arial"/>
        </w:rPr>
        <w:t xml:space="preserve"> - publicados em Diário Oficial </w:t>
      </w:r>
      <w:r>
        <w:rPr>
          <w:rFonts w:ascii="Arial" w:hAnsi="Arial" w:eastAsia="Calibri" w:cs="Arial"/>
          <w:b/>
        </w:rPr>
        <w:t>ou</w:t>
      </w:r>
      <w:r>
        <w:rPr>
          <w:rFonts w:ascii="Arial" w:hAnsi="Arial" w:eastAsia="Calibri" w:cs="Arial"/>
        </w:rPr>
        <w:t>;</w:t>
      </w:r>
    </w:p>
    <w:p>
      <w:pPr>
        <w:widowControl w:val="0"/>
        <w:spacing w:after="60"/>
        <w:jc w:val="both"/>
        <w:rPr>
          <w:rFonts w:ascii="Arial" w:hAnsi="Arial" w:eastAsia="Calibri" w:cs="Arial"/>
        </w:rPr>
      </w:pPr>
      <w:r>
        <w:rPr>
          <w:rFonts w:ascii="Arial" w:hAnsi="Arial" w:eastAsia="Calibri" w:cs="Arial"/>
        </w:rPr>
        <w:t xml:space="preserve"> - publicados em jornal de grande circulação </w:t>
      </w:r>
      <w:r>
        <w:rPr>
          <w:rFonts w:ascii="Arial" w:hAnsi="Arial" w:eastAsia="Calibri" w:cs="Arial"/>
          <w:b/>
        </w:rPr>
        <w:t>ou</w:t>
      </w:r>
      <w:r>
        <w:rPr>
          <w:rFonts w:ascii="Arial" w:hAnsi="Arial" w:eastAsia="Calibri" w:cs="Arial"/>
        </w:rPr>
        <w:t>;</w:t>
      </w:r>
    </w:p>
    <w:p>
      <w:pPr>
        <w:widowControl w:val="0"/>
        <w:spacing w:after="120"/>
        <w:jc w:val="both"/>
        <w:rPr>
          <w:rFonts w:ascii="Arial" w:hAnsi="Arial" w:eastAsia="Calibri" w:cs="Arial"/>
        </w:rPr>
      </w:pPr>
      <w:r>
        <w:rPr>
          <w:rFonts w:ascii="Arial" w:hAnsi="Arial" w:eastAsia="Calibri" w:cs="Arial"/>
        </w:rPr>
        <w:t xml:space="preserve"> - por fotocópia registrada ou autenticada na Junta Comercial da sede ou domicílio da licitante; </w:t>
      </w:r>
    </w:p>
    <w:p>
      <w:pPr>
        <w:widowControl w:val="0"/>
        <w:jc w:val="both"/>
        <w:rPr>
          <w:rFonts w:ascii="Arial" w:hAnsi="Arial" w:eastAsia="Calibri" w:cs="Arial"/>
        </w:rPr>
      </w:pPr>
      <w:r>
        <w:rPr>
          <w:rFonts w:ascii="Arial" w:hAnsi="Arial" w:eastAsia="Calibri" w:cs="Arial"/>
          <w:b/>
        </w:rPr>
        <w:t>2º)</w:t>
      </w:r>
      <w:r>
        <w:rPr>
          <w:rFonts w:ascii="Arial" w:hAnsi="Arial" w:eastAsia="Calibri" w:cs="Arial"/>
        </w:rPr>
        <w:t xml:space="preserve"> Sociedades por cota de responsabilidade limitada (</w:t>
      </w:r>
      <w:r>
        <w:rPr>
          <w:rFonts w:ascii="Arial" w:hAnsi="Arial" w:eastAsia="Calibri" w:cs="Arial"/>
          <w:b/>
        </w:rPr>
        <w:t>LTDA</w:t>
      </w:r>
      <w:r>
        <w:rPr>
          <w:rFonts w:ascii="Arial" w:hAnsi="Arial" w:eastAsia="Calibri" w:cs="Arial"/>
        </w:rPr>
        <w:t>):</w:t>
      </w:r>
    </w:p>
    <w:p>
      <w:pPr>
        <w:widowControl w:val="0"/>
        <w:spacing w:after="120"/>
        <w:jc w:val="both"/>
        <w:rPr>
          <w:rFonts w:ascii="Arial" w:hAnsi="Arial" w:eastAsia="Calibri" w:cs="Arial"/>
        </w:rPr>
      </w:pPr>
      <w:r>
        <w:rPr>
          <w:rFonts w:ascii="Arial" w:hAnsi="Arial" w:eastAsia="Calibri" w:cs="Arial"/>
        </w:rPr>
        <w:t xml:space="preserve">- Acompanhados por fotocópia dos Termos de Abertura e de Encerramento do Livro Diário, devidamente autenticada na Junta Comercial da sede ou domicílio da licitante ou em outro órgão equivalente </w:t>
      </w:r>
      <w:r>
        <w:rPr>
          <w:rFonts w:ascii="Arial" w:hAnsi="Arial" w:eastAsia="Calibri" w:cs="Arial"/>
          <w:b/>
        </w:rPr>
        <w:t>ou</w:t>
      </w:r>
      <w:r>
        <w:rPr>
          <w:rFonts w:ascii="Arial" w:hAnsi="Arial" w:eastAsia="Calibri" w:cs="Arial"/>
        </w:rPr>
        <w:t>;</w:t>
      </w:r>
    </w:p>
    <w:p>
      <w:pPr>
        <w:widowControl w:val="0"/>
        <w:jc w:val="both"/>
        <w:rPr>
          <w:rFonts w:ascii="Arial" w:hAnsi="Arial" w:eastAsia="Calibri" w:cs="Arial"/>
        </w:rPr>
      </w:pPr>
      <w:r>
        <w:rPr>
          <w:rFonts w:ascii="Arial" w:hAnsi="Arial" w:eastAsia="Calibri" w:cs="Arial"/>
        </w:rPr>
        <w:t>- Fotocópia do Balanço e das Demonstrações Contábeis devidamente registradas ou autenticadas na Junta Comercial da sede ou domicílio da licitante;</w:t>
      </w:r>
    </w:p>
    <w:p>
      <w:pPr>
        <w:widowControl w:val="0"/>
        <w:spacing w:before="120" w:after="120"/>
        <w:jc w:val="both"/>
        <w:rPr>
          <w:rFonts w:ascii="Arial" w:hAnsi="Arial" w:eastAsia="Calibri" w:cs="Arial"/>
        </w:rPr>
      </w:pPr>
      <w:r>
        <w:rPr>
          <w:rFonts w:ascii="Arial" w:hAnsi="Arial" w:eastAsia="Calibri" w:cs="Arial"/>
          <w:b/>
        </w:rPr>
        <w:t>3º)</w:t>
      </w:r>
      <w:r>
        <w:rPr>
          <w:rFonts w:ascii="Arial" w:hAnsi="Arial" w:eastAsia="Calibri" w:cs="Arial"/>
        </w:rPr>
        <w:t xml:space="preserve"> Sociedade sujeita ao regime estabelecido na Lei Complementar nº 123/2006 – Estatuto da Microempresa e da Empresa de Pequeno Porte (</w:t>
      </w:r>
      <w:r>
        <w:rPr>
          <w:rFonts w:ascii="Arial" w:hAnsi="Arial" w:eastAsia="Calibri" w:cs="Arial"/>
          <w:b/>
        </w:rPr>
        <w:t>ME ou EPP</w:t>
      </w:r>
      <w:r>
        <w:rPr>
          <w:rFonts w:ascii="Arial" w:hAnsi="Arial" w:eastAsia="Calibri" w:cs="Arial"/>
        </w:rPr>
        <w:t xml:space="preserve">): </w:t>
      </w:r>
    </w:p>
    <w:p>
      <w:pPr>
        <w:widowControl w:val="0"/>
        <w:spacing w:after="120"/>
        <w:jc w:val="both"/>
        <w:rPr>
          <w:rFonts w:ascii="Arial" w:hAnsi="Arial" w:eastAsia="Calibri" w:cs="Arial"/>
        </w:rPr>
      </w:pPr>
      <w:r>
        <w:rPr>
          <w:rFonts w:ascii="Arial" w:hAnsi="Arial" w:eastAsia="Calibri" w:cs="Arial"/>
        </w:rPr>
        <w:t xml:space="preserve">- Acompanhados por fotocópia dos Termos de Abertura e de Encerramento do livro Diário, devidamente autenticado na Junta Comercial da sede ou domicílio da licitante ou em outro órgão equivalente; </w:t>
      </w:r>
      <w:r>
        <w:rPr>
          <w:rFonts w:ascii="Arial" w:hAnsi="Arial" w:eastAsia="Calibri" w:cs="Arial"/>
          <w:b/>
        </w:rPr>
        <w:t>ou</w:t>
      </w:r>
      <w:r>
        <w:rPr>
          <w:rFonts w:ascii="Arial" w:hAnsi="Arial" w:eastAsia="Calibri" w:cs="Arial"/>
        </w:rPr>
        <w:t>;</w:t>
      </w:r>
    </w:p>
    <w:p>
      <w:pPr>
        <w:widowControl w:val="0"/>
        <w:spacing w:after="120"/>
        <w:jc w:val="both"/>
        <w:rPr>
          <w:rFonts w:ascii="Arial" w:hAnsi="Arial" w:cs="Arial"/>
        </w:rPr>
      </w:pPr>
      <w:r>
        <w:rPr>
          <w:rFonts w:ascii="Arial" w:hAnsi="Arial" w:eastAsia="Calibri" w:cs="Arial"/>
        </w:rPr>
        <w:t>- declaração simplificada do último imposto de renda ou se cadastradas e optantes pelo “SIMPLES NACIONAL”, deverão apresentar Declaração de Informações Socioeconômicas e Fiscais – DEFIS/</w:t>
      </w:r>
      <w:r>
        <w:fldChar w:fldCharType="begin"/>
      </w:r>
      <w:r>
        <w:instrText xml:space="preserve"> HYPERLINK "http://www8.receita.fazenda.gov.br/simplesnacional/servicos/grupo.aspx?grp=5" </w:instrText>
      </w:r>
      <w:r>
        <w:fldChar w:fldCharType="separate"/>
      </w:r>
      <w:r>
        <w:rPr>
          <w:rFonts w:eastAsia="Calibri"/>
        </w:rPr>
        <w:t>PGDAS-D</w:t>
      </w:r>
      <w:r>
        <w:rPr>
          <w:rFonts w:eastAsia="Calibri"/>
        </w:rPr>
        <w:fldChar w:fldCharType="end"/>
      </w:r>
      <w:r>
        <w:rPr>
          <w:rFonts w:ascii="Arial" w:hAnsi="Arial" w:eastAsia="Calibri" w:cs="Arial"/>
        </w:rPr>
        <w:t xml:space="preserve">. </w:t>
      </w:r>
    </w:p>
    <w:p>
      <w:pPr>
        <w:widowControl w:val="0"/>
        <w:autoSpaceDE w:val="0"/>
        <w:autoSpaceDN w:val="0"/>
        <w:adjustRightInd w:val="0"/>
        <w:jc w:val="both"/>
        <w:rPr>
          <w:rFonts w:ascii="Arial" w:hAnsi="Arial" w:eastAsia="Calibri" w:cs="Arial"/>
        </w:rPr>
      </w:pPr>
      <w:r>
        <w:rPr>
          <w:rFonts w:ascii="Arial" w:hAnsi="Arial" w:eastAsia="Calibri" w:cs="Arial"/>
          <w:b/>
        </w:rPr>
        <w:t>4º)</w:t>
      </w:r>
      <w:r>
        <w:rPr>
          <w:rFonts w:ascii="Arial" w:hAnsi="Arial" w:eastAsia="Calibri" w:cs="Arial"/>
        </w:rPr>
        <w:t xml:space="preserve"> Sociedade criada no exercício em curso ou inativa no exercício anterior: </w:t>
      </w:r>
    </w:p>
    <w:p>
      <w:pPr>
        <w:widowControl w:val="0"/>
        <w:spacing w:after="120"/>
        <w:jc w:val="both"/>
        <w:rPr>
          <w:rFonts w:ascii="Arial" w:hAnsi="Arial" w:eastAsia="Calibri" w:cs="Arial"/>
        </w:rPr>
      </w:pPr>
      <w:r>
        <w:rPr>
          <w:rFonts w:ascii="Arial" w:hAnsi="Arial" w:eastAsia="Calibri" w:cs="Arial"/>
        </w:rPr>
        <w:t>- - Fotocópia do Balanço de Abertura, devidamente registrado ou autenticado na Junta Comercial da sede ou domicílio das licitantes nos casos de sociedades anônimas;</w:t>
      </w:r>
    </w:p>
    <w:p>
      <w:pPr>
        <w:widowControl w:val="0"/>
        <w:spacing w:after="120"/>
        <w:jc w:val="both"/>
        <w:rPr>
          <w:rFonts w:ascii="Arial" w:hAnsi="Arial" w:eastAsia="Calibri" w:cs="Arial"/>
        </w:rPr>
      </w:pPr>
      <w:r>
        <w:rPr>
          <w:rFonts w:ascii="Arial" w:hAnsi="Arial" w:eastAsia="Calibri" w:cs="Arial"/>
          <w:b/>
        </w:rPr>
        <w:t xml:space="preserve">5°) </w:t>
      </w:r>
      <w:r>
        <w:rPr>
          <w:rFonts w:ascii="Arial" w:hAnsi="Arial" w:eastAsia="Calibri" w:cs="Arial"/>
        </w:rPr>
        <w:t xml:space="preserve">O MEI (Microempreendedor Individual) para fins da habilitação econômico-financeira deverá apresentar a Declaração Anual Simplificada para o Microempreendedor Individual (DASN-SIMEI) ou sua substituta, a Declaração Única do MEI (DUMEI). </w:t>
      </w:r>
    </w:p>
    <w:p>
      <w:pPr>
        <w:widowControl w:val="0"/>
        <w:spacing w:after="120"/>
        <w:jc w:val="both"/>
        <w:rPr>
          <w:rFonts w:ascii="Arial" w:hAnsi="Arial" w:eastAsia="Calibri" w:cs="Arial"/>
        </w:rPr>
      </w:pPr>
      <w:r>
        <w:rPr>
          <w:rFonts w:ascii="Arial" w:hAnsi="Arial" w:eastAsia="Calibri" w:cs="Arial"/>
          <w:b/>
        </w:rPr>
        <w:t xml:space="preserve">I. </w:t>
      </w:r>
      <w:r>
        <w:rPr>
          <w:rFonts w:ascii="Arial" w:hAnsi="Arial" w:eastAsia="Calibri" w:cs="Arial"/>
        </w:rPr>
        <w:t xml:space="preserve">Caso o MEI tenha sido constituído no mesmo exercício do lançamento da licitação, deverá apresentar os relatórios mensais de receita bruta, assinados pelo próprio Microempreendedor.  </w:t>
      </w:r>
    </w:p>
    <w:p>
      <w:pPr>
        <w:widowControl w:val="0"/>
        <w:spacing w:after="120"/>
        <w:jc w:val="both"/>
        <w:rPr>
          <w:rFonts w:ascii="Arial" w:hAnsi="Arial" w:eastAsia="Calibri" w:cs="Arial"/>
        </w:rPr>
      </w:pPr>
      <w:r>
        <w:rPr>
          <w:rFonts w:ascii="Arial" w:hAnsi="Arial" w:eastAsia="Calibri" w:cs="Arial"/>
          <w:b/>
        </w:rPr>
        <w:t>6º)</w:t>
      </w:r>
      <w:r>
        <w:rPr>
          <w:rFonts w:ascii="Arial" w:hAnsi="Arial" w:eastAsia="Calibri" w:cs="Arial"/>
        </w:rPr>
        <w:t xml:space="preserve"> o </w:t>
      </w:r>
      <w:r>
        <w:rPr>
          <w:rFonts w:ascii="Arial" w:hAnsi="Arial" w:eastAsia="Calibri" w:cs="Arial"/>
          <w:b/>
        </w:rPr>
        <w:t>balanço patrimonial</w:t>
      </w:r>
      <w:r>
        <w:rPr>
          <w:rFonts w:ascii="Arial" w:hAnsi="Arial" w:eastAsia="Calibri" w:cs="Arial"/>
        </w:rPr>
        <w:t xml:space="preserve">, as </w:t>
      </w:r>
      <w:r>
        <w:rPr>
          <w:rFonts w:ascii="Arial" w:hAnsi="Arial" w:eastAsia="Calibri" w:cs="Arial"/>
          <w:b/>
        </w:rPr>
        <w:t>demonstrações contábeis</w:t>
      </w:r>
      <w:r>
        <w:rPr>
          <w:rFonts w:ascii="Arial" w:hAnsi="Arial" w:eastAsia="Calibri" w:cs="Arial"/>
        </w:rPr>
        <w:t xml:space="preserve"> e o </w:t>
      </w:r>
      <w:r>
        <w:rPr>
          <w:rFonts w:ascii="Arial" w:hAnsi="Arial" w:eastAsia="Calibri" w:cs="Arial"/>
          <w:b/>
        </w:rPr>
        <w:t>balanço de abertura</w:t>
      </w:r>
      <w:r>
        <w:rPr>
          <w:rFonts w:ascii="Arial" w:hAnsi="Arial" w:eastAsia="Calibri" w:cs="Arial"/>
        </w:rPr>
        <w:t xml:space="preserve"> deverão estar </w:t>
      </w:r>
      <w:r>
        <w:rPr>
          <w:rFonts w:ascii="Arial" w:hAnsi="Arial" w:eastAsia="Calibri" w:cs="Arial"/>
          <w:b/>
        </w:rPr>
        <w:t>assinados pelos administradores</w:t>
      </w:r>
      <w:r>
        <w:rPr>
          <w:rFonts w:ascii="Arial" w:hAnsi="Arial" w:eastAsia="Calibri" w:cs="Arial"/>
        </w:rPr>
        <w:t xml:space="preserve"> das empresas constantes do ato constitutivo, estatuto ou contrato social e por Contador legalmente habilitado;</w:t>
      </w:r>
    </w:p>
    <w:p>
      <w:pPr>
        <w:widowControl w:val="0"/>
        <w:spacing w:after="120"/>
        <w:jc w:val="both"/>
        <w:rPr>
          <w:rFonts w:ascii="Arial" w:hAnsi="Arial" w:eastAsia="Calibri" w:cs="Arial"/>
          <w:b/>
        </w:rPr>
      </w:pPr>
      <w:r>
        <w:rPr>
          <w:rFonts w:ascii="Arial" w:hAnsi="Arial" w:eastAsia="Calibri" w:cs="Arial"/>
          <w:b/>
        </w:rPr>
        <w:t xml:space="preserve">b) </w:t>
      </w:r>
      <w:r>
        <w:rPr>
          <w:rFonts w:ascii="Arial" w:hAnsi="Arial" w:eastAsia="Calibri" w:cs="Arial"/>
          <w:bCs/>
        </w:rPr>
        <w:t>Todas as formas societárias deverão apresentar Certidão de Falência, como Autor e Réu de Recuperação Judicial e Extrajudicial, emitida pelo Distribuidor da sede da pessoa jurídica;</w:t>
      </w:r>
    </w:p>
    <w:p>
      <w:pPr>
        <w:widowControl w:val="0"/>
        <w:spacing w:after="120"/>
        <w:ind w:left="720" w:leftChars="300"/>
        <w:jc w:val="both"/>
        <w:rPr>
          <w:rFonts w:ascii="Arial" w:hAnsi="Arial" w:eastAsia="Calibri" w:cs="Arial"/>
          <w:b/>
        </w:rPr>
      </w:pPr>
      <w:r>
        <w:rPr>
          <w:rFonts w:ascii="Arial" w:hAnsi="Arial" w:eastAsia="Calibri" w:cs="Arial"/>
          <w:b/>
        </w:rPr>
        <w:t xml:space="preserve">b.1) </w:t>
      </w:r>
      <w:r>
        <w:rPr>
          <w:rFonts w:ascii="Arial" w:hAnsi="Arial" w:eastAsia="Calibri" w:cs="Arial"/>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after="120"/>
        <w:jc w:val="both"/>
        <w:rPr>
          <w:rFonts w:ascii="Arial" w:hAnsi="Arial" w:eastAsia="Calibri" w:cs="Arial"/>
        </w:rPr>
      </w:pPr>
      <w:r>
        <w:rPr>
          <w:rFonts w:ascii="Arial" w:hAnsi="Arial" w:eastAsia="Calibri" w:cs="Arial"/>
          <w:b/>
        </w:rPr>
        <w:t>c)</w:t>
      </w:r>
      <w:r>
        <w:rPr>
          <w:rFonts w:ascii="Arial" w:hAnsi="Arial" w:eastAsia="Calibri" w:cs="Arial"/>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after="120"/>
        <w:jc w:val="both"/>
        <w:rPr>
          <w:rFonts w:ascii="Arial" w:hAnsi="Arial" w:eastAsia="Calibri" w:cs="Arial"/>
        </w:rPr>
      </w:pPr>
      <w:r>
        <w:rPr>
          <w:rFonts w:ascii="Arial" w:hAnsi="Arial" w:eastAsia="Calibri" w:cs="Arial"/>
          <w:b/>
        </w:rPr>
        <w:t xml:space="preserve">I. </w:t>
      </w:r>
      <w:r>
        <w:rPr>
          <w:rFonts w:ascii="Arial" w:hAnsi="Arial" w:eastAsia="Calibri" w:cs="Arial"/>
        </w:rPr>
        <w:t>Recibo de Entrega de Livro Digital transmitido através do Sistema Público de Escrituração Digital – Sped;</w:t>
      </w:r>
    </w:p>
    <w:p>
      <w:pPr>
        <w:widowControl w:val="0"/>
        <w:autoSpaceDE w:val="0"/>
        <w:autoSpaceDN w:val="0"/>
        <w:adjustRightInd w:val="0"/>
        <w:spacing w:after="120"/>
        <w:jc w:val="both"/>
        <w:rPr>
          <w:rFonts w:ascii="Arial" w:hAnsi="Arial" w:eastAsia="Calibri" w:cs="Arial"/>
        </w:rPr>
      </w:pPr>
      <w:r>
        <w:rPr>
          <w:rFonts w:ascii="Arial" w:hAnsi="Arial" w:eastAsia="Calibri" w:cs="Arial"/>
          <w:b/>
        </w:rPr>
        <w:t xml:space="preserve">II. </w:t>
      </w:r>
      <w:r>
        <w:rPr>
          <w:rFonts w:ascii="Arial" w:hAnsi="Arial" w:eastAsia="Calibri" w:cs="Arial"/>
        </w:rPr>
        <w:t>Termos de Abertura e Encerramento do Livro Diário Digital extraídos do Sistema Público de Escrituração Digital – Sped;</w:t>
      </w:r>
    </w:p>
    <w:p>
      <w:pPr>
        <w:widowControl w:val="0"/>
        <w:autoSpaceDE w:val="0"/>
        <w:autoSpaceDN w:val="0"/>
        <w:adjustRightInd w:val="0"/>
        <w:spacing w:after="120"/>
        <w:jc w:val="both"/>
        <w:rPr>
          <w:rFonts w:ascii="Arial" w:hAnsi="Arial" w:eastAsia="Calibri" w:cs="Arial"/>
        </w:rPr>
      </w:pPr>
      <w:r>
        <w:rPr>
          <w:rFonts w:ascii="Arial" w:hAnsi="Arial" w:eastAsia="Calibri" w:cs="Arial"/>
          <w:b/>
        </w:rPr>
        <w:t xml:space="preserve">III. </w:t>
      </w:r>
      <w:r>
        <w:rPr>
          <w:rFonts w:ascii="Arial" w:hAnsi="Arial" w:eastAsia="Calibri" w:cs="Arial"/>
        </w:rPr>
        <w:t>Balanço e Demonstração do Resultado do Exercício extraídos do Sistema Público de Escrituração Digital – Sped;</w:t>
      </w:r>
    </w:p>
    <w:p>
      <w:pPr>
        <w:tabs>
          <w:tab w:val="left" w:pos="1440"/>
        </w:tabs>
        <w:autoSpaceDE w:val="0"/>
        <w:snapToGrid w:val="0"/>
        <w:spacing w:before="120" w:after="120"/>
        <w:jc w:val="both"/>
        <w:rPr>
          <w:rFonts w:ascii="Arial" w:hAnsi="Arial" w:eastAsia="Calibri" w:cs="Arial"/>
          <w:color w:val="000000"/>
        </w:rPr>
      </w:pPr>
      <w:r>
        <w:rPr>
          <w:rFonts w:ascii="Arial" w:hAnsi="Arial" w:eastAsia="Calibri" w:cs="Arial"/>
          <w:b/>
        </w:rPr>
        <w:t xml:space="preserve">d) </w:t>
      </w:r>
      <w:r>
        <w:rPr>
          <w:rFonts w:ascii="Arial" w:hAnsi="Arial" w:eastAsia="Calibri" w:cs="Arial"/>
        </w:rPr>
        <w:t>C</w:t>
      </w:r>
      <w:r>
        <w:rPr>
          <w:rFonts w:ascii="Arial" w:hAnsi="Arial" w:eastAsia="Calibri" w:cs="Arial"/>
          <w:color w:val="000000"/>
        </w:rPr>
        <w:t xml:space="preserve">omprovação da boa situação financeira da empresa mediante obtenção de índices de Liquidez Geral (LG), Solvência Geral (SG) e Liquidez Corrente (LC), superiores a 1 (um), obtidos  pela aplicação das seguintes fórmulas: </w:t>
      </w:r>
    </w:p>
    <w:tbl>
      <w:tblPr>
        <w:tblStyle w:val="12"/>
        <w:tblW w:w="6487" w:type="dxa"/>
        <w:tblInd w:w="1134" w:type="dxa"/>
        <w:tblLayout w:type="fixed"/>
        <w:tblCellMar>
          <w:top w:w="0" w:type="dxa"/>
          <w:left w:w="108" w:type="dxa"/>
          <w:bottom w:w="0" w:type="dxa"/>
          <w:right w:w="108" w:type="dxa"/>
        </w:tblCellMar>
      </w:tblPr>
      <w:tblGrid>
        <w:gridCol w:w="2235"/>
        <w:gridCol w:w="4252"/>
      </w:tblGrid>
      <w:tr>
        <w:tblPrEx>
          <w:tblCellMar>
            <w:top w:w="0" w:type="dxa"/>
            <w:left w:w="108" w:type="dxa"/>
            <w:bottom w:w="0" w:type="dxa"/>
            <w:right w:w="108" w:type="dxa"/>
          </w:tblCellMar>
        </w:tblPrEx>
        <w:tc>
          <w:tcPr>
            <w:tcW w:w="2235" w:type="dxa"/>
            <w:vMerge w:val="restart"/>
            <w:tcBorders>
              <w:top w:val="nil"/>
              <w:left w:val="nil"/>
              <w:bottom w:val="nil"/>
              <w:right w:val="nil"/>
              <w:tl2br w:val="nil"/>
              <w:tr2bl w:val="nil"/>
            </w:tcBorders>
            <w:vAlign w:val="center"/>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LG =</w:t>
            </w:r>
          </w:p>
        </w:tc>
        <w:tc>
          <w:tcPr>
            <w:tcW w:w="4252" w:type="dxa"/>
            <w:tcBorders>
              <w:top w:val="nil"/>
              <w:left w:val="nil"/>
              <w:bottom w:val="single" w:color="auto" w:sz="4" w:space="0"/>
              <w:right w:val="nil"/>
              <w:tl2br w:val="nil"/>
              <w:tr2bl w:val="nil"/>
            </w:tcBorders>
            <w:vAlign w:val="bottom"/>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Ativo Circulante + Realizável a Longo Prazo</w:t>
            </w:r>
          </w:p>
        </w:tc>
      </w:tr>
      <w:tr>
        <w:tblPrEx>
          <w:tblCellMar>
            <w:top w:w="0" w:type="dxa"/>
            <w:left w:w="108" w:type="dxa"/>
            <w:bottom w:w="0" w:type="dxa"/>
            <w:right w:w="108" w:type="dxa"/>
          </w:tblCellMar>
        </w:tblPrEx>
        <w:tc>
          <w:tcPr>
            <w:tcW w:w="2235" w:type="dxa"/>
            <w:vMerge w:val="continue"/>
            <w:tcBorders>
              <w:top w:val="nil"/>
              <w:left w:val="nil"/>
              <w:bottom w:val="nil"/>
              <w:right w:val="nil"/>
              <w:tl2br w:val="nil"/>
              <w:tr2bl w:val="nil"/>
            </w:tcBorders>
          </w:tcPr>
          <w:p>
            <w:pPr>
              <w:tabs>
                <w:tab w:val="left" w:pos="1440"/>
              </w:tabs>
              <w:autoSpaceDE w:val="0"/>
              <w:snapToGrid w:val="0"/>
              <w:jc w:val="both"/>
              <w:rPr>
                <w:rFonts w:ascii="Arial" w:hAnsi="Arial" w:cs="Arial"/>
                <w:color w:val="000000"/>
                <w:lang w:eastAsia="en-US"/>
              </w:rPr>
            </w:pPr>
          </w:p>
        </w:tc>
        <w:tc>
          <w:tcPr>
            <w:tcW w:w="4252" w:type="dxa"/>
            <w:tcBorders>
              <w:top w:val="single" w:color="auto" w:sz="4" w:space="0"/>
              <w:left w:val="nil"/>
              <w:bottom w:val="nil"/>
              <w:right w:val="nil"/>
              <w:tl2br w:val="nil"/>
              <w:tr2bl w:val="nil"/>
            </w:tcBorders>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Passivo Circulante + Passivo Não Circulante</w:t>
            </w:r>
          </w:p>
        </w:tc>
      </w:tr>
    </w:tbl>
    <w:p>
      <w:pPr>
        <w:tabs>
          <w:tab w:val="left" w:pos="1440"/>
        </w:tabs>
        <w:autoSpaceDE w:val="0"/>
        <w:snapToGrid w:val="0"/>
        <w:ind w:left="1134"/>
        <w:jc w:val="both"/>
        <w:rPr>
          <w:rFonts w:ascii="Arial" w:hAnsi="Arial" w:eastAsia="Calibri" w:cs="Arial"/>
          <w:color w:val="000000"/>
        </w:rPr>
      </w:pPr>
    </w:p>
    <w:tbl>
      <w:tblPr>
        <w:tblStyle w:val="12"/>
        <w:tblW w:w="6629" w:type="dxa"/>
        <w:tblInd w:w="1134" w:type="dxa"/>
        <w:tblLayout w:type="fixed"/>
        <w:tblCellMar>
          <w:top w:w="0" w:type="dxa"/>
          <w:left w:w="108" w:type="dxa"/>
          <w:bottom w:w="0" w:type="dxa"/>
          <w:right w:w="108" w:type="dxa"/>
        </w:tblCellMar>
      </w:tblPr>
      <w:tblGrid>
        <w:gridCol w:w="2235"/>
        <w:gridCol w:w="4394"/>
      </w:tblGrid>
      <w:tr>
        <w:tblPrEx>
          <w:tblCellMar>
            <w:top w:w="0" w:type="dxa"/>
            <w:left w:w="108" w:type="dxa"/>
            <w:bottom w:w="0" w:type="dxa"/>
            <w:right w:w="108" w:type="dxa"/>
          </w:tblCellMar>
        </w:tblPrEx>
        <w:trPr>
          <w:cantSplit/>
        </w:trPr>
        <w:tc>
          <w:tcPr>
            <w:tcW w:w="2235" w:type="dxa"/>
            <w:vMerge w:val="restart"/>
            <w:tcBorders>
              <w:top w:val="nil"/>
              <w:left w:val="nil"/>
              <w:bottom w:val="nil"/>
              <w:right w:val="nil"/>
              <w:tl2br w:val="nil"/>
              <w:tr2bl w:val="nil"/>
            </w:tcBorders>
            <w:vAlign w:val="center"/>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SG =</w:t>
            </w:r>
          </w:p>
        </w:tc>
        <w:tc>
          <w:tcPr>
            <w:tcW w:w="4394" w:type="dxa"/>
            <w:tcBorders>
              <w:top w:val="nil"/>
              <w:left w:val="nil"/>
              <w:bottom w:val="single" w:color="auto" w:sz="4" w:space="0"/>
              <w:right w:val="nil"/>
              <w:tl2br w:val="nil"/>
              <w:tr2bl w:val="nil"/>
            </w:tcBorders>
            <w:vAlign w:val="bottom"/>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Ativo Total</w:t>
            </w:r>
          </w:p>
        </w:tc>
      </w:tr>
      <w:tr>
        <w:tblPrEx>
          <w:tblCellMar>
            <w:top w:w="0" w:type="dxa"/>
            <w:left w:w="108" w:type="dxa"/>
            <w:bottom w:w="0" w:type="dxa"/>
            <w:right w:w="108" w:type="dxa"/>
          </w:tblCellMar>
        </w:tblPrEx>
        <w:trPr>
          <w:cantSplit/>
        </w:trPr>
        <w:tc>
          <w:tcPr>
            <w:tcW w:w="2235" w:type="dxa"/>
            <w:vMerge w:val="continue"/>
            <w:tcBorders>
              <w:top w:val="nil"/>
              <w:left w:val="nil"/>
              <w:bottom w:val="nil"/>
              <w:right w:val="nil"/>
              <w:tl2br w:val="nil"/>
              <w:tr2bl w:val="nil"/>
            </w:tcBorders>
          </w:tcPr>
          <w:p>
            <w:pPr>
              <w:tabs>
                <w:tab w:val="left" w:pos="1440"/>
              </w:tabs>
              <w:autoSpaceDE w:val="0"/>
              <w:snapToGrid w:val="0"/>
              <w:jc w:val="both"/>
              <w:rPr>
                <w:rFonts w:ascii="Arial" w:hAnsi="Arial" w:cs="Arial"/>
                <w:color w:val="000000"/>
                <w:lang w:eastAsia="en-US"/>
              </w:rPr>
            </w:pPr>
          </w:p>
        </w:tc>
        <w:tc>
          <w:tcPr>
            <w:tcW w:w="4394" w:type="dxa"/>
            <w:tcBorders>
              <w:top w:val="single" w:color="auto" w:sz="4" w:space="0"/>
              <w:left w:val="nil"/>
              <w:bottom w:val="nil"/>
              <w:right w:val="nil"/>
              <w:tl2br w:val="nil"/>
              <w:tr2bl w:val="nil"/>
            </w:tcBorders>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Passivo Circulante + Passivo Não Circulante</w:t>
            </w:r>
          </w:p>
        </w:tc>
      </w:tr>
    </w:tbl>
    <w:p>
      <w:pPr>
        <w:tabs>
          <w:tab w:val="left" w:pos="1440"/>
        </w:tabs>
        <w:autoSpaceDE w:val="0"/>
        <w:snapToGrid w:val="0"/>
        <w:ind w:left="1134"/>
        <w:jc w:val="both"/>
        <w:rPr>
          <w:rFonts w:ascii="Arial" w:hAnsi="Arial" w:eastAsia="Calibri" w:cs="Arial"/>
          <w:color w:val="000000"/>
        </w:rPr>
      </w:pPr>
    </w:p>
    <w:tbl>
      <w:tblPr>
        <w:tblStyle w:val="12"/>
        <w:tblW w:w="7326" w:type="dxa"/>
        <w:tblInd w:w="1134" w:type="dxa"/>
        <w:tblLayout w:type="fixed"/>
        <w:tblCellMar>
          <w:top w:w="0" w:type="dxa"/>
          <w:left w:w="108" w:type="dxa"/>
          <w:bottom w:w="0" w:type="dxa"/>
          <w:right w:w="108" w:type="dxa"/>
        </w:tblCellMar>
      </w:tblPr>
      <w:tblGrid>
        <w:gridCol w:w="2235"/>
        <w:gridCol w:w="2551"/>
        <w:gridCol w:w="2540"/>
      </w:tblGrid>
      <w:tr>
        <w:tblPrEx>
          <w:tblCellMar>
            <w:top w:w="0" w:type="dxa"/>
            <w:left w:w="108" w:type="dxa"/>
            <w:bottom w:w="0" w:type="dxa"/>
            <w:right w:w="108" w:type="dxa"/>
          </w:tblCellMar>
        </w:tblPrEx>
        <w:tc>
          <w:tcPr>
            <w:tcW w:w="2235" w:type="dxa"/>
            <w:vMerge w:val="restart"/>
            <w:tcBorders>
              <w:top w:val="nil"/>
              <w:left w:val="nil"/>
              <w:bottom w:val="nil"/>
              <w:right w:val="nil"/>
              <w:tl2br w:val="nil"/>
              <w:tr2bl w:val="nil"/>
            </w:tcBorders>
            <w:vAlign w:val="center"/>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LC =</w:t>
            </w:r>
          </w:p>
        </w:tc>
        <w:tc>
          <w:tcPr>
            <w:tcW w:w="2551" w:type="dxa"/>
            <w:tcBorders>
              <w:top w:val="nil"/>
              <w:left w:val="nil"/>
              <w:bottom w:val="single" w:color="auto" w:sz="4" w:space="0"/>
              <w:right w:val="nil"/>
              <w:tl2br w:val="nil"/>
              <w:tr2bl w:val="nil"/>
            </w:tcBorders>
            <w:vAlign w:val="bottom"/>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Ativo Circulante</w:t>
            </w:r>
          </w:p>
        </w:tc>
        <w:tc>
          <w:tcPr>
            <w:tcW w:w="2540" w:type="dxa"/>
            <w:tcBorders>
              <w:top w:val="nil"/>
              <w:left w:val="nil"/>
              <w:bottom w:val="single" w:color="auto" w:sz="4" w:space="0"/>
              <w:right w:val="nil"/>
              <w:tl2br w:val="nil"/>
              <w:tr2bl w:val="nil"/>
            </w:tcBorders>
            <w:vAlign w:val="bottom"/>
          </w:tcPr>
          <w:p>
            <w:pPr>
              <w:tabs>
                <w:tab w:val="left" w:pos="1440"/>
              </w:tabs>
              <w:autoSpaceDE w:val="0"/>
              <w:snapToGrid w:val="0"/>
              <w:jc w:val="both"/>
              <w:rPr>
                <w:rFonts w:ascii="Arial" w:hAnsi="Arial" w:cs="Arial"/>
                <w:color w:val="000000"/>
                <w:lang w:eastAsia="en-US"/>
              </w:rPr>
            </w:pPr>
          </w:p>
        </w:tc>
      </w:tr>
      <w:tr>
        <w:tblPrEx>
          <w:tblCellMar>
            <w:top w:w="0" w:type="dxa"/>
            <w:left w:w="108" w:type="dxa"/>
            <w:bottom w:w="0" w:type="dxa"/>
            <w:right w:w="108" w:type="dxa"/>
          </w:tblCellMar>
        </w:tblPrEx>
        <w:tc>
          <w:tcPr>
            <w:tcW w:w="2235" w:type="dxa"/>
            <w:vMerge w:val="continue"/>
            <w:tcBorders>
              <w:top w:val="nil"/>
              <w:left w:val="nil"/>
              <w:bottom w:val="nil"/>
              <w:right w:val="nil"/>
              <w:tl2br w:val="nil"/>
              <w:tr2bl w:val="nil"/>
            </w:tcBorders>
          </w:tcPr>
          <w:p>
            <w:pPr>
              <w:tabs>
                <w:tab w:val="left" w:pos="1440"/>
              </w:tabs>
              <w:autoSpaceDE w:val="0"/>
              <w:snapToGrid w:val="0"/>
              <w:jc w:val="both"/>
              <w:rPr>
                <w:rFonts w:ascii="Arial" w:hAnsi="Arial" w:cs="Arial"/>
                <w:color w:val="000000"/>
                <w:lang w:eastAsia="en-US"/>
              </w:rPr>
            </w:pPr>
          </w:p>
        </w:tc>
        <w:tc>
          <w:tcPr>
            <w:tcW w:w="2551" w:type="dxa"/>
            <w:tcBorders>
              <w:top w:val="single" w:color="auto" w:sz="4" w:space="0"/>
              <w:left w:val="nil"/>
              <w:bottom w:val="nil"/>
              <w:right w:val="nil"/>
              <w:tl2br w:val="nil"/>
              <w:tr2bl w:val="nil"/>
            </w:tcBorders>
          </w:tcPr>
          <w:p>
            <w:pPr>
              <w:tabs>
                <w:tab w:val="left" w:pos="1440"/>
              </w:tabs>
              <w:autoSpaceDE w:val="0"/>
              <w:snapToGrid w:val="0"/>
              <w:jc w:val="both"/>
              <w:rPr>
                <w:rFonts w:ascii="Arial" w:hAnsi="Arial" w:cs="Arial"/>
                <w:color w:val="000000"/>
                <w:lang w:eastAsia="en-US"/>
              </w:rPr>
            </w:pPr>
            <w:r>
              <w:rPr>
                <w:rFonts w:ascii="Arial" w:hAnsi="Arial" w:cs="Arial"/>
                <w:color w:val="000000"/>
                <w:lang w:eastAsia="en-US"/>
              </w:rPr>
              <w:t>Passivo Circulante</w:t>
            </w:r>
          </w:p>
        </w:tc>
        <w:tc>
          <w:tcPr>
            <w:tcW w:w="2540" w:type="dxa"/>
            <w:tcBorders>
              <w:top w:val="single" w:color="auto" w:sz="4" w:space="0"/>
              <w:left w:val="nil"/>
              <w:bottom w:val="nil"/>
              <w:right w:val="nil"/>
              <w:tl2br w:val="nil"/>
              <w:tr2bl w:val="nil"/>
            </w:tcBorders>
          </w:tcPr>
          <w:p>
            <w:pPr>
              <w:tabs>
                <w:tab w:val="left" w:pos="1440"/>
              </w:tabs>
              <w:autoSpaceDE w:val="0"/>
              <w:snapToGrid w:val="0"/>
              <w:jc w:val="both"/>
              <w:rPr>
                <w:rFonts w:ascii="Arial" w:hAnsi="Arial" w:cs="Arial"/>
                <w:color w:val="000000"/>
                <w:lang w:eastAsia="en-US"/>
              </w:rPr>
            </w:pPr>
          </w:p>
        </w:tc>
      </w:tr>
    </w:tbl>
    <w:p>
      <w:pPr>
        <w:pStyle w:val="31"/>
        <w:widowControl w:val="0"/>
        <w:tabs>
          <w:tab w:val="left" w:pos="0"/>
          <w:tab w:val="left" w:pos="993"/>
          <w:tab w:val="left" w:pos="1134"/>
          <w:tab w:val="clear" w:pos="4419"/>
          <w:tab w:val="clear" w:pos="8838"/>
        </w:tabs>
        <w:spacing w:after="120"/>
        <w:rPr>
          <w:rFonts w:ascii="Arial" w:hAnsi="Arial" w:eastAsia="Calibri" w:cs="Arial"/>
          <w:b/>
          <w:highlight w:val="yellow"/>
        </w:rPr>
      </w:pPr>
    </w:p>
    <w:p>
      <w:pPr>
        <w:pStyle w:val="194"/>
        <w:widowControl w:val="0"/>
        <w:numPr>
          <w:ilvl w:val="0"/>
          <w:numId w:val="0"/>
        </w:numPr>
        <w:tabs>
          <w:tab w:val="left" w:pos="567"/>
          <w:tab w:val="left" w:pos="851"/>
          <w:tab w:val="left" w:pos="1843"/>
          <w:tab w:val="left" w:pos="3119"/>
          <w:tab w:val="left" w:pos="3261"/>
        </w:tabs>
        <w:spacing w:before="0" w:line="240" w:lineRule="auto"/>
        <w:rPr>
          <w:sz w:val="24"/>
          <w:szCs w:val="24"/>
        </w:rPr>
      </w:pPr>
      <w:r>
        <w:rPr>
          <w:b/>
          <w:sz w:val="24"/>
          <w:szCs w:val="24"/>
        </w:rPr>
        <w:t xml:space="preserve">d.1) </w:t>
      </w:r>
      <w:r>
        <w:rPr>
          <w:sz w:val="24"/>
          <w:szCs w:val="24"/>
        </w:rPr>
        <w:t>O licitante que não apresentar ou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widowControl w:val="0"/>
        <w:autoSpaceDE w:val="0"/>
        <w:autoSpaceDN w:val="0"/>
        <w:adjustRightInd w:val="0"/>
        <w:spacing w:after="120"/>
        <w:jc w:val="both"/>
        <w:rPr>
          <w:rFonts w:ascii="Arial" w:hAnsi="Arial" w:cs="Arial"/>
          <w:bCs/>
          <w:i/>
          <w:iCs/>
          <w:szCs w:val="24"/>
          <w:shd w:val="clear" w:color="auto" w:fill="FFFFFF"/>
        </w:rPr>
      </w:pPr>
      <w:r>
        <w:rPr>
          <w:rFonts w:ascii="Arial" w:hAnsi="Arial" w:cs="Arial"/>
          <w:b/>
          <w:szCs w:val="24"/>
        </w:rPr>
        <w:t>e)</w:t>
      </w:r>
      <w:r>
        <w:rPr>
          <w:rFonts w:ascii="Arial" w:hAnsi="Arial" w:cs="Arial"/>
          <w:bCs/>
          <w:szCs w:val="24"/>
        </w:rPr>
        <w:t xml:space="preserve"> </w:t>
      </w:r>
      <w:r>
        <w:rPr>
          <w:rFonts w:ascii="Arial" w:hAnsi="Arial" w:cs="Arial"/>
          <w:bCs/>
          <w:iCs/>
          <w:szCs w:val="24"/>
          <w:shd w:val="clear" w:color="auto" w:fill="FFFFFF"/>
        </w:rPr>
        <w:t xml:space="preserve">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Calibri" w:cs="Arial"/>
          <w:bCs/>
          <w:szCs w:val="24"/>
          <w:lang w:eastAsia="en-US"/>
        </w:rPr>
        <w:t>ACÓRDÃO 1214/2013 – PLENÁRIO.</w:t>
      </w:r>
    </w:p>
    <w:p>
      <w:pPr>
        <w:pStyle w:val="31"/>
        <w:widowControl w:val="0"/>
        <w:tabs>
          <w:tab w:val="left" w:pos="0"/>
          <w:tab w:val="left" w:pos="993"/>
          <w:tab w:val="left" w:pos="1134"/>
          <w:tab w:val="clear" w:pos="4419"/>
          <w:tab w:val="clear" w:pos="8838"/>
        </w:tabs>
        <w:spacing w:after="120"/>
        <w:rPr>
          <w:rFonts w:ascii="Arial" w:hAnsi="Arial" w:eastAsia="Calibri" w:cs="Arial"/>
          <w:b/>
          <w:szCs w:val="24"/>
        </w:rPr>
      </w:pPr>
      <w:r>
        <w:rPr>
          <w:rFonts w:ascii="Arial" w:hAnsi="Arial" w:eastAsia="Calibri" w:cs="Arial"/>
          <w:b/>
          <w:szCs w:val="24"/>
        </w:rPr>
        <w:t>12.10. DOCUMENTOS RELATIVOS À QUALIFICAÇÃO TÉCNICA.</w:t>
      </w:r>
    </w:p>
    <w:p>
      <w:pPr>
        <w:pStyle w:val="31"/>
        <w:widowControl w:val="0"/>
        <w:tabs>
          <w:tab w:val="left" w:pos="0"/>
          <w:tab w:val="left" w:pos="993"/>
          <w:tab w:val="left" w:pos="1134"/>
          <w:tab w:val="clear" w:pos="4419"/>
          <w:tab w:val="clear" w:pos="8838"/>
        </w:tabs>
        <w:ind w:right="38" w:rightChars="16"/>
        <w:rPr>
          <w:rFonts w:ascii="Arial" w:hAnsi="Arial" w:eastAsia="Calibri" w:cs="Arial"/>
          <w:lang w:eastAsia="en-US"/>
        </w:rPr>
      </w:pPr>
      <w:r>
        <w:rPr>
          <w:rFonts w:ascii="Arial" w:hAnsi="Arial" w:eastAsia="Calibri" w:cs="Arial"/>
          <w:lang w:eastAsia="en-US"/>
        </w:rPr>
        <w:t xml:space="preserve">12.10.1. Os licitantes que </w:t>
      </w:r>
      <w:r>
        <w:rPr>
          <w:rFonts w:ascii="Arial" w:hAnsi="Arial" w:eastAsia="Calibri" w:cs="Arial"/>
          <w:b/>
          <w:u w:val="single"/>
          <w:lang w:eastAsia="en-US"/>
        </w:rPr>
        <w:t xml:space="preserve">TIVEREM ou NÃO </w:t>
      </w:r>
      <w:r>
        <w:rPr>
          <w:rFonts w:ascii="Arial" w:hAnsi="Arial" w:eastAsia="Calibri" w:cs="Arial"/>
          <w:u w:val="single"/>
          <w:lang w:eastAsia="en-US"/>
        </w:rPr>
        <w:t>CRC - Certificado de Registro Cadastral</w:t>
      </w:r>
      <w:r>
        <w:rPr>
          <w:rFonts w:ascii="Arial" w:hAnsi="Arial" w:eastAsia="Calibri" w:cs="Arial"/>
          <w:b/>
          <w:u w:val="single"/>
          <w:lang w:eastAsia="en-US"/>
        </w:rPr>
        <w:t xml:space="preserve"> </w:t>
      </w:r>
      <w:r>
        <w:rPr>
          <w:rFonts w:ascii="Arial" w:hAnsi="Arial" w:eastAsia="Calibri" w:cs="Arial"/>
          <w:lang w:eastAsia="en-US"/>
        </w:rPr>
        <w:t xml:space="preserve">emitido pela Prefeitura Municipal de Primavera do Leste - MT devidamente válido, </w:t>
      </w:r>
      <w:r>
        <w:rPr>
          <w:rFonts w:ascii="Arial" w:hAnsi="Arial" w:eastAsia="Calibri" w:cs="Arial"/>
          <w:b/>
          <w:u w:val="single"/>
          <w:lang w:eastAsia="en-US"/>
        </w:rPr>
        <w:t>deverão</w:t>
      </w:r>
      <w:r>
        <w:rPr>
          <w:rFonts w:ascii="Arial" w:hAnsi="Arial" w:eastAsia="Calibri" w:cs="Arial"/>
          <w:lang w:eastAsia="en-US"/>
        </w:rPr>
        <w:t xml:space="preserve"> apresentar a seguinte documentação relativa à</w:t>
      </w:r>
      <w:r>
        <w:rPr>
          <w:rFonts w:ascii="Arial" w:hAnsi="Arial" w:eastAsia="Calibri" w:cs="Arial"/>
          <w:b/>
          <w:lang w:eastAsia="en-US"/>
        </w:rPr>
        <w:t xml:space="preserve"> QUALIFICAÇÃO TÉCNICA</w:t>
      </w:r>
      <w:r>
        <w:rPr>
          <w:rFonts w:ascii="Arial" w:hAnsi="Arial" w:eastAsia="Calibri" w:cs="Arial"/>
          <w:lang w:eastAsia="en-US"/>
        </w:rPr>
        <w:t>:</w:t>
      </w:r>
    </w:p>
    <w:p>
      <w:pPr>
        <w:pStyle w:val="31"/>
        <w:widowControl w:val="0"/>
        <w:tabs>
          <w:tab w:val="left" w:pos="0"/>
          <w:tab w:val="left" w:pos="993"/>
          <w:tab w:val="left" w:pos="1134"/>
          <w:tab w:val="clear" w:pos="4419"/>
          <w:tab w:val="clear" w:pos="8838"/>
        </w:tabs>
        <w:ind w:right="38" w:rightChars="16"/>
        <w:rPr>
          <w:rFonts w:ascii="Arial" w:hAnsi="Arial" w:eastAsia="Calibri" w:cs="Arial"/>
          <w:lang w:eastAsia="en-US"/>
        </w:rPr>
      </w:pPr>
    </w:p>
    <w:p>
      <w:pPr>
        <w:ind w:right="38" w:rightChars="16"/>
        <w:jc w:val="both"/>
        <w:rPr>
          <w:rFonts w:ascii="Arial" w:hAnsi="Arial" w:cs="Arial"/>
          <w:lang w:eastAsia="pt-PT"/>
        </w:rPr>
      </w:pPr>
      <w:r>
        <w:rPr>
          <w:rFonts w:ascii="Arial" w:hAnsi="Arial" w:cs="Arial"/>
          <w:b/>
          <w:bCs/>
        </w:rPr>
        <w:t>12.10.2</w:t>
      </w:r>
      <w:r>
        <w:rPr>
          <w:rFonts w:ascii="Arial" w:hAnsi="Arial" w:cs="Arial"/>
          <w:lang w:eastAsia="pt-PT"/>
        </w:rPr>
        <w:t xml:space="preserve"> </w:t>
      </w:r>
      <w:r>
        <w:rPr>
          <w:rFonts w:ascii="Arial" w:hAnsi="Arial" w:cs="Arial"/>
        </w:rPr>
        <w:t>Atestado de Capacidade Técnica operacional da empresa licitante, expedido por pessoas jurídicas de direito público ou privado, que comprovem ter o licitante fornecido satisfatoriamente os materiais ou serviços pertinentes e compatíveis com o objeto desta licitação. Podendo ser exigido da proposta mais bem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r>
        <w:rPr>
          <w:rFonts w:ascii="Arial" w:hAnsi="Arial" w:cs="Arial"/>
          <w:lang w:eastAsia="pt-PT"/>
        </w:rPr>
        <w:t>.</w:t>
      </w:r>
    </w:p>
    <w:p>
      <w:pPr>
        <w:ind w:left="480" w:leftChars="200" w:right="38" w:rightChars="16"/>
        <w:jc w:val="both"/>
        <w:rPr>
          <w:rFonts w:ascii="Arial" w:hAnsi="Arial" w:cs="Arial"/>
        </w:rPr>
      </w:pPr>
      <w:r>
        <w:rPr>
          <w:rFonts w:ascii="Arial" w:hAnsi="Arial" w:cs="Arial"/>
          <w:b/>
        </w:rPr>
        <w:t xml:space="preserve">a) </w:t>
      </w:r>
      <w:r>
        <w:rPr>
          <w:rFonts w:ascii="Arial" w:hAnsi="Arial" w:cs="Arial"/>
        </w:rPr>
        <w:t>Caso o atestado de capacidade técnica seja emitido por Pessoa Jurídica de Direito Privado, este deverá conter a FIRMA DO SIGNATÁRIO RECONHECIDA EM CARTÓRIO;</w:t>
      </w:r>
    </w:p>
    <w:p>
      <w:pPr>
        <w:snapToGrid w:val="0"/>
        <w:ind w:left="480" w:leftChars="200" w:right="38" w:rightChars="16" w:firstLine="709"/>
        <w:jc w:val="both"/>
        <w:rPr>
          <w:rFonts w:ascii="Arial" w:hAnsi="Arial" w:cs="Arial"/>
          <w:b/>
        </w:rPr>
      </w:pPr>
      <w:r>
        <w:rPr>
          <w:rFonts w:hint="default" w:ascii="Arial" w:hAnsi="Arial" w:cs="Arial"/>
          <w:b/>
          <w:lang w:val="pt-BR"/>
        </w:rPr>
        <w:t>b</w:t>
      </w:r>
      <w:r>
        <w:rPr>
          <w:rFonts w:ascii="Arial" w:hAnsi="Arial" w:cs="Arial"/>
          <w:b/>
        </w:rPr>
        <w:t xml:space="preserve">) </w:t>
      </w:r>
      <w:r>
        <w:rPr>
          <w:rFonts w:ascii="Arial" w:hAnsi="Arial" w:eastAsia="Calibri" w:cs="Arial"/>
        </w:rPr>
        <w:t xml:space="preserve">Será aceito o somatório de atestados de períodos concomitantes para </w:t>
      </w:r>
      <w:r>
        <w:rPr>
          <w:rFonts w:ascii="Arial" w:hAnsi="Arial" w:eastAsia="Calibri" w:cs="Arial"/>
        </w:rPr>
        <w:tab/>
      </w:r>
      <w:r>
        <w:rPr>
          <w:rFonts w:ascii="Arial" w:hAnsi="Arial" w:eastAsia="Calibri" w:cs="Arial"/>
        </w:rPr>
        <w:t>comprovar a capacidade técnica.</w:t>
      </w:r>
    </w:p>
    <w:p>
      <w:pPr>
        <w:snapToGrid w:val="0"/>
        <w:ind w:left="480" w:right="38" w:rightChars="16" w:firstLine="60"/>
        <w:jc w:val="both"/>
        <w:rPr>
          <w:rFonts w:ascii="Arial" w:hAnsi="Arial" w:eastAsia="Calibri" w:cs="Arial"/>
        </w:rPr>
      </w:pPr>
      <w:r>
        <w:rPr>
          <w:rFonts w:hint="default" w:ascii="Arial" w:hAnsi="Arial" w:eastAsia="Calibri" w:cs="Arial"/>
          <w:b/>
          <w:bCs/>
          <w:lang w:val="pt-BR"/>
        </w:rPr>
        <w:t>b.1</w:t>
      </w:r>
      <w:r>
        <w:rPr>
          <w:rFonts w:ascii="Arial" w:hAnsi="Arial" w:eastAsia="Calibri" w:cs="Arial"/>
          <w:b/>
          <w:bCs/>
        </w:rPr>
        <w:t>)</w:t>
      </w:r>
      <w:r>
        <w:rPr>
          <w:rFonts w:ascii="Arial" w:hAnsi="Arial" w:eastAsia="Calibri" w:cs="Arial"/>
        </w:rPr>
        <w:t xml:space="preserve"> O Município de Primavera do Leste para comprovar a veracidade dos </w:t>
      </w:r>
      <w:r>
        <w:rPr>
          <w:rFonts w:ascii="Arial" w:hAnsi="Arial" w:eastAsia="Calibri" w:cs="Arial"/>
        </w:rPr>
        <w:tab/>
      </w:r>
      <w:r>
        <w:rPr>
          <w:rFonts w:ascii="Arial" w:hAnsi="Arial" w:eastAsia="Calibri" w:cs="Arial"/>
        </w:rPr>
        <w:t>atestados, podendo requisitar cópias dos respectivos contratos e aditivos e/ou outros documentos comprobatórios do conteúdo declarado.</w:t>
      </w:r>
    </w:p>
    <w:p>
      <w:pPr>
        <w:snapToGrid w:val="0"/>
        <w:ind w:left="480" w:right="38" w:rightChars="16" w:firstLine="709"/>
        <w:jc w:val="both"/>
        <w:rPr>
          <w:rFonts w:ascii="Arial" w:hAnsi="Arial" w:eastAsia="Calibri" w:cs="Arial"/>
        </w:rPr>
      </w:pPr>
      <w:r>
        <w:rPr>
          <w:rFonts w:hint="default" w:ascii="Arial" w:hAnsi="Arial" w:eastAsia="Calibri" w:cs="Arial"/>
          <w:b/>
          <w:bCs/>
          <w:lang w:val="pt-BR"/>
        </w:rPr>
        <w:t>c</w:t>
      </w:r>
      <w:r>
        <w:rPr>
          <w:rFonts w:ascii="Arial" w:hAnsi="Arial" w:eastAsia="Calibri" w:cs="Arial"/>
          <w:b/>
          <w:bCs/>
        </w:rPr>
        <w:t>)</w:t>
      </w:r>
      <w:r>
        <w:rPr>
          <w:rFonts w:ascii="Arial" w:hAnsi="Arial" w:eastAsia="Calibri" w:cs="Arial"/>
        </w:rPr>
        <w:t xml:space="preserve"> O(s) atestado(s) de capacidade técnica deverá(ão) se referir a serviços prestados, no âmbito de sua atividade econômica principal e/ou secundária, especificada no contrato social, devidamente registrado na junta comercial competente, bem como no cadastro de pessoas jurídicas da Receita Federal do Brasil – RFB.</w:t>
      </w:r>
    </w:p>
    <w:p>
      <w:pPr>
        <w:snapToGrid w:val="0"/>
        <w:ind w:left="480" w:right="38" w:rightChars="16" w:firstLine="709"/>
        <w:jc w:val="both"/>
        <w:rPr>
          <w:rFonts w:ascii="Arial" w:hAnsi="Arial" w:eastAsia="Calibri" w:cs="Arial"/>
        </w:rPr>
      </w:pPr>
      <w:r>
        <w:rPr>
          <w:rFonts w:hint="default" w:ascii="Arial" w:hAnsi="Arial" w:eastAsia="Calibri" w:cs="Arial"/>
          <w:b/>
          <w:bCs/>
          <w:lang w:val="pt-BR"/>
        </w:rPr>
        <w:t>d</w:t>
      </w:r>
      <w:r>
        <w:rPr>
          <w:rFonts w:ascii="Arial" w:hAnsi="Arial" w:eastAsia="Calibri" w:cs="Arial"/>
          <w:b/>
          <w:bCs/>
        </w:rPr>
        <w:t>)</w:t>
      </w:r>
      <w:r>
        <w:rPr>
          <w:rFonts w:ascii="Arial" w:hAnsi="Arial" w:eastAsia="Calibri" w:cs="Arial"/>
        </w:rPr>
        <w:t xml:space="preserve"> As licitantes deverão disponibilizar, quando solicitadas, todas as informações necessárias à comprovação da legitimidade dos atestados de capacidade técnica apresentados.</w:t>
      </w:r>
    </w:p>
    <w:p>
      <w:pPr>
        <w:snapToGrid w:val="0"/>
        <w:ind w:left="480" w:right="38" w:rightChars="16" w:firstLine="709"/>
        <w:jc w:val="both"/>
        <w:rPr>
          <w:rFonts w:ascii="Arial" w:hAnsi="Arial" w:eastAsia="Calibri" w:cs="Arial"/>
        </w:rPr>
      </w:pPr>
      <w:r>
        <w:rPr>
          <w:rFonts w:hint="default" w:ascii="Arial" w:hAnsi="Arial" w:eastAsia="Calibri" w:cs="Arial"/>
          <w:b/>
          <w:bCs/>
          <w:lang w:val="pt-BR"/>
        </w:rPr>
        <w:t>e</w:t>
      </w:r>
      <w:r>
        <w:rPr>
          <w:rFonts w:ascii="Arial" w:hAnsi="Arial" w:eastAsia="Calibri" w:cs="Arial"/>
          <w:b/>
          <w:bCs/>
        </w:rPr>
        <w:t>)</w:t>
      </w:r>
      <w:r>
        <w:rPr>
          <w:rFonts w:ascii="Arial" w:hAnsi="Arial" w:eastAsia="Calibri" w:cs="Arial"/>
        </w:rPr>
        <w:t xml:space="preserve"> Os atestados e/ou certidões de capacidade técnica deverão ter sido emitidos por pessoas jurídicas de direito público ou privado.</w:t>
      </w:r>
    </w:p>
    <w:p>
      <w:pPr>
        <w:snapToGrid w:val="0"/>
        <w:ind w:left="480" w:right="38" w:rightChars="16" w:firstLine="709"/>
        <w:jc w:val="both"/>
        <w:rPr>
          <w:rFonts w:ascii="Arial" w:hAnsi="Arial" w:eastAsia="Calibri" w:cs="Arial"/>
          <w:lang w:eastAsia="en-US"/>
        </w:rPr>
      </w:pPr>
      <w:r>
        <w:rPr>
          <w:rFonts w:hint="default" w:ascii="Arial" w:hAnsi="Arial" w:eastAsia="Calibri" w:cs="Arial"/>
          <w:b/>
          <w:bCs/>
          <w:lang w:val="pt-BR" w:eastAsia="en-US"/>
        </w:rPr>
        <w:t>f</w:t>
      </w:r>
      <w:r>
        <w:rPr>
          <w:rFonts w:ascii="Arial" w:hAnsi="Arial" w:eastAsia="Calibri" w:cs="Arial"/>
          <w:b/>
          <w:bCs/>
          <w:lang w:eastAsia="en-US"/>
        </w:rPr>
        <w:t>)</w:t>
      </w:r>
      <w:r>
        <w:rPr>
          <w:rFonts w:ascii="Arial" w:hAnsi="Arial" w:eastAsia="Calibri" w:cs="Arial"/>
          <w:lang w:eastAsia="en-US"/>
        </w:rPr>
        <w:t xml:space="preserve"> Deverá haver a comprovação da experiência mínima de 03 (três) anos na prestação dos serviços, sendo aceito o somatório de atestados de períodos diferentes, não havendo obrigatoriedade de os 03 (três) anos serem ininterruptos; Acórdão 8364/2012 TCU - 2ª Câmara. Acórdão nº 1.214/2013 - TCU. Alínea “b” do </w:t>
      </w:r>
      <w:r>
        <w:rPr>
          <w:rFonts w:ascii="Arial" w:hAnsi="Arial" w:eastAsia="Calibri" w:cs="Arial"/>
          <w:lang w:eastAsia="en-US"/>
        </w:rPr>
        <w:tab/>
      </w:r>
      <w:r>
        <w:rPr>
          <w:rFonts w:ascii="Arial" w:hAnsi="Arial" w:eastAsia="Calibri" w:cs="Arial"/>
          <w:lang w:eastAsia="en-US"/>
        </w:rPr>
        <w:t>item 10.6 da Instrução Normativa nº 5, de 26 de maio de 2017 (Ministério do Planejamento, Desenvolvimento e Gestão).</w:t>
      </w:r>
    </w:p>
    <w:p>
      <w:pPr>
        <w:snapToGrid w:val="0"/>
        <w:ind w:left="480" w:right="38" w:rightChars="16" w:firstLine="709"/>
        <w:jc w:val="both"/>
        <w:rPr>
          <w:rFonts w:ascii="Arial" w:hAnsi="Arial" w:eastAsia="Calibri" w:cs="Arial"/>
          <w:lang w:eastAsia="en-US"/>
        </w:rPr>
      </w:pPr>
    </w:p>
    <w:p>
      <w:pPr>
        <w:ind w:left="0" w:right="38" w:rightChars="16"/>
        <w:jc w:val="both"/>
        <w:rPr>
          <w:rFonts w:ascii="Arial" w:hAnsi="Arial" w:cs="Arial"/>
        </w:rPr>
      </w:pPr>
      <w:r>
        <w:rPr>
          <w:rFonts w:ascii="Arial" w:hAnsi="Arial" w:cs="Arial"/>
          <w:b/>
          <w:bCs/>
        </w:rPr>
        <w:t>12.10.3.</w:t>
      </w:r>
      <w:r>
        <w:rPr>
          <w:rFonts w:ascii="Arial" w:hAnsi="Arial" w:cs="Arial"/>
        </w:rPr>
        <w:t xml:space="preserve"> Declaração de vistoria aos locais abrange os serviços de coleta e de suas condições pelo qual reconhece ser perfeitamente viável o cumprimento integral e pontual das obrigações assumidas e estabelecidas no presente edital, em todas as fases da presente licitação, e que verificou todo o itinerário de coleta, que deverá ser efetuada e atestada pelo responsável técnico da empresa proponente, sendo que o mesmo deverá agendar visita e será efetuada até o último dia que antecede o certame.  A vistoria será acompanhada por representante da Coordenadoria de Serviços Urbanos, por meio do telefone (66) 3498-1730, designado para esse fim, o qual visará à declaração comprobatória da vistoria efetuada, que deverá ter sido previamente elaborada pelo licitante., conforme modelo constante do Anexo VII; ou Declaração de conhecimento do objeto.</w:t>
      </w:r>
    </w:p>
    <w:p>
      <w:pPr>
        <w:ind w:left="0" w:right="38" w:rightChars="16"/>
        <w:jc w:val="both"/>
        <w:rPr>
          <w:rFonts w:ascii="Arial" w:hAnsi="Arial" w:cs="Arial"/>
        </w:rPr>
      </w:pPr>
    </w:p>
    <w:p>
      <w:pPr>
        <w:ind w:right="38" w:rightChars="16"/>
        <w:jc w:val="both"/>
        <w:rPr>
          <w:rFonts w:ascii="Arial" w:hAnsi="Arial" w:eastAsia="Calibri" w:cs="Arial"/>
        </w:rPr>
      </w:pPr>
      <w:r>
        <w:rPr>
          <w:rFonts w:ascii="Arial" w:hAnsi="Arial" w:cs="Arial"/>
          <w:b/>
          <w:bCs/>
        </w:rPr>
        <w:t>12.10.4.</w:t>
      </w:r>
      <w:r>
        <w:rPr>
          <w:rFonts w:ascii="Arial" w:hAnsi="Arial" w:cs="Arial"/>
        </w:rPr>
        <w:t xml:space="preserve"> </w:t>
      </w:r>
      <w:r>
        <w:rPr>
          <w:rFonts w:ascii="Arial" w:hAnsi="Arial" w:eastAsia="Calibri" w:cs="Arial"/>
        </w:rPr>
        <w:t>Comprovante de inscrição no Cadastro Técnico Federal de Atividades Potencialmente Poluidoras ou Utilizadoras de Recursos Ambientais, acompanhado do respectivo Certificado de Regularidade válido, nos termos do artigo 17, inciso II, da Lei nº 6.938, de 1981, e da Instrução Normativa IBAMA nº 06, de 15/03/2013, e legislação correlata, para o exercício de atividade de obras civis, classificada como potencialmente poluidora ou utilizadora de recursos ambientais</w:t>
      </w:r>
      <w:r>
        <w:rPr>
          <w:rFonts w:hint="default" w:ascii="Arial" w:hAnsi="Arial" w:eastAsia="Calibri" w:cs="Arial"/>
          <w:lang w:val="pt-BR"/>
        </w:rPr>
        <w:t xml:space="preserve"> do aterro sanitário utilizado para recebimento dos rejeitos provenientes da triagem dos resíduos secos e dos RCC.</w:t>
      </w:r>
      <w:r>
        <w:rPr>
          <w:rFonts w:ascii="Arial" w:hAnsi="Arial" w:eastAsia="Calibri" w:cs="Arial"/>
        </w:rPr>
        <w:t>.</w:t>
      </w:r>
    </w:p>
    <w:p>
      <w:pPr>
        <w:ind w:left="709" w:right="38" w:rightChars="16"/>
        <w:jc w:val="both"/>
        <w:rPr>
          <w:rFonts w:ascii="Arial" w:hAnsi="Arial" w:eastAsia="Calibri" w:cs="Arial"/>
        </w:rPr>
      </w:pPr>
      <w:r>
        <w:rPr>
          <w:rFonts w:ascii="Arial" w:hAnsi="Arial" w:eastAsia="Calibri" w:cs="Arial"/>
        </w:rPr>
        <w:t xml:space="preserve">12.10.4.1 Justifica-se a necessidade do comprovante de inscrição no Cadastro Técnico Federal de Atividade Potencialmente Poluidoras ou Utilizadoras de Recursos Ambientais devido a obrigatoriedade definida pela Instrução Normativa nº 13, de 23 de agosto de 2021 para empreendimentos cuja atividade é a destinação de resíduos sólidos urbanos (Aterro Sanitário). </w:t>
      </w:r>
    </w:p>
    <w:p>
      <w:pPr>
        <w:ind w:left="709" w:right="38" w:rightChars="16"/>
        <w:jc w:val="both"/>
        <w:rPr>
          <w:rFonts w:ascii="Arial" w:hAnsi="Arial" w:eastAsia="Calibri" w:cs="Arial"/>
        </w:rPr>
      </w:pPr>
    </w:p>
    <w:p>
      <w:pPr>
        <w:snapToGrid w:val="0"/>
        <w:ind w:right="38" w:rightChars="16" w:hanging="4"/>
        <w:jc w:val="both"/>
        <w:rPr>
          <w:rFonts w:ascii="Arial" w:hAnsi="Arial" w:eastAsia="Calibri" w:cs="Arial"/>
        </w:rPr>
      </w:pPr>
      <w:r>
        <w:rPr>
          <w:rFonts w:ascii="Arial" w:hAnsi="Arial" w:eastAsia="Calibri" w:cs="Arial"/>
          <w:b/>
          <w:bCs/>
        </w:rPr>
        <w:t>12.10.5</w:t>
      </w:r>
      <w:r>
        <w:rPr>
          <w:rFonts w:ascii="Arial" w:hAnsi="Arial" w:eastAsia="Calibri" w:cs="Arial"/>
        </w:rPr>
        <w:t>.</w:t>
      </w:r>
      <w:r>
        <w:rPr>
          <w:rFonts w:ascii="Arial" w:hAnsi="Arial" w:eastAsia="Calibri" w:cs="Arial"/>
          <w:b/>
          <w:szCs w:val="24"/>
        </w:rPr>
        <w:t>.</w:t>
      </w:r>
      <w:r>
        <w:rPr>
          <w:rFonts w:ascii="Arial" w:hAnsi="Arial" w:eastAsia="Calibri" w:cs="Arial"/>
        </w:rPr>
        <w:t xml:space="preserve"> COMPROVAÇÃO de que a licitante possui, Registro/Certidão de inscrição no Conselho Profissional competente – CREA da região ou sede da licitante, constando que a mesma possui em seu quadro técnico, na data da assinatura do contrato PROFISSIONAL de nível superior ou outro reconhecido pelos órgãos de fiscalização Conselho Regional de Engenharia e Agronomia – CREA.  </w:t>
      </w:r>
    </w:p>
    <w:p>
      <w:pPr>
        <w:snapToGrid w:val="0"/>
        <w:ind w:right="38" w:rightChars="16" w:hanging="4"/>
        <w:jc w:val="both"/>
        <w:rPr>
          <w:rFonts w:ascii="Arial" w:hAnsi="Arial" w:eastAsia="Calibri" w:cs="Arial"/>
        </w:rPr>
      </w:pPr>
    </w:p>
    <w:p>
      <w:pPr>
        <w:snapToGrid w:val="0"/>
        <w:ind w:right="38" w:rightChars="16" w:firstLine="709"/>
        <w:jc w:val="both"/>
        <w:rPr>
          <w:rFonts w:ascii="Arial" w:hAnsi="Arial" w:eastAsia="Calibri" w:cs="Arial"/>
        </w:rPr>
      </w:pPr>
      <w:r>
        <w:rPr>
          <w:rFonts w:ascii="Arial" w:hAnsi="Arial" w:eastAsia="Calibri" w:cs="Arial"/>
          <w:b/>
          <w:szCs w:val="24"/>
        </w:rPr>
        <w:t>12.10.5.</w:t>
      </w:r>
      <w:r>
        <w:rPr>
          <w:rFonts w:ascii="Arial" w:hAnsi="Arial" w:eastAsia="Calibri" w:cs="Arial"/>
          <w:b/>
          <w:bCs/>
        </w:rPr>
        <w:t>1</w:t>
      </w:r>
      <w:r>
        <w:rPr>
          <w:rFonts w:ascii="Arial" w:hAnsi="Arial" w:eastAsia="Calibri" w:cs="Arial"/>
        </w:rPr>
        <w:t xml:space="preserve"> Engenheiro Sanitarista e/ou Engenheiro Ambiental, (por execução de </w:t>
      </w:r>
      <w:r>
        <w:rPr>
          <w:rFonts w:ascii="Arial" w:hAnsi="Arial" w:eastAsia="Calibri" w:cs="Arial"/>
        </w:rPr>
        <w:tab/>
      </w:r>
      <w:r>
        <w:rPr>
          <w:rFonts w:ascii="Arial" w:hAnsi="Arial" w:eastAsia="Calibri" w:cs="Arial"/>
        </w:rPr>
        <w:t>serviços de coleta, transporte dos resíduos);</w:t>
      </w:r>
    </w:p>
    <w:p>
      <w:pPr>
        <w:snapToGrid w:val="0"/>
        <w:ind w:right="38" w:rightChars="16" w:firstLine="709"/>
        <w:jc w:val="both"/>
        <w:rPr>
          <w:rFonts w:ascii="Arial" w:hAnsi="Arial" w:eastAsia="Calibri" w:cs="Arial"/>
        </w:rPr>
      </w:pPr>
      <w:r>
        <w:rPr>
          <w:rFonts w:ascii="Arial" w:hAnsi="Arial" w:eastAsia="Calibri" w:cs="Arial"/>
          <w:b/>
          <w:szCs w:val="24"/>
        </w:rPr>
        <w:t>12.10.5.</w:t>
      </w:r>
      <w:r>
        <w:rPr>
          <w:rFonts w:ascii="Arial" w:hAnsi="Arial" w:eastAsia="Calibri" w:cs="Arial"/>
          <w:b/>
          <w:bCs/>
        </w:rPr>
        <w:t>2.</w:t>
      </w:r>
      <w:r>
        <w:rPr>
          <w:rFonts w:ascii="Arial" w:hAnsi="Arial" w:eastAsia="Calibri" w:cs="Arial"/>
        </w:rPr>
        <w:t xml:space="preserve"> Engenheiro de Segurança no Trabalho;</w:t>
      </w:r>
    </w:p>
    <w:p>
      <w:pPr>
        <w:pStyle w:val="103"/>
        <w:snapToGrid w:val="0"/>
        <w:ind w:right="38" w:rightChars="16" w:firstLine="0"/>
        <w:jc w:val="both"/>
        <w:rPr>
          <w:rFonts w:ascii="Arial" w:hAnsi="Arial" w:eastAsia="Calibri" w:cs="Arial"/>
        </w:rPr>
      </w:pPr>
      <w:r>
        <w:rPr>
          <w:rFonts w:ascii="Arial" w:hAnsi="Arial" w:eastAsia="Calibri" w:cs="Arial"/>
          <w:b/>
          <w:szCs w:val="24"/>
        </w:rPr>
        <w:t>12.10.5.</w:t>
      </w:r>
      <w:r>
        <w:rPr>
          <w:rFonts w:ascii="Arial" w:hAnsi="Arial" w:eastAsia="Calibri" w:cs="Arial"/>
          <w:b/>
          <w:bCs/>
        </w:rPr>
        <w:t>3</w:t>
      </w:r>
      <w:r>
        <w:rPr>
          <w:rFonts w:ascii="Arial" w:hAnsi="Arial" w:eastAsia="Calibri" w:cs="Arial"/>
        </w:rPr>
        <w:t>. É vedada a indicação de um mesmo profissional como responsável técnico por mais de uma empresa proponente, fato este que inabilitará todas as envolvidas;</w:t>
      </w:r>
    </w:p>
    <w:p>
      <w:pPr>
        <w:pStyle w:val="103"/>
        <w:snapToGrid w:val="0"/>
        <w:ind w:left="719" w:leftChars="295" w:right="38" w:rightChars="16" w:hanging="11"/>
        <w:jc w:val="both"/>
        <w:rPr>
          <w:rFonts w:ascii="Arial" w:hAnsi="Arial" w:eastAsia="Calibri" w:cs="Arial"/>
        </w:rPr>
      </w:pPr>
      <w:r>
        <w:rPr>
          <w:rFonts w:ascii="Arial" w:hAnsi="Arial" w:eastAsia="Calibri" w:cs="Arial"/>
          <w:b/>
          <w:szCs w:val="24"/>
        </w:rPr>
        <w:t>12.10.5</w:t>
      </w:r>
      <w:r>
        <w:rPr>
          <w:rFonts w:ascii="Arial" w:hAnsi="Arial" w:eastAsia="Calibri" w:cs="Arial"/>
          <w:b/>
          <w:bCs/>
        </w:rPr>
        <w:t>.4.</w:t>
      </w:r>
      <w:r>
        <w:rPr>
          <w:rFonts w:ascii="Arial" w:hAnsi="Arial" w:eastAsia="Calibri" w:cs="Arial"/>
        </w:rPr>
        <w:t xml:space="preserve"> Não será permitida a substituição do responsável técnico da empresa, sem previa autorização da administração e sem comprovação de capacitação técnica compatível com as exigências editalícias.</w:t>
      </w:r>
    </w:p>
    <w:p>
      <w:pPr>
        <w:pStyle w:val="103"/>
        <w:snapToGrid w:val="0"/>
        <w:ind w:left="719" w:leftChars="295" w:right="38" w:rightChars="16" w:hanging="11"/>
        <w:jc w:val="both"/>
        <w:rPr>
          <w:rFonts w:ascii="Arial" w:hAnsi="Arial" w:eastAsia="Calibri" w:cs="Arial"/>
        </w:rPr>
      </w:pPr>
      <w:r>
        <w:rPr>
          <w:rFonts w:ascii="Arial" w:hAnsi="Arial" w:eastAsia="Calibri" w:cs="Arial"/>
          <w:b/>
          <w:szCs w:val="24"/>
        </w:rPr>
        <w:t>12.</w:t>
      </w:r>
      <w:r>
        <w:rPr>
          <w:rFonts w:ascii="Arial" w:hAnsi="Arial" w:eastAsia="Calibri" w:cs="Arial"/>
          <w:b/>
          <w:bCs w:val="0"/>
        </w:rPr>
        <w:t>10.5.5.</w:t>
      </w:r>
      <w:r>
        <w:rPr>
          <w:rFonts w:ascii="Arial" w:hAnsi="Arial" w:eastAsia="Calibri" w:cs="Arial"/>
        </w:rPr>
        <w:t xml:space="preserve"> Os profissionais elencados são previstos no orçamento como Coordenador de Coleta Sr./UTR</w:t>
      </w:r>
    </w:p>
    <w:p>
      <w:pPr>
        <w:pStyle w:val="103"/>
        <w:snapToGrid w:val="0"/>
        <w:ind w:right="38" w:rightChars="16" w:hanging="4"/>
        <w:jc w:val="both"/>
        <w:rPr>
          <w:rFonts w:ascii="Arial" w:hAnsi="Arial" w:eastAsia="Calibri" w:cs="Arial"/>
        </w:rPr>
      </w:pPr>
    </w:p>
    <w:p>
      <w:pPr>
        <w:snapToGrid w:val="0"/>
        <w:ind w:right="38" w:rightChars="16"/>
        <w:jc w:val="both"/>
        <w:rPr>
          <w:rFonts w:ascii="Arial" w:hAnsi="Arial" w:eastAsia="Calibri" w:cs="Arial"/>
        </w:rPr>
      </w:pPr>
      <w:r>
        <w:rPr>
          <w:rFonts w:ascii="Arial" w:hAnsi="Arial" w:eastAsia="Calibri" w:cs="Arial"/>
          <w:b/>
          <w:szCs w:val="24"/>
        </w:rPr>
        <w:t>12.10.6.</w:t>
      </w:r>
      <w:r>
        <w:rPr>
          <w:rFonts w:ascii="Arial" w:hAnsi="Arial" w:eastAsia="Calibri" w:cs="Arial"/>
        </w:rPr>
        <w:t xml:space="preserve">Licença de operação, em plena vigência, do empreendimento, </w:t>
      </w:r>
      <w:r>
        <w:rPr>
          <w:rFonts w:ascii="Arial" w:hAnsi="Arial" w:eastAsia="Calibri" w:cs="Arial"/>
          <w:lang w:val="pt-BR"/>
        </w:rPr>
        <w:t>q</w:t>
      </w:r>
      <w:r>
        <w:rPr>
          <w:rFonts w:hint="default" w:ascii="Arial" w:hAnsi="Arial" w:eastAsia="Calibri" w:cs="Arial"/>
          <w:lang w:val="pt-BR"/>
        </w:rPr>
        <w:t>ue receberá os resíduos</w:t>
      </w:r>
      <w:r>
        <w:rPr>
          <w:rFonts w:ascii="Arial" w:hAnsi="Arial" w:eastAsia="Calibri" w:cs="Arial"/>
        </w:rPr>
        <w:t xml:space="preserve">, emitida por órgão ambiental, que demonstre a capacidade de receber resíduos da construção civil e os rejeitos provenientes da triagem dos resíduos secos (resíduos classe II). </w:t>
      </w:r>
    </w:p>
    <w:p>
      <w:pPr>
        <w:snapToGrid w:val="0"/>
        <w:ind w:left="709" w:right="38" w:rightChars="16" w:hanging="4"/>
        <w:jc w:val="both"/>
        <w:rPr>
          <w:rFonts w:ascii="Arial" w:hAnsi="Arial" w:eastAsia="Calibri" w:cs="Arial"/>
        </w:rPr>
      </w:pPr>
      <w:r>
        <w:rPr>
          <w:rFonts w:ascii="Arial" w:hAnsi="Arial" w:eastAsia="Calibri" w:cs="Arial"/>
          <w:b/>
          <w:bCs/>
        </w:rPr>
        <w:t>12.10.6.1.</w:t>
      </w:r>
      <w:r>
        <w:rPr>
          <w:rFonts w:ascii="Arial" w:hAnsi="Arial" w:eastAsia="Calibri" w:cs="Arial"/>
        </w:rPr>
        <w:t xml:space="preserve"> Justifica-se a necessidade da licença de operação em nome da licitante de unidade para disposição final ambientalmente adequada dos resíduos da construção civil e rejeitos provenientes da triagem dos resíduos devido a inexistência de local adequado para recebimento destes materiais no município, sendo a empresa licitante responsável pelo recebimento do mesmo.</w:t>
      </w:r>
    </w:p>
    <w:p>
      <w:pPr>
        <w:snapToGrid w:val="0"/>
        <w:ind w:left="709" w:right="38" w:rightChars="16" w:hanging="4"/>
        <w:jc w:val="both"/>
        <w:rPr>
          <w:rFonts w:hint="default" w:ascii="Arial" w:hAnsi="Arial" w:eastAsia="Calibri" w:cs="Arial"/>
          <w:lang w:val="pt-BR"/>
        </w:rPr>
      </w:pPr>
      <w:r>
        <w:rPr>
          <w:rFonts w:hint="default" w:ascii="Arial" w:hAnsi="Arial" w:eastAsia="Calibri" w:cs="Arial"/>
          <w:lang w:val="pt-BR"/>
        </w:rPr>
        <w:t>12.10.6.2. Caso o aterro sanitário não esteja no nome da empresa licitante, deverá ser apresentado contrato entre a licitante e a empresa responsável pelo aterro sanitário ou documento equivalente que o mesmo ap[rove o recebimento dos resíduos no aterro sanitário.</w:t>
      </w:r>
    </w:p>
    <w:p>
      <w:pPr>
        <w:snapToGrid w:val="0"/>
        <w:ind w:left="709" w:right="38" w:rightChars="16" w:hanging="4"/>
        <w:jc w:val="both"/>
        <w:rPr>
          <w:rFonts w:ascii="Arial" w:hAnsi="Arial" w:eastAsia="Calibri" w:cs="Arial"/>
          <w:lang w:val="pt-BR"/>
        </w:rPr>
      </w:pPr>
    </w:p>
    <w:p>
      <w:pPr>
        <w:snapToGrid w:val="0"/>
        <w:ind w:right="38" w:rightChars="16" w:hanging="4"/>
        <w:jc w:val="both"/>
        <w:rPr>
          <w:rFonts w:ascii="Arial" w:hAnsi="Arial" w:eastAsia="Calibri" w:cs="Arial"/>
        </w:rPr>
      </w:pPr>
      <w:r>
        <w:rPr>
          <w:rFonts w:ascii="Arial" w:hAnsi="Arial" w:eastAsia="Calibri" w:cs="Arial"/>
          <w:b/>
          <w:szCs w:val="24"/>
        </w:rPr>
        <w:t>12.10.7.</w:t>
      </w:r>
      <w:r>
        <w:rPr>
          <w:rFonts w:ascii="Arial" w:hAnsi="Arial" w:eastAsia="Calibri" w:cs="Arial"/>
        </w:rPr>
        <w:t>A empresa vencedora deverá disponibilizar o(s) veículo(s) dentro das normas do CTB (Código de Trânsito Brasileiro), para a realização de vistoria da Secretaria Municipal de Agricultura e Meio Ambiente em conjunto com a CMTU (Coordenadoria Municipal de Trânsito Urbano). A vistoria poderá ser agendada pelo contato (66) 3498-1730 ou (66) 3498-7568. O local a ser realizado a vistoria é: Rua do Comércio, 2333 - Setor Industrial, Primavera do Leste - MT, 78850-000. O laudo de vistoria deverá ser entregue no Setor de Licitações no momento da assinatura da Ata de Registro de Preço ou Contrato.</w:t>
      </w:r>
    </w:p>
    <w:p>
      <w:pPr>
        <w:snapToGrid w:val="0"/>
        <w:ind w:right="38" w:rightChars="16" w:hanging="4"/>
        <w:jc w:val="both"/>
        <w:rPr>
          <w:rFonts w:ascii="Arial" w:hAnsi="Arial" w:eastAsia="Calibri" w:cs="Arial"/>
        </w:rPr>
      </w:pPr>
    </w:p>
    <w:p>
      <w:pPr>
        <w:snapToGrid w:val="0"/>
        <w:ind w:left="709" w:right="38" w:rightChars="16" w:hanging="4"/>
        <w:jc w:val="both"/>
        <w:rPr>
          <w:rFonts w:ascii="Arial" w:hAnsi="Arial" w:eastAsia="Calibri" w:cs="Arial"/>
        </w:rPr>
      </w:pPr>
      <w:r>
        <w:rPr>
          <w:rFonts w:ascii="Arial" w:hAnsi="Arial" w:eastAsia="Calibri" w:cs="Arial"/>
          <w:b/>
          <w:bCs/>
        </w:rPr>
        <w:t>12.10.7.1.</w:t>
      </w:r>
      <w:r>
        <w:rPr>
          <w:rFonts w:ascii="Arial" w:hAnsi="Arial" w:eastAsia="Calibri" w:cs="Arial"/>
        </w:rPr>
        <w:t xml:space="preserve"> Os veículos, ao longo do contrato, devem apresentar ótimo condições de operação e estanques, com ano de fabricação não inferir a 2021, evitando possível vazamento dos líquidos gerados pela compactação. Sob pena de inabilitação. </w:t>
      </w:r>
    </w:p>
    <w:p>
      <w:pPr>
        <w:pStyle w:val="103"/>
        <w:snapToGrid w:val="0"/>
        <w:ind w:left="0" w:right="38" w:rightChars="16" w:hanging="4"/>
        <w:jc w:val="both"/>
        <w:rPr>
          <w:rFonts w:ascii="Arial" w:hAnsi="Arial" w:eastAsia="Calibri" w:cs="Arial"/>
        </w:rPr>
      </w:pPr>
    </w:p>
    <w:p>
      <w:pPr>
        <w:pStyle w:val="103"/>
        <w:snapToGrid w:val="0"/>
        <w:ind w:left="0" w:right="38" w:rightChars="16" w:hanging="4"/>
        <w:jc w:val="both"/>
        <w:rPr>
          <w:rFonts w:ascii="Arial" w:hAnsi="Arial" w:eastAsia="Calibri" w:cs="Arial"/>
        </w:rPr>
      </w:pPr>
      <w:r>
        <w:rPr>
          <w:rFonts w:ascii="Arial" w:hAnsi="Arial" w:eastAsia="Calibri" w:cs="Arial"/>
          <w:b/>
          <w:szCs w:val="24"/>
        </w:rPr>
        <w:t>12.10.8.</w:t>
      </w:r>
      <w:r>
        <w:rPr>
          <w:rFonts w:ascii="Arial" w:hAnsi="Arial" w:eastAsia="Calibri" w:cs="Arial"/>
        </w:rPr>
        <w:t xml:space="preserve"> </w:t>
      </w:r>
      <w:r>
        <w:rPr>
          <w:rFonts w:ascii="Arial" w:hAnsi="Arial" w:eastAsia="Calibri" w:cs="Arial"/>
          <w:b/>
          <w:bCs/>
        </w:rPr>
        <w:t>Habilitação Técnico Profissional</w:t>
      </w:r>
    </w:p>
    <w:p>
      <w:pPr>
        <w:pStyle w:val="103"/>
        <w:snapToGrid w:val="0"/>
        <w:ind w:left="709" w:right="38" w:rightChars="16" w:firstLine="0"/>
        <w:jc w:val="both"/>
        <w:rPr>
          <w:rFonts w:hint="default" w:ascii="Arial" w:hAnsi="Arial" w:eastAsia="Calibri" w:cs="Arial"/>
          <w:lang w:val="pt-BR"/>
        </w:rPr>
      </w:pPr>
      <w:r>
        <w:rPr>
          <w:rFonts w:ascii="Arial" w:hAnsi="Arial" w:eastAsia="Calibri" w:cs="Arial"/>
          <w:b/>
          <w:szCs w:val="24"/>
        </w:rPr>
        <w:t>12.10.8.</w:t>
      </w:r>
      <w:r>
        <w:rPr>
          <w:rFonts w:ascii="Arial" w:hAnsi="Arial" w:eastAsia="Calibri" w:cs="Arial"/>
          <w:b/>
          <w:bCs/>
        </w:rPr>
        <w:t>1</w:t>
      </w:r>
      <w:r>
        <w:rPr>
          <w:rFonts w:ascii="Arial" w:hAnsi="Arial" w:eastAsia="Calibri" w:cs="Arial"/>
        </w:rPr>
        <w:t>. REGISTRO DO RESPONSÁVEL TÉCNICO no Conselho Regional de Engenharia e Agronomia – CREA com jurisdição sobre o domicílio da sede do licitante com a indicação do objeto social compatível com o objeto desta licitação, válido  na data prevista para a assinatura da Ata de Registro de Preço ou Contrato, vinculado a licitante e registrado no Conselho Profissional Competente, detentor de atestado de responsabilidade técnica, acompanhado da Certidão de Acervo Técnico - CAT, por execução de serviços de características semelhantes</w:t>
      </w:r>
      <w:r>
        <w:rPr>
          <w:rFonts w:hint="default" w:ascii="Arial" w:hAnsi="Arial" w:eastAsia="Calibri" w:cs="Arial"/>
          <w:lang w:val="pt-BR"/>
        </w:rPr>
        <w:t>.</w:t>
      </w:r>
    </w:p>
    <w:p>
      <w:pPr>
        <w:pStyle w:val="103"/>
        <w:snapToGrid w:val="0"/>
        <w:ind w:left="709" w:right="38" w:rightChars="16" w:firstLine="0"/>
        <w:jc w:val="both"/>
        <w:rPr>
          <w:rFonts w:ascii="Arial" w:hAnsi="Arial" w:eastAsia="Calibri" w:cs="Arial"/>
        </w:rPr>
      </w:pPr>
      <w:r>
        <w:rPr>
          <w:rFonts w:ascii="Arial" w:hAnsi="Arial" w:eastAsia="Calibri" w:cs="Arial"/>
          <w:b/>
          <w:bCs/>
        </w:rPr>
        <w:t>12.10.8.2.</w:t>
      </w:r>
      <w:r>
        <w:rPr>
          <w:rFonts w:ascii="Arial" w:hAnsi="Arial" w:eastAsia="Calibri" w:cs="Arial"/>
        </w:rPr>
        <w:t xml:space="preserve"> Certidão de acervo Técnico - CAT deverá referir-se as atividades técnicas que façam parte das atribuições legais do profissional.</w:t>
      </w:r>
    </w:p>
    <w:p>
      <w:pPr>
        <w:snapToGrid w:val="0"/>
        <w:ind w:left="719" w:leftChars="295" w:right="38" w:rightChars="16" w:hanging="11"/>
        <w:jc w:val="both"/>
        <w:rPr>
          <w:rFonts w:ascii="Arial" w:hAnsi="Arial" w:eastAsia="Calibri" w:cs="Arial"/>
        </w:rPr>
      </w:pPr>
      <w:r>
        <w:rPr>
          <w:rFonts w:ascii="Arial" w:hAnsi="Arial" w:eastAsia="Calibri" w:cs="Arial"/>
          <w:b/>
          <w:szCs w:val="24"/>
        </w:rPr>
        <w:t>12.10.9.</w:t>
      </w:r>
      <w:r>
        <w:rPr>
          <w:rFonts w:ascii="Arial" w:hAnsi="Arial" w:eastAsia="Calibri" w:cs="Arial"/>
        </w:rPr>
        <w:t xml:space="preserve"> Os responsáveis técnicos deverão pertencer ao quadro técnico da empresa e para fins de quadro permanente, deverá apresentar na data prevista para entrega da proposta, entendendo-se como tal, para fins deste certame: </w:t>
      </w:r>
    </w:p>
    <w:p>
      <w:pPr>
        <w:snapToGrid w:val="0"/>
        <w:ind w:left="709" w:right="38" w:rightChars="16" w:firstLine="709"/>
        <w:jc w:val="both"/>
        <w:rPr>
          <w:rFonts w:ascii="Arial" w:hAnsi="Arial" w:eastAsia="Calibri" w:cs="Arial"/>
        </w:rPr>
      </w:pPr>
      <w:r>
        <w:rPr>
          <w:rFonts w:ascii="Arial" w:hAnsi="Arial" w:eastAsia="Calibri" w:cs="Arial"/>
          <w:b/>
          <w:szCs w:val="24"/>
        </w:rPr>
        <w:t xml:space="preserve">12.10.9.1. </w:t>
      </w:r>
      <w:r>
        <w:rPr>
          <w:rFonts w:ascii="Arial" w:hAnsi="Arial" w:eastAsia="Calibri" w:cs="Arial"/>
        </w:rPr>
        <w:t>Vinculação dos profissionais constante será caracterizada através do vínculo empregatício, participação societária ou por meio de contrato de prestação de serviços.</w:t>
      </w:r>
    </w:p>
    <w:p>
      <w:pPr>
        <w:snapToGrid w:val="0"/>
        <w:ind w:left="709" w:right="38" w:rightChars="16" w:firstLine="709"/>
        <w:jc w:val="both"/>
        <w:rPr>
          <w:rFonts w:ascii="Arial" w:hAnsi="Arial" w:eastAsia="Calibri" w:cs="Arial"/>
        </w:rPr>
      </w:pPr>
      <w:r>
        <w:rPr>
          <w:rFonts w:ascii="Arial" w:hAnsi="Arial" w:eastAsia="Calibri" w:cs="Arial"/>
          <w:b/>
          <w:szCs w:val="24"/>
        </w:rPr>
        <w:t xml:space="preserve">12.10.9.2. </w:t>
      </w:r>
      <w:r>
        <w:rPr>
          <w:rFonts w:ascii="Arial" w:hAnsi="Arial" w:eastAsia="Calibri" w:cs="Arial"/>
        </w:rPr>
        <w:t>O vínculo empregatício será comprovado mediante anexação de cópia da carteira profissional de trabalho - CTPS e da FRE - Ficha de Registro de Empregados, que demonstre a identificação do profissional e guia de recolhimento do FGTS onde conste o nome do profissional.</w:t>
      </w:r>
    </w:p>
    <w:p>
      <w:pPr>
        <w:snapToGrid w:val="0"/>
        <w:ind w:left="709" w:right="38" w:rightChars="16" w:firstLine="709"/>
        <w:jc w:val="both"/>
        <w:rPr>
          <w:rFonts w:ascii="Arial" w:hAnsi="Arial" w:eastAsia="Calibri" w:cs="Arial"/>
        </w:rPr>
      </w:pPr>
      <w:r>
        <w:rPr>
          <w:rFonts w:ascii="Arial" w:hAnsi="Arial" w:eastAsia="Calibri" w:cs="Arial"/>
          <w:b/>
          <w:szCs w:val="24"/>
        </w:rPr>
        <w:t>12.10.9.3.</w:t>
      </w:r>
      <w:r>
        <w:rPr>
          <w:rFonts w:ascii="Arial" w:hAnsi="Arial" w:eastAsia="Calibri" w:cs="Arial"/>
        </w:rPr>
        <w:t xml:space="preserve">A participação societária será comprovada por meio da última alteração do contrato social realizada ou por meio do Contrato social </w:t>
      </w:r>
      <w:r>
        <w:rPr>
          <w:rFonts w:ascii="Arial" w:hAnsi="Arial" w:eastAsia="Calibri" w:cs="Arial"/>
        </w:rPr>
        <w:tab/>
      </w:r>
      <w:r>
        <w:rPr>
          <w:rFonts w:ascii="Arial" w:hAnsi="Arial" w:eastAsia="Calibri" w:cs="Arial"/>
        </w:rPr>
        <w:t>consolidado.</w:t>
      </w:r>
    </w:p>
    <w:p>
      <w:pPr>
        <w:snapToGrid w:val="0"/>
        <w:ind w:left="709" w:right="38" w:rightChars="16" w:firstLine="709"/>
        <w:jc w:val="both"/>
        <w:rPr>
          <w:rFonts w:ascii="Arial" w:hAnsi="Arial" w:eastAsia="Calibri" w:cs="Arial"/>
        </w:rPr>
      </w:pPr>
      <w:r>
        <w:rPr>
          <w:rFonts w:ascii="Arial" w:hAnsi="Arial" w:eastAsia="Calibri" w:cs="Arial"/>
          <w:b/>
          <w:szCs w:val="24"/>
        </w:rPr>
        <w:t xml:space="preserve">12.10.9.4. </w:t>
      </w:r>
      <w:r>
        <w:rPr>
          <w:rFonts w:ascii="Arial" w:hAnsi="Arial" w:eastAsia="Calibri" w:cs="Arial"/>
        </w:rPr>
        <w:t>O contrato de prestação de serviços a que se refere o subitem 12.10.9.1., deverá ser apresentado de acordo com a legislação comum, com firma reconhecida do contratante e contratado e ter vigência temporal até a entrega do objeto da licitação à Administração Pública.</w:t>
      </w:r>
    </w:p>
    <w:p>
      <w:pPr>
        <w:pStyle w:val="103"/>
        <w:snapToGrid w:val="0"/>
        <w:ind w:left="0" w:right="38" w:rightChars="16" w:firstLine="0"/>
        <w:jc w:val="both"/>
        <w:rPr>
          <w:rFonts w:ascii="Arial" w:hAnsi="Arial" w:eastAsia="Calibri" w:cs="Arial"/>
        </w:rPr>
      </w:pPr>
      <w:r>
        <w:rPr>
          <w:rFonts w:ascii="Arial" w:hAnsi="Arial" w:eastAsia="Calibri" w:cs="Arial"/>
          <w:b/>
          <w:szCs w:val="24"/>
        </w:rPr>
        <w:t>12.10.10.</w:t>
      </w:r>
      <w:r>
        <w:rPr>
          <w:rFonts w:ascii="Arial" w:hAnsi="Arial" w:eastAsia="Calibri" w:cs="Arial"/>
          <w:b w:val="0"/>
          <w:bCs/>
          <w:szCs w:val="24"/>
        </w:rPr>
        <w:t xml:space="preserve"> Declaração da disponibilidade de relação de veículos e equipamentos necessários ao desempenho das atividades solicitadas e que apresentará os documentos necessários para comprovação da disponibilidade dos mesmos na assinatura da Ata de Registro de Preços</w:t>
      </w:r>
      <w:r>
        <w:rPr>
          <w:rFonts w:ascii="Arial" w:hAnsi="Arial" w:eastAsia="Calibri" w:cs="Arial"/>
        </w:rPr>
        <w:t>. Os equipamentos coletores, compactadores, ao longo do contrato, devem apresentar se em ótimas condições de operação e estanques, com ano de fabricação não inferior a 2021, evitando possível vazamento dos líquidos gerados pela compactação;</w:t>
      </w:r>
    </w:p>
    <w:p>
      <w:pPr>
        <w:pStyle w:val="103"/>
        <w:snapToGrid w:val="0"/>
        <w:ind w:left="0" w:right="38" w:rightChars="16" w:firstLine="0"/>
        <w:jc w:val="both"/>
        <w:rPr>
          <w:rFonts w:ascii="Arial" w:hAnsi="Arial" w:eastAsia="Calibri" w:cs="Arial"/>
        </w:rPr>
      </w:pPr>
      <w:r>
        <w:rPr>
          <w:rFonts w:ascii="Arial" w:hAnsi="Arial" w:eastAsia="Calibri" w:cs="Arial"/>
          <w:b/>
          <w:szCs w:val="24"/>
        </w:rPr>
        <w:t>12.10.</w:t>
      </w:r>
      <w:r>
        <w:rPr>
          <w:rFonts w:ascii="Arial" w:hAnsi="Arial" w:eastAsia="Calibri" w:cs="Arial"/>
          <w:b/>
          <w:bCs/>
        </w:rPr>
        <w:t>11.</w:t>
      </w:r>
      <w:r>
        <w:rPr>
          <w:rFonts w:ascii="Arial" w:hAnsi="Arial" w:eastAsia="Calibri" w:cs="Arial"/>
        </w:rPr>
        <w:t xml:space="preserve"> Planilha detalhada para os cargos para as categorias, conforme Termo de Referência, Acordos e Convenções Coletivas e demais normas regulamentadores que regem os salários/remuneração das respectivas categorias;</w:t>
      </w:r>
    </w:p>
    <w:p>
      <w:pPr>
        <w:pStyle w:val="103"/>
        <w:snapToGrid w:val="0"/>
        <w:ind w:left="0" w:right="38" w:rightChars="16" w:firstLine="0"/>
        <w:jc w:val="both"/>
        <w:rPr>
          <w:rFonts w:ascii="Arial" w:hAnsi="Arial" w:eastAsia="Calibri" w:cs="Arial"/>
        </w:rPr>
      </w:pPr>
      <w:r>
        <w:rPr>
          <w:rFonts w:ascii="Arial" w:hAnsi="Arial" w:eastAsia="Calibri" w:cs="Arial"/>
          <w:b/>
          <w:szCs w:val="24"/>
        </w:rPr>
        <w:t>12.10.</w:t>
      </w:r>
      <w:r>
        <w:rPr>
          <w:rFonts w:ascii="Arial" w:hAnsi="Arial" w:eastAsia="Calibri" w:cs="Arial"/>
          <w:b/>
          <w:bCs/>
        </w:rPr>
        <w:t>12.</w:t>
      </w:r>
      <w:r>
        <w:rPr>
          <w:rFonts w:ascii="Arial" w:hAnsi="Arial" w:eastAsia="Calibri" w:cs="Arial"/>
        </w:rPr>
        <w:t xml:space="preserve"> Relação de equipamentos, máquinas e instalações, acompanhada de declaração da Licitante de disponibilização dos equipamentos, máquinas e instalações já na fase de Habilitação. A relação mínima de equipamentos, máquinas e instalações deverão observar o descrito no projeto básico – Anexo I deste Edital, devendo constar em Planilhas de Composição de Custo.</w:t>
      </w:r>
    </w:p>
    <w:p>
      <w:pPr>
        <w:pStyle w:val="103"/>
        <w:snapToGrid w:val="0"/>
        <w:ind w:left="0" w:right="38" w:rightChars="16" w:firstLine="0"/>
        <w:jc w:val="both"/>
        <w:rPr>
          <w:rFonts w:ascii="Arial" w:hAnsi="Arial" w:eastAsia="Calibri" w:cs="Arial"/>
        </w:rPr>
      </w:pPr>
    </w:p>
    <w:p>
      <w:pPr>
        <w:pStyle w:val="103"/>
        <w:snapToGrid w:val="0"/>
        <w:ind w:left="0" w:right="38" w:rightChars="16" w:hanging="4"/>
        <w:jc w:val="both"/>
        <w:rPr>
          <w:rFonts w:ascii="Arial" w:hAnsi="Arial" w:eastAsia="Calibri" w:cs="Arial"/>
          <w:b/>
          <w:bCs/>
        </w:rPr>
      </w:pPr>
      <w:r>
        <w:rPr>
          <w:rFonts w:ascii="Arial" w:hAnsi="Arial" w:eastAsia="Calibri" w:cs="Arial"/>
          <w:b/>
          <w:szCs w:val="24"/>
        </w:rPr>
        <w:t>12.11.</w:t>
      </w:r>
      <w:r>
        <w:rPr>
          <w:rFonts w:ascii="Arial" w:hAnsi="Arial" w:eastAsia="Calibri" w:cs="Arial"/>
          <w:b/>
          <w:bCs/>
        </w:rPr>
        <w:t xml:space="preserve"> Da realização de visita técnica: (facultativa e não-obrigatória)</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12.11.1. </w:t>
      </w:r>
      <w:r>
        <w:rPr>
          <w:rFonts w:ascii="Arial" w:hAnsi="Arial" w:eastAsia="Calibri" w:cs="Arial"/>
        </w:rPr>
        <w:t>Os interessados poderão procurar a Secretaria Municipal de Agricultura e Meio Ambiente, em dia de expediente, no horário compreendido entre das 07h00min às 11h00min e das 13h00min às 17h00min, para agendar a realização da visita técnica, a fim de constatar as condições e peculiaridades inerentes à natureza do objeto licitado, sobretudo, das dificuldades de ordem técnica à sua execução.</w:t>
      </w:r>
    </w:p>
    <w:p>
      <w:pPr>
        <w:pStyle w:val="103"/>
        <w:snapToGrid w:val="0"/>
        <w:ind w:left="0" w:right="38" w:rightChars="16" w:hanging="4"/>
        <w:jc w:val="both"/>
        <w:rPr>
          <w:rFonts w:ascii="Arial" w:hAnsi="Arial" w:eastAsia="Calibri" w:cs="Arial"/>
        </w:rPr>
      </w:pPr>
      <w:r>
        <w:rPr>
          <w:rFonts w:ascii="Arial" w:hAnsi="Arial" w:eastAsia="Calibri" w:cs="Arial"/>
          <w:b/>
          <w:szCs w:val="24"/>
        </w:rPr>
        <w:t>12.11.2.</w:t>
      </w:r>
      <w:r>
        <w:rPr>
          <w:rFonts w:ascii="Arial" w:hAnsi="Arial" w:eastAsia="Calibri" w:cs="Arial"/>
        </w:rPr>
        <w:t xml:space="preserve"> O agendamento da visita técnica deverá ser realizado previamente, com no mínimo 24h (vinte e quatro horas) de antecedência à data designada para a sessão pública de abertura da presente licitação, através de contato com a Secretaria Municipal de Agricultura e Meio Ambiente.</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12.11.3. </w:t>
      </w:r>
      <w:r>
        <w:rPr>
          <w:rFonts w:ascii="Arial" w:hAnsi="Arial" w:eastAsia="Calibri" w:cs="Arial"/>
        </w:rPr>
        <w:t>Para cumprimento da visita técnica, o representante da empresa interessada, preferencialmente, por intermédio de integrante do seu quadro de Responsáveis Técnicos (RT), deverá apresentar-se munido de documento oficial de identificação pessoal, assim como, declaração e/ou equivalente, indicando-o ou autorizando-o a representá-la perante a visita.</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12.11.4. </w:t>
      </w:r>
      <w:r>
        <w:rPr>
          <w:rFonts w:ascii="Arial" w:hAnsi="Arial" w:eastAsia="Calibri" w:cs="Arial"/>
        </w:rPr>
        <w:t>A interessada tem o direito à visita técnica de forma prévia, de caráter facultativo e não obrigatório, porém, deverá decidir se arcará com o ônus de tal operação, ou, assumirá o risco de uma avaliação menos acurada para elaboração de sua proposta, ficando assim entendido que correrão por sua conta e risco quaisquer despesas necessárias à realização da presente visita.</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12.11.5. </w:t>
      </w:r>
      <w:r>
        <w:rPr>
          <w:rFonts w:ascii="Arial" w:hAnsi="Arial" w:eastAsia="Calibri" w:cs="Arial"/>
        </w:rPr>
        <w:t>A interessada que optar pela não-realização da visita técnica, casual de sua participação na presente licitação, deverá apresentar junto ao ENVELOPE N° 02 (documentos de habilitação), declaração expressa da abstenção de realizá-la, bem como assumindo risco de desclassificação de proposta e planilha de custo por não atender o objeto, firmando completa aceitação do objeto, na conformidade do Edital e seus anexos.</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12.11.6. </w:t>
      </w:r>
      <w:r>
        <w:rPr>
          <w:rFonts w:ascii="Arial" w:hAnsi="Arial" w:eastAsia="Calibri" w:cs="Arial"/>
        </w:rPr>
        <w:t>A interessada que decidir pela não-realização da visita técnica e, eventualmente subestimar sua proposta, estará incorrendo em risco típico do seu negócio, bem como assumindo o risco de desclassificação da proposta e planilha de custo, não podendo futuramente opô-lo contra a Administração Municipal, para eximir-se de qualquer obrigação assumida, caso venha a ser vencedora no presente certame, ou mesmo, para qualquer pretensão em rever os termos do instrumento contratual que advir, ressalvado aqueles de direito, na forma da Lei.</w:t>
      </w:r>
    </w:p>
    <w:p>
      <w:pPr>
        <w:pStyle w:val="103"/>
        <w:snapToGrid w:val="0"/>
        <w:ind w:left="709" w:right="38" w:rightChars="16" w:hanging="4"/>
        <w:jc w:val="both"/>
        <w:rPr>
          <w:rFonts w:ascii="Arial" w:hAnsi="Arial" w:eastAsia="Calibri" w:cs="Arial"/>
        </w:rPr>
      </w:pPr>
      <w:r>
        <w:rPr>
          <w:rFonts w:ascii="Arial" w:hAnsi="Arial" w:eastAsia="Calibri" w:cs="Arial"/>
        </w:rPr>
        <w:t>I.</w:t>
      </w:r>
      <w:r>
        <w:rPr>
          <w:rFonts w:ascii="Arial" w:hAnsi="Arial" w:eastAsia="Calibri" w:cs="Arial"/>
        </w:rPr>
        <w:tab/>
      </w:r>
      <w:r>
        <w:rPr>
          <w:rFonts w:ascii="Arial" w:hAnsi="Arial" w:eastAsia="Calibri" w:cs="Arial"/>
        </w:rPr>
        <w:t>a não-realização da visita técnica, acarretará tácita aceitação de todas as condições e adversidades que possam existir para o cumprimento do objeto licitado, sem nenhum ônus à Administração Municipal;</w:t>
      </w:r>
    </w:p>
    <w:p>
      <w:pPr>
        <w:pStyle w:val="103"/>
        <w:snapToGrid w:val="0"/>
        <w:ind w:left="709" w:right="38" w:rightChars="16" w:hanging="4"/>
        <w:jc w:val="both"/>
        <w:rPr>
          <w:rFonts w:ascii="Arial" w:hAnsi="Arial" w:eastAsia="Calibri" w:cs="Arial"/>
        </w:rPr>
      </w:pPr>
      <w:r>
        <w:rPr>
          <w:rFonts w:ascii="Arial" w:hAnsi="Arial" w:eastAsia="Calibri" w:cs="Arial"/>
        </w:rPr>
        <w:t>II.</w:t>
      </w:r>
      <w:r>
        <w:rPr>
          <w:rFonts w:ascii="Arial" w:hAnsi="Arial" w:eastAsia="Calibri" w:cs="Arial"/>
        </w:rPr>
        <w:tab/>
      </w:r>
      <w:r>
        <w:rPr>
          <w:rFonts w:ascii="Arial" w:hAnsi="Arial" w:eastAsia="Calibri" w:cs="Arial"/>
        </w:rPr>
        <w:t>o não-comparecimento para a realização da referida visita técnica, indicará que a interessada tem total conhecimento de todas as condições necessárias para o fiel cumprimento das obrigações a serem assumidas, caso venha a ser vencedora no presente certame.</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12.11.7. </w:t>
      </w:r>
      <w:r>
        <w:rPr>
          <w:rFonts w:ascii="Arial" w:hAnsi="Arial" w:eastAsia="Calibri" w:cs="Arial"/>
        </w:rPr>
        <w:t>A mera realização da visita, não se consubstancia em condição única e suficiente para a participação na presente licitação, ficando as interessadas cientes desde já que, deverão cumprir integralmente todas as exigências editalícias e, após apresentação de propostas, não serão admitidas, em hipótese alguma, alegações posteriores no sentido da inviabilidade de cumprir com suas obrigações, face ao desconhecimento do objeto licitado, e de dificuldades técnicas não previstas anteriormente, caso venha a ser vencedora no presente certame.</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12.11.8. </w:t>
      </w:r>
      <w:r>
        <w:rPr>
          <w:rFonts w:ascii="Arial" w:hAnsi="Arial" w:eastAsia="Calibri" w:cs="Arial"/>
        </w:rPr>
        <w:t>Após a efetivação da visita, será fornecido o “Atestado de visita técnica”, emitido sob a responsabilidade da SECRETARIA MUNICIPAL DE AGRICULTURA E MEIO AMBIENTE, declarando que a interessada tomou conhecimento de todas as informações necessárias e que tem pleno conhecimento de todas as condições locais para o cumprimento das obrigações ao objeto da presente licitação.</w:t>
      </w:r>
    </w:p>
    <w:p>
      <w:pPr>
        <w:pStyle w:val="103"/>
        <w:snapToGrid w:val="0"/>
        <w:ind w:left="0" w:right="38" w:rightChars="16" w:hanging="4"/>
        <w:jc w:val="both"/>
        <w:rPr>
          <w:rFonts w:ascii="Arial" w:hAnsi="Arial" w:eastAsia="Calibri" w:cs="Arial"/>
        </w:rPr>
      </w:pPr>
      <w:r>
        <w:rPr>
          <w:rFonts w:ascii="Arial" w:hAnsi="Arial" w:eastAsia="Calibri" w:cs="Arial"/>
          <w:b/>
          <w:szCs w:val="24"/>
        </w:rPr>
        <w:t xml:space="preserve">12.11.9. </w:t>
      </w:r>
      <w:r>
        <w:rPr>
          <w:rFonts w:ascii="Arial" w:hAnsi="Arial" w:eastAsia="Calibri" w:cs="Arial"/>
        </w:rPr>
        <w:t>Quaisquer dúvidas de ordem técnica, assim como, aquelas que surgirem no decorrer da visita técnica, e que, não puderem ser prontamente sanadas ou esclarecidas, deverão ser solicitadas por escrito à Administração Municipal.</w:t>
      </w:r>
    </w:p>
    <w:p>
      <w:pPr>
        <w:pStyle w:val="103"/>
        <w:tabs>
          <w:tab w:val="left" w:pos="1440"/>
        </w:tabs>
        <w:autoSpaceDE w:val="0"/>
        <w:snapToGrid w:val="0"/>
        <w:spacing w:after="240"/>
        <w:ind w:left="0"/>
        <w:jc w:val="both"/>
        <w:rPr>
          <w:rFonts w:ascii="Arial" w:hAnsi="Arial" w:cs="Arial"/>
          <w:color w:val="000000"/>
          <w:szCs w:val="24"/>
        </w:rPr>
      </w:pPr>
      <w:r>
        <w:rPr>
          <w:rFonts w:ascii="Arial" w:hAnsi="Arial" w:eastAsia="Calibri" w:cs="Arial"/>
          <w:b/>
          <w:szCs w:val="24"/>
        </w:rPr>
        <w:t>12.12.</w:t>
      </w:r>
      <w:r>
        <w:rPr>
          <w:rFonts w:ascii="Arial" w:hAnsi="Arial" w:cs="Arial"/>
          <w:b/>
          <w:szCs w:val="24"/>
        </w:rPr>
        <w:t xml:space="preserve"> </w:t>
      </w:r>
      <w:r>
        <w:rPr>
          <w:rFonts w:ascii="Arial" w:hAnsi="Arial" w:cs="Arial"/>
          <w:szCs w:val="24"/>
        </w:rPr>
        <w:t>Os</w:t>
      </w:r>
      <w:r>
        <w:rPr>
          <w:rFonts w:ascii="Arial" w:hAnsi="Arial" w:cs="Arial"/>
          <w:color w:val="000000"/>
          <w:szCs w:val="24"/>
        </w:rPr>
        <w:t xml:space="preserve"> </w:t>
      </w:r>
      <w:r>
        <w:rPr>
          <w:rFonts w:ascii="Arial" w:hAnsi="Arial" w:cs="Arial"/>
          <w:szCs w:val="24"/>
        </w:rPr>
        <w:t>documentos</w:t>
      </w:r>
      <w:r>
        <w:rPr>
          <w:rFonts w:ascii="Arial" w:hAnsi="Arial" w:cs="Arial"/>
          <w:color w:val="000000"/>
          <w:szCs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103"/>
        <w:tabs>
          <w:tab w:val="left" w:pos="1440"/>
        </w:tabs>
        <w:autoSpaceDE w:val="0"/>
        <w:snapToGrid w:val="0"/>
        <w:spacing w:after="120"/>
        <w:ind w:leftChars="300"/>
        <w:jc w:val="both"/>
        <w:rPr>
          <w:rFonts w:ascii="Arial" w:hAnsi="Arial" w:cs="Arial"/>
          <w:szCs w:val="24"/>
        </w:rPr>
      </w:pPr>
      <w:r>
        <w:rPr>
          <w:rFonts w:ascii="Arial" w:hAnsi="Arial" w:eastAsia="Calibri" w:cs="Arial"/>
          <w:b/>
          <w:szCs w:val="24"/>
        </w:rPr>
        <w:t>12.12.</w:t>
      </w:r>
      <w:r>
        <w:rPr>
          <w:rFonts w:ascii="Arial" w:hAnsi="Arial" w:cs="Arial"/>
          <w:b/>
          <w:color w:val="000000"/>
          <w:szCs w:val="24"/>
        </w:rPr>
        <w:t xml:space="preserve">1. </w:t>
      </w:r>
      <w:r>
        <w:rPr>
          <w:rFonts w:ascii="Arial" w:hAnsi="Arial" w:cs="Arial"/>
          <w:color w:val="000000"/>
          <w:szCs w:val="24"/>
        </w:rPr>
        <w:t>Não</w:t>
      </w:r>
      <w:r>
        <w:rPr>
          <w:rFonts w:ascii="Arial" w:hAnsi="Arial" w:cs="Arial"/>
          <w:szCs w:val="24"/>
        </w:rPr>
        <w:t xml:space="preserve"> serão aceitos documentos com indicação de CNPJ/CPF diferentes, salvo aqueles legalmente permitidos.</w:t>
      </w:r>
    </w:p>
    <w:p>
      <w:pPr>
        <w:pStyle w:val="103"/>
        <w:snapToGrid w:val="0"/>
        <w:spacing w:after="120"/>
        <w:ind w:leftChars="300"/>
        <w:jc w:val="both"/>
        <w:rPr>
          <w:rFonts w:ascii="Arial" w:hAnsi="Arial" w:cs="Arial"/>
          <w:color w:val="000000"/>
          <w:szCs w:val="24"/>
        </w:rPr>
      </w:pPr>
      <w:r>
        <w:rPr>
          <w:rFonts w:ascii="Arial" w:hAnsi="Arial" w:eastAsia="Calibri" w:cs="Arial"/>
          <w:b/>
          <w:szCs w:val="24"/>
        </w:rPr>
        <w:t>12.12.</w:t>
      </w:r>
      <w:r>
        <w:rPr>
          <w:rFonts w:ascii="Arial" w:hAnsi="Arial" w:cs="Arial"/>
          <w:b/>
          <w:color w:val="000000"/>
          <w:szCs w:val="24"/>
        </w:rPr>
        <w:t xml:space="preserve">2. </w:t>
      </w:r>
      <w:r>
        <w:rPr>
          <w:rFonts w:ascii="Arial" w:hAnsi="Arial" w:cs="Arial"/>
          <w:color w:val="000000"/>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3"/>
        <w:snapToGrid w:val="0"/>
        <w:spacing w:after="120"/>
        <w:ind w:left="0" w:hanging="4"/>
        <w:jc w:val="both"/>
        <w:rPr>
          <w:rFonts w:ascii="Arial" w:hAnsi="Arial" w:cs="Arial"/>
          <w:color w:val="000000"/>
          <w:szCs w:val="24"/>
        </w:rPr>
      </w:pPr>
      <w:r>
        <w:rPr>
          <w:rFonts w:ascii="Arial" w:hAnsi="Arial" w:eastAsia="Calibri" w:cs="Arial"/>
          <w:b/>
          <w:szCs w:val="24"/>
        </w:rPr>
        <w:t>12.13.</w:t>
      </w:r>
      <w:r>
        <w:rPr>
          <w:rFonts w:ascii="Arial" w:hAnsi="Arial" w:cs="Arial"/>
          <w:b/>
          <w:color w:val="000000"/>
          <w:szCs w:val="24"/>
        </w:rPr>
        <w:t xml:space="preserve"> </w:t>
      </w:r>
      <w:r>
        <w:rPr>
          <w:rFonts w:ascii="Arial" w:hAnsi="Arial" w:cs="Arial"/>
          <w:color w:val="000000"/>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3"/>
        <w:snapToGrid w:val="0"/>
        <w:spacing w:after="120"/>
        <w:ind w:left="-4"/>
        <w:jc w:val="both"/>
        <w:rPr>
          <w:rFonts w:ascii="Arial" w:hAnsi="Arial" w:cs="Arial"/>
          <w:color w:val="000000"/>
          <w:szCs w:val="24"/>
        </w:rPr>
      </w:pPr>
      <w:r>
        <w:rPr>
          <w:rFonts w:ascii="Arial" w:hAnsi="Arial" w:cs="Arial"/>
          <w:b/>
          <w:color w:val="000000"/>
          <w:szCs w:val="24"/>
        </w:rPr>
        <w:t xml:space="preserve">12.14. </w:t>
      </w:r>
      <w:r>
        <w:rPr>
          <w:rFonts w:ascii="Arial" w:hAnsi="Arial" w:cs="Arial"/>
          <w:color w:val="000000"/>
          <w:szCs w:val="24"/>
        </w:rPr>
        <w:t>A declaração do vencedor acontecerá no momento imediatamente posterior à fase de habilitação.</w:t>
      </w:r>
    </w:p>
    <w:p>
      <w:pPr>
        <w:pStyle w:val="103"/>
        <w:snapToGrid w:val="0"/>
        <w:spacing w:after="120"/>
        <w:ind w:left="0"/>
        <w:jc w:val="both"/>
        <w:rPr>
          <w:rFonts w:ascii="Arial" w:hAnsi="Arial" w:cs="Arial"/>
          <w:color w:val="000000"/>
          <w:szCs w:val="24"/>
        </w:rPr>
      </w:pPr>
      <w:r>
        <w:rPr>
          <w:rFonts w:ascii="Arial" w:hAnsi="Arial" w:cs="Arial"/>
          <w:b/>
          <w:color w:val="000000"/>
          <w:szCs w:val="24"/>
        </w:rPr>
        <w:t xml:space="preserve">12.15. </w:t>
      </w:r>
      <w:r>
        <w:rPr>
          <w:rFonts w:ascii="Arial" w:hAnsi="Arial" w:cs="Arial"/>
          <w:color w:val="000000"/>
          <w:szCs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spacing w:after="120"/>
        <w:jc w:val="both"/>
        <w:rPr>
          <w:rFonts w:ascii="Arial" w:hAnsi="Arial" w:cs="Arial"/>
          <w:color w:val="000000"/>
          <w:szCs w:val="24"/>
        </w:rPr>
      </w:pPr>
      <w:r>
        <w:rPr>
          <w:rFonts w:ascii="Arial" w:hAnsi="Arial" w:cs="Arial"/>
          <w:b/>
          <w:color w:val="000000"/>
          <w:szCs w:val="24"/>
        </w:rPr>
        <w:t xml:space="preserve">12.16. </w:t>
      </w:r>
      <w:r>
        <w:rPr>
          <w:rFonts w:ascii="Arial" w:hAnsi="Arial" w:cs="Arial"/>
          <w:color w:val="000000"/>
          <w:szCs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spacing w:after="120"/>
        <w:jc w:val="both"/>
        <w:rPr>
          <w:rFonts w:ascii="Arial" w:hAnsi="Arial" w:cs="Arial"/>
          <w:color w:val="000000"/>
          <w:szCs w:val="24"/>
        </w:rPr>
      </w:pPr>
      <w:r>
        <w:rPr>
          <w:rFonts w:ascii="Arial" w:hAnsi="Arial" w:cs="Arial"/>
          <w:b/>
          <w:color w:val="000000"/>
          <w:szCs w:val="24"/>
        </w:rPr>
        <w:t xml:space="preserve">12.17. </w:t>
      </w:r>
      <w:r>
        <w:rPr>
          <w:rFonts w:ascii="Arial" w:hAnsi="Arial" w:cs="Arial"/>
          <w:color w:val="000000"/>
          <w:szCs w:val="24"/>
        </w:rPr>
        <w:t>Havendo necessidade de analisar minuciosamente os documentos exigidos, o Pregoeiro suspenderá a sessão, informando no “chat” a nova data e horário para a continuidade da mesma.</w:t>
      </w:r>
    </w:p>
    <w:p>
      <w:pPr>
        <w:spacing w:after="120"/>
        <w:jc w:val="both"/>
        <w:rPr>
          <w:rFonts w:ascii="Arial" w:hAnsi="Arial" w:cs="Arial"/>
          <w:color w:val="000000"/>
          <w:szCs w:val="24"/>
        </w:rPr>
      </w:pPr>
      <w:r>
        <w:rPr>
          <w:rFonts w:ascii="Arial" w:hAnsi="Arial" w:cs="Arial"/>
          <w:b/>
          <w:color w:val="000000"/>
          <w:szCs w:val="24"/>
        </w:rPr>
        <w:t xml:space="preserve">12.18. </w:t>
      </w:r>
      <w:r>
        <w:rPr>
          <w:rFonts w:ascii="Arial" w:hAnsi="Arial" w:cs="Arial"/>
          <w:color w:val="000000"/>
          <w:szCs w:val="24"/>
        </w:rPr>
        <w:t>Será inabilitado o licitante que não comprovar sua habilitação, seja por não apresentar quaisquer dos documentos exigidos, ou apresentá-los em desacordo com o e</w:t>
      </w:r>
      <w:r>
        <w:rPr>
          <w:rFonts w:ascii="Arial" w:hAnsi="Arial" w:cs="Arial"/>
          <w:color w:val="000000"/>
          <w:szCs w:val="24"/>
          <w:lang w:eastAsia="en-US"/>
        </w:rPr>
        <w:t>stabelecido neste Edital.</w:t>
      </w:r>
    </w:p>
    <w:p>
      <w:pPr>
        <w:spacing w:after="120"/>
        <w:jc w:val="both"/>
        <w:rPr>
          <w:rFonts w:ascii="Arial" w:hAnsi="Arial" w:cs="Arial"/>
          <w:szCs w:val="24"/>
          <w:lang w:eastAsia="en-US"/>
        </w:rPr>
      </w:pPr>
      <w:r>
        <w:rPr>
          <w:rFonts w:ascii="Arial" w:hAnsi="Arial" w:cs="Arial"/>
          <w:b/>
          <w:color w:val="000000"/>
          <w:szCs w:val="24"/>
          <w:lang w:eastAsia="en-US"/>
        </w:rPr>
        <w:t xml:space="preserve">12.19. </w:t>
      </w:r>
      <w:r>
        <w:rPr>
          <w:rFonts w:ascii="Arial" w:hAnsi="Arial" w:cs="Arial"/>
          <w:color w:val="000000"/>
          <w:szCs w:val="24"/>
          <w:lang w:eastAsia="en-US"/>
        </w:rPr>
        <w:t>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after="120"/>
        <w:jc w:val="both"/>
        <w:rPr>
          <w:rFonts w:ascii="Arial" w:hAnsi="Arial" w:cs="Arial"/>
          <w:szCs w:val="24"/>
        </w:rPr>
      </w:pPr>
      <w:r>
        <w:rPr>
          <w:rFonts w:ascii="Arial" w:hAnsi="Arial" w:cs="Arial"/>
          <w:b/>
          <w:szCs w:val="24"/>
        </w:rPr>
        <w:t>12.20.</w:t>
      </w:r>
      <w:r>
        <w:rPr>
          <w:rFonts w:ascii="Arial" w:hAnsi="Arial" w:cs="Arial"/>
          <w:szCs w:val="24"/>
        </w:rPr>
        <w:t xml:space="preserve"> As certidões de regularidade fiscal emitidas por meios eletrônicos com prazo de validade vencido ensejarão verificação pela Equipe de Apoio, no site oficial do respectivo órgão e, se comprovada a regularidade, será juntado aos autos o respectivo documento;</w:t>
      </w:r>
    </w:p>
    <w:p>
      <w:pPr>
        <w:widowControl w:val="0"/>
        <w:autoSpaceDE w:val="0"/>
        <w:autoSpaceDN w:val="0"/>
        <w:adjustRightInd w:val="0"/>
        <w:spacing w:after="120"/>
        <w:jc w:val="both"/>
        <w:rPr>
          <w:rFonts w:ascii="Arial" w:hAnsi="Arial" w:cs="Arial"/>
          <w:b/>
          <w:szCs w:val="24"/>
        </w:rPr>
      </w:pPr>
      <w:r>
        <w:rPr>
          <w:rFonts w:ascii="Arial" w:hAnsi="Arial" w:cs="Arial"/>
          <w:b/>
          <w:szCs w:val="24"/>
        </w:rPr>
        <w:t>12.21.</w:t>
      </w:r>
      <w:r>
        <w:rPr>
          <w:rFonts w:ascii="Arial" w:hAnsi="Arial" w:cs="Arial"/>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after="120"/>
        <w:jc w:val="both"/>
        <w:rPr>
          <w:rFonts w:ascii="Arial" w:hAnsi="Arial" w:cs="Arial"/>
          <w:szCs w:val="24"/>
        </w:rPr>
      </w:pPr>
      <w:r>
        <w:rPr>
          <w:rFonts w:ascii="Arial" w:hAnsi="Arial" w:cs="Arial"/>
          <w:b/>
          <w:szCs w:val="24"/>
        </w:rPr>
        <w:t>12.22.</w:t>
      </w:r>
      <w:r>
        <w:rPr>
          <w:rFonts w:ascii="Arial" w:hAnsi="Arial" w:cs="Arial"/>
          <w:szCs w:val="24"/>
        </w:rPr>
        <w:t xml:space="preserve"> Os documentos solicitados poderão ser autenticados pelo Pregoeiro e Membros da Equipe de Apoio a partir do original, observando-se que:</w:t>
      </w:r>
    </w:p>
    <w:p>
      <w:pPr>
        <w:widowControl w:val="0"/>
        <w:spacing w:after="120"/>
        <w:jc w:val="both"/>
        <w:rPr>
          <w:rFonts w:ascii="Arial" w:hAnsi="Arial" w:cs="Arial"/>
          <w:szCs w:val="24"/>
        </w:rPr>
      </w:pPr>
      <w:r>
        <w:rPr>
          <w:rFonts w:ascii="Arial" w:hAnsi="Arial" w:cs="Arial"/>
          <w:b/>
          <w:szCs w:val="24"/>
        </w:rPr>
        <w:t>a)</w:t>
      </w:r>
      <w:r>
        <w:rPr>
          <w:rFonts w:ascii="Arial" w:hAnsi="Arial" w:cs="Arial"/>
          <w:szCs w:val="24"/>
        </w:rPr>
        <w:t xml:space="preserve"> somente serão aceitas cópias legíveis;</w:t>
      </w:r>
    </w:p>
    <w:p>
      <w:pPr>
        <w:widowControl w:val="0"/>
        <w:spacing w:after="120"/>
        <w:jc w:val="both"/>
        <w:rPr>
          <w:rFonts w:ascii="Arial" w:hAnsi="Arial" w:cs="Arial"/>
          <w:szCs w:val="24"/>
        </w:rPr>
      </w:pPr>
      <w:r>
        <w:rPr>
          <w:rFonts w:ascii="Arial" w:hAnsi="Arial" w:cs="Arial"/>
          <w:b/>
          <w:szCs w:val="24"/>
        </w:rPr>
        <w:t>b)</w:t>
      </w:r>
      <w:r>
        <w:rPr>
          <w:rFonts w:ascii="Arial" w:hAnsi="Arial" w:cs="Arial"/>
          <w:szCs w:val="24"/>
        </w:rPr>
        <w:t xml:space="preserve"> não serão aceitos documentos cujas datas estejam rasuradas;</w:t>
      </w:r>
    </w:p>
    <w:p>
      <w:pPr>
        <w:widowControl w:val="0"/>
        <w:spacing w:after="120"/>
        <w:jc w:val="both"/>
        <w:rPr>
          <w:rFonts w:ascii="Arial" w:hAnsi="Arial" w:cs="Arial"/>
          <w:szCs w:val="24"/>
        </w:rPr>
      </w:pPr>
      <w:r>
        <w:rPr>
          <w:rFonts w:ascii="Arial" w:hAnsi="Arial" w:cs="Arial"/>
          <w:b/>
          <w:szCs w:val="24"/>
        </w:rPr>
        <w:t>c)</w:t>
      </w:r>
      <w:r>
        <w:rPr>
          <w:rFonts w:ascii="Arial" w:hAnsi="Arial" w:cs="Arial"/>
          <w:szCs w:val="24"/>
        </w:rPr>
        <w:t xml:space="preserve"> deverão ser apresentadas as cópias para autenticação, com os respectivos originais, preferencialmente com pelo menos um dia de antecedência da data marcada para a abertura do certame.</w:t>
      </w:r>
    </w:p>
    <w:p>
      <w:pPr>
        <w:widowControl w:val="0"/>
        <w:spacing w:after="120"/>
        <w:jc w:val="both"/>
        <w:rPr>
          <w:rFonts w:ascii="Arial" w:hAnsi="Arial" w:cs="Arial"/>
          <w:szCs w:val="24"/>
        </w:rPr>
      </w:pPr>
      <w:r>
        <w:rPr>
          <w:rFonts w:ascii="Arial" w:hAnsi="Arial" w:cs="Arial"/>
          <w:b/>
          <w:szCs w:val="24"/>
        </w:rPr>
        <w:t>12.23.</w:t>
      </w:r>
      <w:r>
        <w:rPr>
          <w:rFonts w:ascii="Arial" w:hAnsi="Arial" w:cs="Arial"/>
          <w:szCs w:val="24"/>
        </w:rPr>
        <w:t xml:space="preserve"> Os documentos que </w:t>
      </w:r>
      <w:r>
        <w:rPr>
          <w:rFonts w:ascii="Arial" w:hAnsi="Arial" w:cs="Arial"/>
          <w:b/>
          <w:szCs w:val="24"/>
        </w:rPr>
        <w:t>não possuírem prazo de validade</w:t>
      </w:r>
      <w:r>
        <w:rPr>
          <w:rFonts w:ascii="Arial" w:hAnsi="Arial" w:cs="Arial"/>
          <w:szCs w:val="24"/>
        </w:rPr>
        <w:t>, somente serão aceitos com data de emissão não excedente a 30 (trinta) dias da data prevista para apresentação das propostas, exceto Atestados de Capacidade Técnica;</w:t>
      </w:r>
    </w:p>
    <w:p>
      <w:pPr>
        <w:widowControl w:val="0"/>
        <w:spacing w:after="120"/>
        <w:ind w:left="720" w:leftChars="300"/>
        <w:jc w:val="both"/>
        <w:rPr>
          <w:rFonts w:ascii="Arial" w:hAnsi="Arial" w:cs="Arial"/>
          <w:b/>
          <w:szCs w:val="24"/>
        </w:rPr>
      </w:pPr>
      <w:r>
        <w:rPr>
          <w:rFonts w:ascii="Arial" w:hAnsi="Arial" w:cs="Arial"/>
          <w:b/>
          <w:szCs w:val="24"/>
        </w:rPr>
        <w:t xml:space="preserve">12.23.1. </w:t>
      </w:r>
      <w:r>
        <w:rPr>
          <w:rFonts w:ascii="Arial" w:hAnsi="Arial" w:cs="Arial"/>
          <w:szCs w:val="24"/>
        </w:rPr>
        <w:t>Estão excluídos da presunção do item anterior, os atestados de capacidade técnica, contratos sociais e aqueles documentos que por sua natureza sejam incompatíveis com exigência de prazo de validade.</w:t>
      </w:r>
      <w:r>
        <w:rPr>
          <w:rFonts w:ascii="Arial" w:hAnsi="Arial" w:cs="Arial"/>
          <w:b/>
          <w:szCs w:val="24"/>
        </w:rPr>
        <w:t xml:space="preserve"> </w:t>
      </w:r>
    </w:p>
    <w:p>
      <w:pPr>
        <w:pStyle w:val="31"/>
        <w:widowControl w:val="0"/>
        <w:tabs>
          <w:tab w:val="left" w:pos="567"/>
          <w:tab w:val="left" w:pos="709"/>
          <w:tab w:val="left" w:pos="1134"/>
          <w:tab w:val="clear" w:pos="4419"/>
          <w:tab w:val="clear" w:pos="8838"/>
        </w:tabs>
        <w:spacing w:after="120"/>
        <w:rPr>
          <w:rFonts w:ascii="Arial" w:hAnsi="Arial" w:cs="Arial"/>
          <w:szCs w:val="24"/>
        </w:rPr>
      </w:pPr>
      <w:r>
        <w:rPr>
          <w:rFonts w:ascii="Arial" w:hAnsi="Arial" w:cs="Arial"/>
          <w:b/>
          <w:szCs w:val="24"/>
        </w:rPr>
        <w:t>12.24.</w:t>
      </w:r>
      <w:r>
        <w:rPr>
          <w:rFonts w:ascii="Arial" w:hAnsi="Arial" w:cs="Arial"/>
          <w:szCs w:val="24"/>
        </w:rPr>
        <w:t xml:space="preserve"> Não serão aceitos “</w:t>
      </w:r>
      <w:r>
        <w:rPr>
          <w:rFonts w:ascii="Arial" w:hAnsi="Arial" w:cs="Arial"/>
          <w:i/>
          <w:szCs w:val="24"/>
        </w:rPr>
        <w:t>protocolos de entrega</w:t>
      </w:r>
      <w:r>
        <w:rPr>
          <w:rFonts w:ascii="Arial" w:hAnsi="Arial" w:cs="Arial"/>
          <w:szCs w:val="24"/>
        </w:rPr>
        <w:t xml:space="preserve">” ou </w:t>
      </w:r>
      <w:r>
        <w:rPr>
          <w:rFonts w:ascii="Arial" w:hAnsi="Arial" w:cs="Arial"/>
          <w:i/>
          <w:szCs w:val="24"/>
        </w:rPr>
        <w:t>“solicitação de documento”</w:t>
      </w:r>
      <w:r>
        <w:rPr>
          <w:rFonts w:ascii="Arial" w:hAnsi="Arial" w:cs="Arial"/>
          <w:szCs w:val="24"/>
        </w:rPr>
        <w:t xml:space="preserve"> em substituição aos documentos requeridos no Edital e seus Anexos;</w:t>
      </w:r>
    </w:p>
    <w:p>
      <w:pPr>
        <w:widowControl w:val="0"/>
        <w:spacing w:after="120"/>
        <w:jc w:val="both"/>
        <w:rPr>
          <w:rFonts w:ascii="Arial" w:hAnsi="Arial" w:cs="Arial"/>
          <w:b/>
          <w:color w:val="FF0000"/>
          <w:szCs w:val="24"/>
        </w:rPr>
      </w:pPr>
      <w:r>
        <w:rPr>
          <w:rFonts w:ascii="Arial" w:hAnsi="Arial" w:cs="Arial"/>
          <w:b/>
          <w:szCs w:val="24"/>
        </w:rPr>
        <w:t xml:space="preserve">12.25. </w:t>
      </w:r>
      <w:r>
        <w:rPr>
          <w:rFonts w:ascii="Arial" w:hAnsi="Arial" w:cs="Arial"/>
          <w:szCs w:val="24"/>
        </w:rPr>
        <w:t>O ramo de atividade da licitante deve ser pertinente ao objeto desta licitação e deverá constar, obrigatoriamente, no rol de atividades do seu Contrato Social;</w:t>
      </w:r>
    </w:p>
    <w:p>
      <w:pPr>
        <w:widowControl w:val="0"/>
        <w:jc w:val="both"/>
        <w:rPr>
          <w:rFonts w:ascii="Arial" w:hAnsi="Arial" w:cs="Arial"/>
          <w:i/>
          <w:sz w:val="22"/>
          <w:szCs w:val="24"/>
        </w:rPr>
      </w:pPr>
      <w:r>
        <w:rPr>
          <w:rFonts w:ascii="Arial" w:hAnsi="Arial" w:cs="Arial"/>
          <w:i/>
          <w:sz w:val="22"/>
          <w:szCs w:val="24"/>
        </w:rPr>
        <w:t>Observação: todos os documentos deverão estar perfeitamente legíveis.</w:t>
      </w:r>
    </w:p>
    <w:p>
      <w:pPr>
        <w:spacing w:before="120" w:after="120"/>
        <w:jc w:val="both"/>
        <w:rPr>
          <w:rFonts w:ascii="Arial" w:hAnsi="Arial" w:cs="Arial"/>
          <w:color w:val="000000"/>
          <w:lang w:eastAsia="en-US"/>
        </w:rPr>
      </w:pPr>
      <w:r>
        <w:rPr>
          <w:rFonts w:ascii="Arial" w:hAnsi="Arial" w:eastAsia="Calibri" w:cs="Arial"/>
          <w:b/>
          <w:color w:val="000000"/>
          <w:lang w:eastAsia="en-US"/>
        </w:rPr>
        <w:t xml:space="preserve">12.26. </w:t>
      </w:r>
      <w:r>
        <w:rPr>
          <w:rFonts w:ascii="Arial" w:hAnsi="Arial" w:cs="Arial"/>
          <w:color w:val="000000"/>
          <w:lang w:eastAsia="en-US"/>
        </w:rPr>
        <w:t>Para fins de análise dos documentos de habilitação das cooperativas, além dos elencados nos itens anteriores também deverão apresentar:</w:t>
      </w:r>
    </w:p>
    <w:p>
      <w:pPr>
        <w:spacing w:before="120" w:after="120"/>
        <w:ind w:firstLine="700"/>
        <w:jc w:val="both"/>
        <w:rPr>
          <w:rFonts w:ascii="Arial" w:hAnsi="Arial" w:cs="Arial"/>
          <w:color w:val="000000"/>
          <w:lang w:eastAsia="en-US"/>
        </w:rPr>
      </w:pPr>
      <w:r>
        <w:rPr>
          <w:rFonts w:ascii="Arial" w:hAnsi="Arial" w:eastAsia="Calibri" w:cs="Arial"/>
          <w:b/>
          <w:color w:val="000000"/>
          <w:lang w:eastAsia="en-US"/>
        </w:rPr>
        <w:t>12.26.</w:t>
      </w:r>
      <w:r>
        <w:rPr>
          <w:rFonts w:ascii="Arial" w:hAnsi="Arial" w:cs="Arial"/>
          <w:b/>
          <w:bCs/>
          <w:color w:val="000000"/>
          <w:lang w:eastAsia="en-US"/>
        </w:rPr>
        <w:t>1.</w:t>
      </w:r>
      <w:r>
        <w:rPr>
          <w:rFonts w:ascii="Arial" w:hAnsi="Arial" w:cs="Arial"/>
          <w:color w:val="000000"/>
          <w:lang w:eastAsia="en-US"/>
        </w:rPr>
        <w:t xml:space="preserve"> Cópia autenticada de RG e CPF da diretoria. </w:t>
      </w:r>
    </w:p>
    <w:p>
      <w:pPr>
        <w:spacing w:before="120" w:after="120"/>
        <w:ind w:firstLine="700"/>
        <w:jc w:val="both"/>
        <w:rPr>
          <w:rFonts w:ascii="Arial" w:hAnsi="Arial" w:cs="Arial"/>
          <w:color w:val="000000"/>
          <w:lang w:eastAsia="en-US"/>
        </w:rPr>
      </w:pPr>
      <w:r>
        <w:rPr>
          <w:rFonts w:ascii="Arial" w:hAnsi="Arial" w:eastAsia="Calibri" w:cs="Arial"/>
          <w:b/>
          <w:color w:val="000000"/>
          <w:lang w:eastAsia="en-US"/>
        </w:rPr>
        <w:t>12.26.</w:t>
      </w:r>
      <w:r>
        <w:rPr>
          <w:rFonts w:ascii="Arial" w:hAnsi="Arial" w:cs="Arial"/>
          <w:b/>
          <w:bCs/>
          <w:color w:val="000000"/>
          <w:lang w:eastAsia="en-US"/>
        </w:rPr>
        <w:t>2.</w:t>
      </w:r>
      <w:r>
        <w:rPr>
          <w:rFonts w:ascii="Arial" w:hAnsi="Arial" w:cs="Arial"/>
          <w:color w:val="000000"/>
          <w:lang w:eastAsia="en-US"/>
        </w:rPr>
        <w:t xml:space="preserve"> Ata da fundação.</w:t>
      </w:r>
    </w:p>
    <w:p>
      <w:pPr>
        <w:spacing w:before="120" w:after="120"/>
        <w:ind w:left="700" w:firstLine="0"/>
        <w:jc w:val="both"/>
        <w:rPr>
          <w:rFonts w:ascii="Arial" w:hAnsi="Arial" w:cs="Arial"/>
          <w:color w:val="000000"/>
          <w:lang w:eastAsia="en-US"/>
        </w:rPr>
      </w:pPr>
      <w:r>
        <w:rPr>
          <w:rFonts w:ascii="Arial" w:hAnsi="Arial" w:eastAsia="Calibri" w:cs="Arial"/>
          <w:b/>
          <w:color w:val="000000"/>
          <w:lang w:eastAsia="en-US"/>
        </w:rPr>
        <w:t>12.26</w:t>
      </w:r>
      <w:r>
        <w:rPr>
          <w:rFonts w:ascii="Arial" w:hAnsi="Arial" w:cs="Arial"/>
          <w:b/>
          <w:bCs/>
          <w:color w:val="000000"/>
          <w:lang w:eastAsia="en-US"/>
        </w:rPr>
        <w:t xml:space="preserve">.3. </w:t>
      </w:r>
      <w:r>
        <w:rPr>
          <w:rFonts w:ascii="Arial" w:hAnsi="Arial" w:cs="Arial"/>
          <w:color w:val="000000"/>
          <w:lang w:eastAsia="en-US"/>
        </w:rPr>
        <w:t>Estatuto social em vigor com a Ata da Assembleia que aprovou devidamente registrados na junta comercial do estado onde estiver localizado sua sede.</w:t>
      </w:r>
      <w:r>
        <w:rPr>
          <w:rFonts w:ascii="Arial" w:hAnsi="Arial" w:cs="Arial"/>
          <w:color w:val="000000"/>
          <w:lang w:eastAsia="en-US"/>
        </w:rPr>
        <w:tab/>
      </w:r>
      <w:r>
        <w:rPr>
          <w:rFonts w:ascii="Arial" w:hAnsi="Arial" w:eastAsia="Calibri" w:cs="Arial"/>
          <w:b/>
          <w:color w:val="000000"/>
          <w:lang w:eastAsia="en-US"/>
        </w:rPr>
        <w:t>12.26.</w:t>
      </w:r>
      <w:r>
        <w:rPr>
          <w:rFonts w:ascii="Arial" w:hAnsi="Arial" w:cs="Arial"/>
          <w:b/>
          <w:bCs/>
          <w:color w:val="000000"/>
          <w:lang w:eastAsia="en-US"/>
        </w:rPr>
        <w:t>4.</w:t>
      </w:r>
      <w:r>
        <w:rPr>
          <w:rFonts w:ascii="Arial" w:hAnsi="Arial" w:cs="Arial"/>
          <w:color w:val="000000"/>
          <w:lang w:eastAsia="en-US"/>
        </w:rPr>
        <w:t xml:space="preserve"> Ata da última assembleia geral convocada para eleição dos atuais dirigentes, devidamente registrados na junta comercial do </w:t>
      </w:r>
      <w:r>
        <w:rPr>
          <w:rFonts w:ascii="Arial" w:hAnsi="Arial" w:cs="Arial"/>
          <w:color w:val="000000"/>
          <w:lang w:eastAsia="en-US"/>
        </w:rPr>
        <w:tab/>
      </w:r>
      <w:r>
        <w:rPr>
          <w:rFonts w:ascii="Arial" w:hAnsi="Arial" w:cs="Arial"/>
          <w:color w:val="000000"/>
          <w:lang w:eastAsia="en-US"/>
        </w:rPr>
        <w:t xml:space="preserve">estado onde </w:t>
      </w:r>
      <w:r>
        <w:rPr>
          <w:rFonts w:ascii="Arial" w:hAnsi="Arial" w:cs="Arial"/>
          <w:color w:val="000000"/>
          <w:lang w:eastAsia="en-US"/>
        </w:rPr>
        <w:tab/>
      </w:r>
      <w:r>
        <w:rPr>
          <w:rFonts w:ascii="Arial" w:hAnsi="Arial" w:cs="Arial"/>
          <w:color w:val="000000"/>
          <w:lang w:eastAsia="en-US"/>
        </w:rPr>
        <w:t>estiver localizado sua sede.</w:t>
      </w:r>
    </w:p>
    <w:p>
      <w:pPr>
        <w:widowControl w:val="0"/>
        <w:spacing w:after="120"/>
        <w:jc w:val="both"/>
        <w:rPr>
          <w:rFonts w:ascii="Arial" w:hAnsi="Arial" w:eastAsia="Calibri" w:cs="Arial"/>
        </w:rPr>
      </w:pPr>
      <w:r>
        <w:rPr>
          <w:rFonts w:ascii="Arial" w:hAnsi="Arial" w:cs="Arial"/>
          <w:sz w:val="20"/>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92710</wp:posOffset>
                </wp:positionV>
                <wp:extent cx="6191885" cy="323215"/>
                <wp:effectExtent l="4445" t="4445" r="33020" b="34290"/>
                <wp:wrapNone/>
                <wp:docPr id="21" name="Retângulo 30"/>
                <wp:cNvGraphicFramePr/>
                <a:graphic xmlns:a="http://schemas.openxmlformats.org/drawingml/2006/main">
                  <a:graphicData uri="http://schemas.microsoft.com/office/word/2010/wordprocessingShape">
                    <wps:wsp>
                      <wps:cNvSpPr/>
                      <wps:spPr>
                        <a:xfrm>
                          <a:off x="0" y="0"/>
                          <a:ext cx="6191885" cy="32321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7.3pt;height:25.45pt;width:487.55pt;z-index:251679744;mso-width-relative:page;mso-height-relative:page;" fillcolor="#D8D8D8" filled="t" stroked="t" coordsize="21600,21600" o:gfxdata="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l7YGzYAAAACAEA&#10;AA8AAAAAAAAAAQAgAAAAIgAAAGRycy9kb3ducmV2LnhtbFBLAQIUABQAAAAIAIdO4kCSX1qMUwIA&#10;ANo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XIII – DO ENVIO DA DOCUMENTAÇÃO</w:t>
                      </w:r>
                    </w:p>
                  </w:txbxContent>
                </v:textbox>
              </v:rect>
            </w:pict>
          </mc:Fallback>
        </mc:AlternateContent>
      </w:r>
    </w:p>
    <w:p>
      <w:pPr>
        <w:widowControl w:val="0"/>
        <w:spacing w:after="120"/>
        <w:jc w:val="both"/>
        <w:rPr>
          <w:rFonts w:ascii="Arial" w:hAnsi="Arial" w:eastAsia="Calibri" w:cs="Arial"/>
        </w:rPr>
      </w:pPr>
    </w:p>
    <w:p>
      <w:pPr>
        <w:widowControl w:val="0"/>
        <w:spacing w:after="120"/>
        <w:jc w:val="both"/>
        <w:rPr>
          <w:rFonts w:ascii="Arial" w:hAnsi="Arial" w:cs="Arial"/>
          <w:szCs w:val="24"/>
        </w:rPr>
      </w:pPr>
      <w:r>
        <w:rPr>
          <w:rFonts w:ascii="Arial" w:hAnsi="Arial" w:cs="Arial"/>
          <w:b/>
          <w:szCs w:val="24"/>
        </w:rPr>
        <w:t xml:space="preserve">13.1. </w:t>
      </w:r>
      <w:r>
        <w:rPr>
          <w:rFonts w:ascii="Arial" w:hAnsi="Arial" w:cs="Arial"/>
          <w:szCs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pStyle w:val="103"/>
        <w:widowControl w:val="0"/>
        <w:tabs>
          <w:tab w:val="left" w:pos="709"/>
          <w:tab w:val="left" w:pos="993"/>
          <w:tab w:val="left" w:pos="1276"/>
          <w:tab w:val="left" w:pos="1418"/>
          <w:tab w:val="left" w:pos="2268"/>
        </w:tabs>
        <w:spacing w:after="120"/>
        <w:ind w:left="0"/>
        <w:jc w:val="both"/>
        <w:rPr>
          <w:rFonts w:ascii="Arial" w:hAnsi="Arial" w:cs="Arial"/>
          <w:szCs w:val="24"/>
        </w:rPr>
      </w:pPr>
      <w:r>
        <w:rPr>
          <w:rFonts w:ascii="Arial" w:hAnsi="Arial" w:cs="Arial"/>
          <w:b/>
          <w:szCs w:val="24"/>
        </w:rPr>
        <w:t>13.2.</w:t>
      </w:r>
      <w:r>
        <w:rPr>
          <w:rFonts w:ascii="Arial" w:hAnsi="Arial" w:cs="Arial"/>
          <w:szCs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05 (cinco) dias úteis, contados da data da sessão pública virtual, juntamente com a proposta de preços escrita Anexo I-A – Modelo de Planilha de composição dos custos com mão de obra, Anexo I-B – Modelo de Planilha de composição dos custos com veículos e equipamentos; e Anexo II – Modelo de Proposta , para o seguinte endereço:</w:t>
      </w:r>
    </w:p>
    <w:p>
      <w:pPr>
        <w:widowControl w:val="0"/>
        <w:pBdr>
          <w:top w:val="single" w:color="auto" w:sz="4" w:space="0"/>
          <w:left w:val="single" w:color="auto" w:sz="4" w:space="0"/>
          <w:bottom w:val="single" w:color="auto" w:sz="4" w:space="0"/>
          <w:right w:val="single" w:color="auto" w:sz="4" w:space="0"/>
        </w:pBdr>
        <w:spacing w:after="120"/>
        <w:jc w:val="both"/>
        <w:rPr>
          <w:rFonts w:ascii="Arial" w:hAnsi="Arial" w:cs="Arial"/>
          <w:szCs w:val="24"/>
        </w:rPr>
      </w:pPr>
      <w:r>
        <w:rPr>
          <w:rFonts w:ascii="Arial" w:hAnsi="Arial" w:cs="Arial"/>
          <w:szCs w:val="24"/>
        </w:rPr>
        <w:t>Prefeitura Municipal de Primavera do Leste - MT</w:t>
      </w:r>
    </w:p>
    <w:p>
      <w:pPr>
        <w:widowControl w:val="0"/>
        <w:pBdr>
          <w:top w:val="single" w:color="auto" w:sz="4" w:space="0"/>
          <w:left w:val="single" w:color="auto" w:sz="4" w:space="0"/>
          <w:bottom w:val="single" w:color="auto" w:sz="4" w:space="0"/>
          <w:right w:val="single" w:color="auto" w:sz="4" w:space="0"/>
        </w:pBdr>
        <w:spacing w:after="120"/>
        <w:jc w:val="both"/>
        <w:rPr>
          <w:rFonts w:ascii="Arial" w:hAnsi="Arial" w:cs="Arial"/>
          <w:szCs w:val="24"/>
        </w:rPr>
      </w:pPr>
      <w:r>
        <w:rPr>
          <w:rFonts w:ascii="Arial" w:hAnsi="Arial" w:cs="Arial"/>
          <w:szCs w:val="24"/>
        </w:rPr>
        <w:t>Coordenadoria de Licitação</w:t>
      </w:r>
    </w:p>
    <w:p>
      <w:pPr>
        <w:widowControl w:val="0"/>
        <w:pBdr>
          <w:top w:val="single" w:color="auto" w:sz="4" w:space="0"/>
          <w:left w:val="single" w:color="auto" w:sz="4" w:space="0"/>
          <w:bottom w:val="single" w:color="auto" w:sz="4" w:space="0"/>
          <w:right w:val="single" w:color="auto" w:sz="4" w:space="0"/>
        </w:pBdr>
        <w:spacing w:after="120"/>
        <w:jc w:val="both"/>
        <w:rPr>
          <w:rFonts w:ascii="Arial" w:hAnsi="Arial" w:cs="Arial"/>
          <w:szCs w:val="24"/>
        </w:rPr>
      </w:pPr>
      <w:r>
        <w:rPr>
          <w:rFonts w:ascii="Arial" w:hAnsi="Arial" w:cs="Arial"/>
          <w:szCs w:val="24"/>
        </w:rPr>
        <w:t>PREGÃO ELETRÔNICO nº 0141/2023</w:t>
      </w:r>
    </w:p>
    <w:p>
      <w:pPr>
        <w:widowControl w:val="0"/>
        <w:pBdr>
          <w:top w:val="single" w:color="auto" w:sz="4" w:space="0"/>
          <w:left w:val="single" w:color="auto" w:sz="4" w:space="0"/>
          <w:bottom w:val="single" w:color="auto" w:sz="4" w:space="0"/>
          <w:right w:val="single" w:color="auto" w:sz="4" w:space="0"/>
        </w:pBdr>
        <w:spacing w:after="120"/>
        <w:jc w:val="both"/>
        <w:rPr>
          <w:rFonts w:ascii="Arial" w:hAnsi="Arial" w:cs="Arial"/>
          <w:szCs w:val="24"/>
        </w:rPr>
      </w:pPr>
      <w:r>
        <w:rPr>
          <w:rFonts w:ascii="Arial" w:hAnsi="Arial" w:cs="Arial"/>
          <w:szCs w:val="24"/>
        </w:rPr>
        <w:t>Rua Maringá, nº 444, Centro, Primavera do Leste - MT</w:t>
      </w:r>
    </w:p>
    <w:p>
      <w:pPr>
        <w:widowControl w:val="0"/>
        <w:pBdr>
          <w:top w:val="single" w:color="auto" w:sz="4" w:space="0"/>
          <w:left w:val="single" w:color="auto" w:sz="4" w:space="0"/>
          <w:bottom w:val="single" w:color="auto" w:sz="4" w:space="0"/>
          <w:right w:val="single" w:color="auto" w:sz="4" w:space="0"/>
        </w:pBdr>
        <w:spacing w:after="120"/>
        <w:jc w:val="both"/>
        <w:rPr>
          <w:rFonts w:ascii="Arial" w:hAnsi="Arial" w:cs="Arial"/>
          <w:szCs w:val="24"/>
        </w:rPr>
      </w:pPr>
      <w:r>
        <w:rPr>
          <w:rFonts w:ascii="Arial" w:hAnsi="Arial" w:cs="Arial"/>
          <w:szCs w:val="24"/>
        </w:rPr>
        <w:t>CEP 78850-000</w:t>
      </w:r>
    </w:p>
    <w:p>
      <w:pPr>
        <w:widowControl w:val="0"/>
        <w:pBdr>
          <w:top w:val="single" w:color="auto" w:sz="4" w:space="0"/>
          <w:left w:val="single" w:color="auto" w:sz="4" w:space="0"/>
          <w:bottom w:val="single" w:color="auto" w:sz="4" w:space="0"/>
          <w:right w:val="single" w:color="auto" w:sz="4" w:space="0"/>
        </w:pBdr>
        <w:spacing w:after="120"/>
        <w:jc w:val="both"/>
        <w:rPr>
          <w:rFonts w:ascii="Arial" w:hAnsi="Arial" w:cs="Arial"/>
          <w:szCs w:val="24"/>
        </w:rPr>
      </w:pPr>
      <w:r>
        <w:rPr>
          <w:rFonts w:ascii="Arial" w:hAnsi="Arial" w:cs="Arial"/>
          <w:szCs w:val="24"/>
        </w:rPr>
        <w:t>A/C Pregoeiro Sra Maria Aparecida Montes Canabrava.</w:t>
      </w:r>
    </w:p>
    <w:p>
      <w:pPr>
        <w:widowControl w:val="0"/>
        <w:spacing w:after="120"/>
        <w:jc w:val="both"/>
        <w:rPr>
          <w:rFonts w:ascii="Arial" w:hAnsi="Arial" w:cs="Arial"/>
          <w:color w:val="000000"/>
          <w:szCs w:val="24"/>
        </w:rPr>
      </w:pPr>
      <w:r>
        <w:rPr>
          <w:rFonts w:ascii="Arial" w:hAnsi="Arial" w:cs="Arial"/>
          <w:b/>
          <w:szCs w:val="24"/>
        </w:rPr>
        <w:t xml:space="preserve">13.3. </w:t>
      </w:r>
      <w:r>
        <w:rPr>
          <w:rFonts w:ascii="Arial" w:hAnsi="Arial" w:cs="Arial"/>
          <w:color w:val="000000"/>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after="120"/>
        <w:jc w:val="both"/>
        <w:rPr>
          <w:rFonts w:ascii="Arial" w:hAnsi="Arial" w:cs="Arial"/>
          <w:b/>
          <w:color w:val="000000"/>
          <w:szCs w:val="24"/>
        </w:rPr>
      </w:pPr>
      <w:r>
        <w:rPr>
          <w:rFonts w:ascii="Arial" w:hAnsi="Arial" w:cs="Arial"/>
          <w:b/>
          <w:color w:val="000000"/>
          <w:szCs w:val="24"/>
        </w:rPr>
        <w:t>13.4</w:t>
      </w:r>
      <w:r>
        <w:rPr>
          <w:rFonts w:ascii="Arial" w:hAnsi="Arial" w:cs="Arial"/>
          <w:color w:val="000000"/>
          <w:szCs w:val="24"/>
        </w:rPr>
        <w:t>. A licitante que apresentar documentação autenticada por processo de autenticação digital feita por Cartório competente, com comprovante de autenticação devidamente instruído no processo fica dispensada do envio da documentação física na forma do item 13.2. deste edital;</w:t>
      </w:r>
    </w:p>
    <w:p>
      <w:pPr>
        <w:widowControl w:val="0"/>
        <w:spacing w:after="120"/>
        <w:jc w:val="both"/>
        <w:rPr>
          <w:rFonts w:ascii="Arial" w:hAnsi="Arial" w:cs="Arial"/>
          <w:szCs w:val="24"/>
        </w:rPr>
      </w:pPr>
      <w:r>
        <w:rPr>
          <w:rFonts w:ascii="Arial" w:hAnsi="Arial" w:cs="Arial"/>
          <w:b/>
          <w:szCs w:val="24"/>
        </w:rPr>
        <w:t xml:space="preserve">13.5. </w:t>
      </w:r>
      <w:r>
        <w:rPr>
          <w:rFonts w:ascii="Arial" w:hAnsi="Arial" w:cs="Arial"/>
          <w:szCs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after="120"/>
        <w:ind w:left="0"/>
        <w:jc w:val="both"/>
        <w:rPr>
          <w:rFonts w:cs="Arial"/>
          <w:color w:val="000000"/>
        </w:rPr>
      </w:pPr>
      <w:r>
        <w:rPr>
          <w:rFonts w:cs="Arial"/>
          <w:sz w:val="20"/>
        </w:rPr>
        <mc:AlternateContent>
          <mc:Choice Requires="wps">
            <w:drawing>
              <wp:anchor distT="0" distB="0" distL="114300" distR="114300" simplePos="0" relativeHeight="251670528" behindDoc="0" locked="0" layoutInCell="1" allowOverlap="1">
                <wp:simplePos x="0" y="0"/>
                <wp:positionH relativeFrom="column">
                  <wp:posOffset>-99060</wp:posOffset>
                </wp:positionH>
                <wp:positionV relativeFrom="paragraph">
                  <wp:posOffset>63500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XIV – DA FISCALIZAÇÃO DOS SERVIÇOS</w:t>
                            </w:r>
                          </w:p>
                        </w:txbxContent>
                      </wps:txbx>
                      <wps:bodyPr wrap="square" upright="1"/>
                    </wps:wsp>
                  </a:graphicData>
                </a:graphic>
              </wp:anchor>
            </w:drawing>
          </mc:Choice>
          <mc:Fallback>
            <w:pict>
              <v:rect id="Retângulo 16" o:spid="_x0000_s1026" o:spt="1" style="position:absolute;left:0pt;margin-left:-7.8pt;margin-top:5pt;height:23.25pt;width:492pt;z-index:251670528;mso-width-relative:page;mso-height-relative:page;" fillcolor="#D8D8D8" filled="t" stroked="t" coordsize="21600,21600" o:gfxdata="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GOsWi2AAAAAkBAAAPAAAAAAAAAAEAIAAA&#10;ACIAAABkcnMvZG93bnJldi54bWxQSwECFAAUAAAACACHTuJAzSoLM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XIV – DA FISCALIZAÇÃO DOS SERVIÇOS</w:t>
                      </w:r>
                    </w:p>
                  </w:txbxContent>
                </v:textbox>
              </v:rect>
            </w:pict>
          </mc:Fallback>
        </mc:AlternateContent>
      </w:r>
    </w:p>
    <w:p>
      <w:pPr>
        <w:pStyle w:val="2"/>
        <w:keepNext w:val="0"/>
        <w:widowControl w:val="0"/>
        <w:tabs>
          <w:tab w:val="left" w:pos="567"/>
          <w:tab w:val="left" w:pos="1134"/>
        </w:tabs>
        <w:spacing w:before="0" w:after="120"/>
        <w:ind w:left="0"/>
        <w:jc w:val="both"/>
        <w:rPr>
          <w:rFonts w:cs="Arial"/>
          <w:color w:val="000000"/>
        </w:rPr>
      </w:pPr>
    </w:p>
    <w:p>
      <w:pPr>
        <w:pStyle w:val="103"/>
        <w:widowControl w:val="0"/>
        <w:tabs>
          <w:tab w:val="left" w:pos="142"/>
        </w:tabs>
        <w:spacing w:after="120"/>
        <w:ind w:left="0"/>
        <w:jc w:val="both"/>
        <w:rPr>
          <w:rFonts w:ascii="Arial" w:hAnsi="Arial" w:eastAsia="Calibri" w:cs="Arial"/>
        </w:rPr>
      </w:pPr>
      <w:r>
        <w:rPr>
          <w:rFonts w:ascii="Arial" w:hAnsi="Arial" w:eastAsia="Calibri" w:cs="Arial"/>
          <w:b/>
        </w:rPr>
        <w:t xml:space="preserve">14.1. </w:t>
      </w:r>
      <w:r>
        <w:rPr>
          <w:rFonts w:ascii="Arial" w:hAnsi="Arial" w:eastAsia="Calibri" w:cs="Arial"/>
        </w:rPr>
        <w:t>A fiscalização exercerá rigoroso controle em relação às quantidades e à qualidade dos serviços executados, a fim de possibilitar a aplicação das penalidades previstas, quando desatendidas às disposições a elas relativas.</w:t>
      </w:r>
    </w:p>
    <w:p>
      <w:pPr>
        <w:pStyle w:val="103"/>
        <w:widowControl w:val="0"/>
        <w:tabs>
          <w:tab w:val="left" w:pos="142"/>
        </w:tabs>
        <w:spacing w:after="120"/>
        <w:ind w:left="0"/>
        <w:jc w:val="both"/>
        <w:rPr>
          <w:rFonts w:ascii="Arial" w:hAnsi="Arial" w:eastAsia="Calibri" w:cs="Arial"/>
        </w:rPr>
      </w:pPr>
      <w:r>
        <w:rPr>
          <w:rFonts w:ascii="Arial" w:hAnsi="Arial" w:eastAsia="Calibri" w:cs="Arial"/>
          <w:b/>
        </w:rPr>
        <w:t xml:space="preserve">14.2. </w:t>
      </w:r>
      <w:r>
        <w:rPr>
          <w:rFonts w:ascii="Arial" w:hAnsi="Arial" w:eastAsia="Calibri" w:cs="Arial"/>
          <w:color w:val="000000"/>
        </w:rPr>
        <w:t>A execução do objeto será acompanhada e fiscalizada pelo servidor Paulo Marcos de Moraes Coimbra como oficial e Edson Marcio a Silva Xavier  como suplente.</w:t>
      </w:r>
      <w:r>
        <w:rPr>
          <w:rFonts w:ascii="Arial" w:hAnsi="Arial" w:eastAsia="Calibri" w:cs="Arial"/>
          <w:b/>
          <w:color w:val="000000"/>
        </w:rPr>
        <w:t xml:space="preserve">, </w:t>
      </w:r>
      <w:r>
        <w:rPr>
          <w:rFonts w:ascii="Arial" w:hAnsi="Arial" w:eastAsia="Calibri" w:cs="Arial"/>
          <w:color w:val="000000"/>
        </w:rPr>
        <w:t>designados para esse fim, permitida a assistência de terceiros.</w:t>
      </w:r>
    </w:p>
    <w:p>
      <w:pPr>
        <w:pStyle w:val="2"/>
        <w:keepNext w:val="0"/>
        <w:widowControl w:val="0"/>
        <w:tabs>
          <w:tab w:val="left" w:pos="567"/>
          <w:tab w:val="left" w:pos="1134"/>
        </w:tabs>
        <w:spacing w:before="0" w:after="120"/>
        <w:ind w:left="0"/>
        <w:jc w:val="both"/>
        <w:rPr>
          <w:rFonts w:cs="Arial"/>
          <w:color w:val="000000"/>
        </w:rPr>
      </w:pPr>
      <w:r>
        <w:rPr>
          <w:rFonts w:cs="Arial"/>
          <w:sz w:val="20"/>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76200</wp:posOffset>
                </wp:positionV>
                <wp:extent cx="6285865" cy="295275"/>
                <wp:effectExtent l="4445" t="4445" r="34290" b="43180"/>
                <wp:wrapNone/>
                <wp:docPr id="13" name="Retângulo 17"/>
                <wp:cNvGraphicFramePr/>
                <a:graphic xmlns:a="http://schemas.openxmlformats.org/drawingml/2006/main">
                  <a:graphicData uri="http://schemas.microsoft.com/office/word/2010/wordprocessingShape">
                    <wps:wsp>
                      <wps:cNvSpPr/>
                      <wps:spPr>
                        <a:xfrm>
                          <a:off x="0" y="0"/>
                          <a:ext cx="628586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4.95pt;z-index:251671552;mso-width-relative:page;mso-height-relative:page;" fillcolor="#D8D8D8" filled="t" stroked="t" coordsize="21600,21600" o:gfxdata="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hCNgF2AAAAAkBAAAPAAAAAAAAAAEAIAAA&#10;ACIAAABkcnMvZG93bnJldi54bWxQSwECFAAUAAAACACHTuJAc1mFo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XV – DO RECURSO</w:t>
                      </w:r>
                    </w:p>
                  </w:txbxContent>
                </v:textbox>
              </v:rect>
            </w:pict>
          </mc:Fallback>
        </mc:AlternateContent>
      </w:r>
    </w:p>
    <w:p>
      <w:pPr>
        <w:pStyle w:val="2"/>
        <w:keepNext w:val="0"/>
        <w:widowControl w:val="0"/>
        <w:tabs>
          <w:tab w:val="left" w:pos="567"/>
          <w:tab w:val="left" w:pos="1134"/>
        </w:tabs>
        <w:spacing w:before="0" w:after="0"/>
        <w:ind w:left="0"/>
        <w:jc w:val="both"/>
        <w:rPr>
          <w:rFonts w:cs="Arial"/>
          <w:color w:val="000000"/>
        </w:rPr>
      </w:pPr>
    </w:p>
    <w:p>
      <w:pPr>
        <w:widowControl w:val="0"/>
        <w:numPr>
          <w:ilvl w:val="0"/>
          <w:numId w:val="10"/>
        </w:numPr>
        <w:spacing w:after="120"/>
        <w:ind w:left="360" w:hanging="360"/>
        <w:jc w:val="both"/>
        <w:rPr>
          <w:rFonts w:ascii="Arial" w:hAnsi="Arial" w:eastAsia="Calibri" w:cs="Arial"/>
          <w:vanish/>
          <w:color w:val="000000"/>
        </w:rPr>
      </w:pPr>
    </w:p>
    <w:p>
      <w:pPr>
        <w:pStyle w:val="31"/>
        <w:widowControl w:val="0"/>
        <w:tabs>
          <w:tab w:val="left" w:pos="284"/>
          <w:tab w:val="left" w:pos="567"/>
          <w:tab w:val="left" w:pos="1134"/>
          <w:tab w:val="clear" w:pos="4419"/>
          <w:tab w:val="clear" w:pos="8838"/>
        </w:tabs>
        <w:spacing w:after="120"/>
        <w:rPr>
          <w:rFonts w:ascii="Arial" w:hAnsi="Arial" w:eastAsia="Calibri" w:cs="Arial"/>
          <w:color w:val="000000"/>
        </w:rPr>
      </w:pPr>
      <w:r>
        <w:rPr>
          <w:rFonts w:ascii="Arial" w:hAnsi="Arial" w:eastAsia="Calibri" w:cs="Arial"/>
          <w:b/>
          <w:color w:val="000000"/>
        </w:rPr>
        <w:t xml:space="preserve">15.1. </w:t>
      </w:r>
      <w:r>
        <w:rPr>
          <w:rFonts w:ascii="Arial" w:hAnsi="Arial" w:eastAsia="Calibri" w:cs="Arial"/>
          <w:color w:val="000000"/>
        </w:rPr>
        <w:t xml:space="preserve">Declarada a vencedora, o(a) </w:t>
      </w:r>
      <w:r>
        <w:rPr>
          <w:rFonts w:ascii="Arial" w:hAnsi="Arial" w:eastAsia="Calibri" w:cs="Arial"/>
          <w:b/>
          <w:color w:val="000000"/>
        </w:rPr>
        <w:t>Pregoeiro(a)</w:t>
      </w:r>
      <w:r>
        <w:rPr>
          <w:rFonts w:ascii="Arial" w:hAnsi="Arial" w:eastAsia="Calibri" w:cs="Arial"/>
          <w:color w:val="000000"/>
        </w:rPr>
        <w:t xml:space="preserve"> abrirá prazo, durante o qual qualquer </w:t>
      </w:r>
      <w:r>
        <w:rPr>
          <w:rFonts w:ascii="Arial" w:hAnsi="Arial" w:eastAsia="Calibri" w:cs="Arial"/>
          <w:b/>
          <w:color w:val="000000"/>
        </w:rPr>
        <w:t>licitante</w:t>
      </w:r>
      <w:r>
        <w:rPr>
          <w:rFonts w:ascii="Arial" w:hAnsi="Arial" w:eastAsia="Calibri" w:cs="Arial"/>
          <w:color w:val="000000"/>
        </w:rPr>
        <w:t xml:space="preserve"> poderá, de forma imediata e motivada, em campo próprio do sistema, manifestar sua intenção de recurso;</w:t>
      </w:r>
    </w:p>
    <w:p>
      <w:pPr>
        <w:pStyle w:val="31"/>
        <w:widowControl w:val="0"/>
        <w:tabs>
          <w:tab w:val="left" w:pos="284"/>
          <w:tab w:val="left" w:pos="567"/>
          <w:tab w:val="left" w:pos="1134"/>
          <w:tab w:val="clear" w:pos="4419"/>
          <w:tab w:val="clear" w:pos="8838"/>
        </w:tabs>
        <w:spacing w:after="120"/>
        <w:ind w:left="720" w:leftChars="300"/>
        <w:rPr>
          <w:rFonts w:ascii="Arial" w:hAnsi="Arial" w:eastAsia="Calibri" w:cs="Arial"/>
          <w:color w:val="000000"/>
        </w:rPr>
      </w:pPr>
      <w:r>
        <w:rPr>
          <w:rFonts w:ascii="Arial" w:hAnsi="Arial" w:eastAsia="Calibri" w:cs="Arial"/>
          <w:b/>
          <w:color w:val="000000"/>
        </w:rPr>
        <w:t xml:space="preserve">15.1.1. </w:t>
      </w:r>
      <w:r>
        <w:rPr>
          <w:rFonts w:ascii="Arial" w:hAnsi="Arial" w:eastAsia="Calibri" w:cs="Arial"/>
          <w:color w:val="000000"/>
        </w:rPr>
        <w:t>Havendo quem se manifeste, caberá ao Pregoeiro verificar a tempestividade e a existência de motivação da intenção de recorrer, para decidir se admite ou não o recurso, fundamentadamente.</w:t>
      </w:r>
    </w:p>
    <w:p>
      <w:pPr>
        <w:pStyle w:val="31"/>
        <w:widowControl w:val="0"/>
        <w:tabs>
          <w:tab w:val="left" w:pos="284"/>
          <w:tab w:val="left" w:pos="567"/>
          <w:tab w:val="left" w:pos="1134"/>
          <w:tab w:val="clear" w:pos="4419"/>
          <w:tab w:val="clear" w:pos="8838"/>
        </w:tabs>
        <w:spacing w:after="120"/>
        <w:ind w:left="720" w:leftChars="300"/>
        <w:rPr>
          <w:rFonts w:ascii="Arial" w:hAnsi="Arial" w:eastAsia="Calibri" w:cs="Arial"/>
          <w:color w:val="000000"/>
        </w:rPr>
      </w:pPr>
      <w:r>
        <w:rPr>
          <w:rFonts w:ascii="Arial" w:hAnsi="Arial" w:eastAsia="Calibri" w:cs="Arial"/>
          <w:b/>
          <w:color w:val="000000"/>
        </w:rPr>
        <w:t xml:space="preserve">15.1.2. </w:t>
      </w:r>
      <w:r>
        <w:rPr>
          <w:rFonts w:ascii="Arial" w:hAnsi="Arial" w:eastAsia="Calibri" w:cs="Arial"/>
          <w:color w:val="000000"/>
        </w:rPr>
        <w:t>Nesse momento o Pregoeiro não adentrará no mérito recursal, mas apenas verificará as condições de admissibilidade do recurso.</w:t>
      </w:r>
    </w:p>
    <w:p>
      <w:pPr>
        <w:pStyle w:val="31"/>
        <w:widowControl w:val="0"/>
        <w:tabs>
          <w:tab w:val="left" w:pos="284"/>
          <w:tab w:val="left" w:pos="567"/>
          <w:tab w:val="left" w:pos="1134"/>
          <w:tab w:val="clear" w:pos="4419"/>
          <w:tab w:val="clear" w:pos="8838"/>
        </w:tabs>
        <w:spacing w:after="120"/>
        <w:rPr>
          <w:rFonts w:ascii="Arial" w:hAnsi="Arial" w:eastAsia="Calibri" w:cs="Arial"/>
          <w:color w:val="000000"/>
        </w:rPr>
      </w:pPr>
      <w:r>
        <w:rPr>
          <w:rFonts w:ascii="Arial" w:hAnsi="Arial" w:eastAsia="Calibri" w:cs="Arial"/>
          <w:b/>
          <w:color w:val="000000"/>
        </w:rPr>
        <w:t xml:space="preserve">15.2. </w:t>
      </w:r>
      <w:r>
        <w:rPr>
          <w:rFonts w:ascii="Arial" w:hAnsi="Arial" w:eastAsia="Calibri" w:cs="Arial"/>
          <w:color w:val="000000"/>
        </w:rPr>
        <w:t>A falta de manifestação motivada do licitante quanto à intenção de recorrer importará a decadência desse direito.</w:t>
      </w:r>
    </w:p>
    <w:p>
      <w:pPr>
        <w:pStyle w:val="31"/>
        <w:widowControl w:val="0"/>
        <w:tabs>
          <w:tab w:val="left" w:pos="284"/>
          <w:tab w:val="left" w:pos="567"/>
          <w:tab w:val="left" w:pos="1134"/>
          <w:tab w:val="clear" w:pos="4419"/>
          <w:tab w:val="clear" w:pos="8838"/>
        </w:tabs>
        <w:spacing w:after="120"/>
        <w:rPr>
          <w:rFonts w:ascii="Arial" w:hAnsi="Arial" w:eastAsia="Calibri" w:cs="Arial"/>
          <w:color w:val="000000"/>
        </w:rPr>
      </w:pPr>
      <w:r>
        <w:rPr>
          <w:rFonts w:ascii="Arial" w:hAnsi="Arial" w:eastAsia="Calibri" w:cs="Arial"/>
          <w:b/>
          <w:color w:val="000000"/>
        </w:rPr>
        <w:t xml:space="preserve">15.3. </w:t>
      </w:r>
      <w:r>
        <w:rPr>
          <w:rFonts w:ascii="Arial" w:hAnsi="Arial" w:eastAsia="Calibri" w:cs="Arial"/>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1"/>
        <w:widowControl w:val="0"/>
        <w:tabs>
          <w:tab w:val="left" w:pos="284"/>
          <w:tab w:val="left" w:pos="567"/>
          <w:tab w:val="left" w:pos="1134"/>
          <w:tab w:val="clear" w:pos="4419"/>
          <w:tab w:val="clear" w:pos="8838"/>
        </w:tabs>
        <w:spacing w:after="120"/>
        <w:rPr>
          <w:rFonts w:ascii="Arial" w:hAnsi="Arial" w:eastAsia="Calibri" w:cs="Arial"/>
          <w:color w:val="000000"/>
        </w:rPr>
      </w:pPr>
      <w:r>
        <w:rPr>
          <w:rFonts w:ascii="Arial" w:hAnsi="Arial" w:eastAsia="Calibri" w:cs="Arial"/>
          <w:b/>
          <w:color w:val="000000"/>
        </w:rPr>
        <w:t xml:space="preserve">15.4. </w:t>
      </w:r>
      <w:r>
        <w:rPr>
          <w:rFonts w:ascii="Arial" w:hAnsi="Arial" w:eastAsia="Calibri" w:cs="Arial"/>
          <w:color w:val="000000"/>
        </w:rPr>
        <w:t xml:space="preserve">Para efeito do disposto no §5º do artigo 109 da Lei nº 8.666/1993, fica a vista dos autos do Pregão Eletrônico n° 141/2023 franqueada aos interessados; </w:t>
      </w:r>
    </w:p>
    <w:p>
      <w:pPr>
        <w:pStyle w:val="31"/>
        <w:widowControl w:val="0"/>
        <w:tabs>
          <w:tab w:val="left" w:pos="284"/>
          <w:tab w:val="left" w:pos="567"/>
          <w:tab w:val="left" w:pos="1134"/>
          <w:tab w:val="clear" w:pos="4419"/>
          <w:tab w:val="clear" w:pos="8838"/>
        </w:tabs>
        <w:spacing w:after="120"/>
        <w:rPr>
          <w:rFonts w:ascii="Arial" w:hAnsi="Arial" w:eastAsia="Calibri" w:cs="Arial"/>
          <w:color w:val="000000"/>
        </w:rPr>
      </w:pPr>
      <w:r>
        <w:rPr>
          <w:rFonts w:ascii="Arial" w:hAnsi="Arial" w:eastAsia="Calibri" w:cs="Arial"/>
          <w:b/>
          <w:color w:val="000000"/>
        </w:rPr>
        <w:t xml:space="preserve">15.5. </w:t>
      </w:r>
      <w:r>
        <w:rPr>
          <w:rFonts w:ascii="Arial" w:hAnsi="Arial" w:eastAsia="Calibri" w:cs="Arial"/>
          <w:color w:val="000000"/>
        </w:rPr>
        <w:t xml:space="preserve">As intenções de recurso não admitidas e os recursos rejeitados pelo(a) </w:t>
      </w:r>
      <w:r>
        <w:rPr>
          <w:rFonts w:ascii="Arial" w:hAnsi="Arial" w:eastAsia="Calibri" w:cs="Arial"/>
          <w:b/>
          <w:color w:val="000000"/>
        </w:rPr>
        <w:t>Pregoeiro(a)</w:t>
      </w:r>
      <w:r>
        <w:rPr>
          <w:rFonts w:ascii="Arial" w:hAnsi="Arial" w:eastAsia="Calibri" w:cs="Arial"/>
          <w:color w:val="000000"/>
        </w:rPr>
        <w:t xml:space="preserve"> serão apreciados pela autoridade competente;</w:t>
      </w:r>
    </w:p>
    <w:p>
      <w:pPr>
        <w:pStyle w:val="31"/>
        <w:widowControl w:val="0"/>
        <w:tabs>
          <w:tab w:val="left" w:pos="284"/>
          <w:tab w:val="left" w:pos="567"/>
          <w:tab w:val="left" w:pos="1134"/>
          <w:tab w:val="clear" w:pos="4419"/>
          <w:tab w:val="clear" w:pos="8838"/>
        </w:tabs>
        <w:spacing w:after="120"/>
        <w:rPr>
          <w:rFonts w:ascii="Arial" w:hAnsi="Arial" w:eastAsia="Calibri" w:cs="Arial"/>
          <w:color w:val="000000"/>
        </w:rPr>
      </w:pPr>
      <w:r>
        <w:rPr>
          <w:rFonts w:ascii="Arial" w:hAnsi="Arial" w:eastAsia="Calibri" w:cs="Arial"/>
          <w:b/>
          <w:color w:val="000000"/>
        </w:rPr>
        <w:t xml:space="preserve">15.6. </w:t>
      </w:r>
      <w:r>
        <w:rPr>
          <w:rFonts w:ascii="Arial" w:hAnsi="Arial" w:eastAsia="Calibri" w:cs="Arial"/>
          <w:color w:val="000000"/>
        </w:rPr>
        <w:t>O acolhimento do recurso implicará a invalidação apenas dos atos insuscetíveis de aproveitamento.</w:t>
      </w:r>
    </w:p>
    <w:p>
      <w:pPr>
        <w:pStyle w:val="2"/>
        <w:keepNext w:val="0"/>
        <w:widowControl w:val="0"/>
        <w:tabs>
          <w:tab w:val="left" w:pos="567"/>
          <w:tab w:val="left" w:pos="1134"/>
        </w:tabs>
        <w:spacing w:before="0" w:after="120"/>
        <w:ind w:left="0"/>
        <w:jc w:val="both"/>
        <w:rPr>
          <w:rFonts w:cs="Arial"/>
          <w:color w:val="000000"/>
        </w:rPr>
      </w:pPr>
      <w:r>
        <w:rPr>
          <w:rFonts w:cs="Arial"/>
          <w:sz w:val="20"/>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55880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XVI – DA REABERTURA DA SESSÃO PÚBLICA</w:t>
                            </w:r>
                          </w:p>
                        </w:txbxContent>
                      </wps:txbx>
                      <wps:bodyPr wrap="square" upright="1"/>
                    </wps:wsp>
                  </a:graphicData>
                </a:graphic>
              </wp:anchor>
            </w:drawing>
          </mc:Choice>
          <mc:Fallback>
            <w:pict>
              <v:rect id="Retângulo 18" o:spid="_x0000_s1026" o:spt="1" style="position:absolute;left:0pt;margin-left:-8.55pt;margin-top:4.4pt;height:23.25pt;width:492pt;z-index:251672576;mso-width-relative:page;mso-height-relative:page;" fillcolor="#D8D8D8" filled="t" stroked="t" coordsize="21600,21600" o:gfxdata="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K97W/2AAAAAgBAAAPAAAAAAAAAAEAIAAA&#10;ACIAAABkcnMvZG93bnJldi54bWxQSwECFAAUAAAACACHTuJARR2b1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XVI – DA REABERTURA DA SESSÃO PÚBLICA</w:t>
                      </w:r>
                    </w:p>
                  </w:txbxContent>
                </v:textbox>
              </v:rect>
            </w:pict>
          </mc:Fallback>
        </mc:AlternateContent>
      </w:r>
    </w:p>
    <w:p>
      <w:pPr>
        <w:pStyle w:val="2"/>
        <w:keepNext w:val="0"/>
        <w:widowControl w:val="0"/>
        <w:tabs>
          <w:tab w:val="left" w:pos="567"/>
          <w:tab w:val="left" w:pos="1134"/>
        </w:tabs>
        <w:spacing w:before="0" w:after="120"/>
        <w:ind w:left="0"/>
        <w:jc w:val="both"/>
        <w:rPr>
          <w:rFonts w:cs="Arial"/>
          <w:color w:val="000000"/>
        </w:rPr>
      </w:pPr>
    </w:p>
    <w:p>
      <w:pPr>
        <w:widowControl w:val="0"/>
        <w:numPr>
          <w:ilvl w:val="0"/>
          <w:numId w:val="10"/>
        </w:numPr>
        <w:spacing w:after="120"/>
        <w:ind w:left="360" w:hanging="360"/>
        <w:jc w:val="both"/>
        <w:rPr>
          <w:rFonts w:ascii="Arial" w:hAnsi="Arial" w:eastAsia="Calibri" w:cs="Arial"/>
          <w:vanish/>
          <w:color w:val="000000"/>
        </w:rPr>
      </w:pPr>
    </w:p>
    <w:p>
      <w:pPr>
        <w:pStyle w:val="78"/>
        <w:keepNext w:val="0"/>
        <w:numPr>
          <w:ilvl w:val="0"/>
          <w:numId w:val="0"/>
        </w:numPr>
        <w:tabs>
          <w:tab w:val="left" w:pos="567"/>
        </w:tabs>
        <w:spacing w:before="120" w:line="240" w:lineRule="auto"/>
        <w:ind w:left="-17" w:leftChars="-7" w:right="0" w:firstLine="12" w:firstLineChars="5"/>
        <w:outlineLvl w:val="9"/>
        <w:rPr>
          <w:rFonts w:eastAsia="SimSun" w:cs="Arial"/>
          <w:b w:val="0"/>
          <w:color w:val="auto"/>
          <w:sz w:val="24"/>
        </w:rPr>
      </w:pPr>
      <w:r>
        <w:rPr>
          <w:rFonts w:eastAsia="SimSun" w:cs="Arial"/>
          <w:color w:val="auto"/>
          <w:sz w:val="24"/>
        </w:rPr>
        <w:t xml:space="preserve">16.1. </w:t>
      </w:r>
      <w:r>
        <w:rPr>
          <w:rFonts w:eastAsia="SimSun" w:cs="Arial"/>
          <w:b w:val="0"/>
          <w:color w:val="auto"/>
          <w:sz w:val="24"/>
        </w:rPr>
        <w:t>A sessão pública poderá ser reaberta:</w:t>
      </w:r>
    </w:p>
    <w:p>
      <w:pPr>
        <w:pStyle w:val="78"/>
        <w:keepNext w:val="0"/>
        <w:numPr>
          <w:ilvl w:val="0"/>
          <w:numId w:val="0"/>
        </w:numPr>
        <w:tabs>
          <w:tab w:val="left" w:pos="567"/>
        </w:tabs>
        <w:spacing w:before="120" w:line="240" w:lineRule="auto"/>
        <w:ind w:right="0"/>
        <w:outlineLvl w:val="9"/>
        <w:rPr>
          <w:rFonts w:eastAsia="SimSun" w:cs="Arial"/>
          <w:b w:val="0"/>
          <w:color w:val="auto"/>
          <w:sz w:val="24"/>
        </w:rPr>
      </w:pPr>
      <w:r>
        <w:rPr>
          <w:rFonts w:eastAsia="SimSun" w:cs="Arial"/>
          <w:color w:val="auto"/>
          <w:sz w:val="24"/>
        </w:rPr>
        <w:t xml:space="preserve">a) </w:t>
      </w:r>
      <w:r>
        <w:rPr>
          <w:rFonts w:eastAsia="SimSun" w:cs="Arial"/>
          <w:b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8"/>
        <w:keepNext w:val="0"/>
        <w:numPr>
          <w:ilvl w:val="0"/>
          <w:numId w:val="0"/>
        </w:numPr>
        <w:tabs>
          <w:tab w:val="left" w:pos="567"/>
        </w:tabs>
        <w:spacing w:before="120" w:line="240" w:lineRule="auto"/>
        <w:ind w:right="0"/>
        <w:rPr>
          <w:rFonts w:eastAsia="SimSun" w:cs="Arial"/>
          <w:b w:val="0"/>
          <w:color w:val="auto"/>
          <w:sz w:val="24"/>
        </w:rPr>
      </w:pPr>
      <w:r>
        <w:rPr>
          <w:rFonts w:eastAsia="SimSun" w:cs="Arial"/>
          <w:color w:val="auto"/>
          <w:sz w:val="24"/>
        </w:rPr>
        <w:t xml:space="preserve">b) </w:t>
      </w:r>
      <w:r>
        <w:rPr>
          <w:rFonts w:eastAsia="SimSun" w:cs="Arial"/>
          <w:b w:val="0"/>
          <w:color w:val="auto"/>
          <w:sz w:val="24"/>
        </w:rPr>
        <w:t xml:space="preserve">Quando houver erro na aceitação do preço melhor classificado ou quando o licitante declarado vencedor não assinar a ata/contrato, não retirar o instrumento equivalente ou não comprovar a regularização fiscal </w:t>
      </w:r>
      <w:r>
        <w:rPr>
          <w:rFonts w:cs="Arial"/>
          <w:b w:val="0"/>
          <w:sz w:val="24"/>
        </w:rPr>
        <w:t>e trabalhista</w:t>
      </w:r>
      <w:r>
        <w:rPr>
          <w:rFonts w:eastAsia="SimSun" w:cs="Arial"/>
          <w:b w:val="0"/>
          <w:color w:val="auto"/>
          <w:sz w:val="24"/>
        </w:rPr>
        <w:t xml:space="preserve">, nos termos do art. 43, §1º da LC nº 123/2006, serão adotados os procedimentos imediatamente posteriores ao encerramento da etapa de lances. </w:t>
      </w:r>
    </w:p>
    <w:p>
      <w:pPr>
        <w:pStyle w:val="78"/>
        <w:keepNext w:val="0"/>
        <w:numPr>
          <w:ilvl w:val="0"/>
          <w:numId w:val="0"/>
        </w:numPr>
        <w:tabs>
          <w:tab w:val="left" w:pos="567"/>
        </w:tabs>
        <w:spacing w:before="120" w:line="240" w:lineRule="auto"/>
        <w:ind w:left="-17" w:leftChars="-7" w:right="0" w:firstLine="12" w:firstLineChars="5"/>
        <w:outlineLvl w:val="9"/>
        <w:rPr>
          <w:rFonts w:eastAsia="SimSun" w:cs="Arial"/>
          <w:b w:val="0"/>
          <w:color w:val="auto"/>
          <w:sz w:val="24"/>
        </w:rPr>
      </w:pPr>
      <w:r>
        <w:rPr>
          <w:rFonts w:eastAsia="SimSun" w:cs="Arial"/>
          <w:color w:val="auto"/>
          <w:sz w:val="24"/>
        </w:rPr>
        <w:t xml:space="preserve">16.2. </w:t>
      </w:r>
      <w:r>
        <w:rPr>
          <w:rFonts w:eastAsia="SimSun" w:cs="Arial"/>
          <w:b w:val="0"/>
          <w:color w:val="auto"/>
          <w:sz w:val="24"/>
        </w:rPr>
        <w:t>Todos os licitantes remanescentes deverão ser convocados para acompanhar a sessão reaberta.</w:t>
      </w:r>
    </w:p>
    <w:p>
      <w:pPr>
        <w:pStyle w:val="78"/>
        <w:keepNext w:val="0"/>
        <w:numPr>
          <w:ilvl w:val="0"/>
          <w:numId w:val="0"/>
        </w:numPr>
        <w:tabs>
          <w:tab w:val="left" w:pos="567"/>
        </w:tabs>
        <w:spacing w:before="120" w:line="240" w:lineRule="auto"/>
        <w:ind w:left="-17" w:leftChars="-7" w:right="0" w:firstLine="12" w:firstLineChars="5"/>
        <w:outlineLvl w:val="9"/>
        <w:rPr>
          <w:rFonts w:eastAsia="SimSun" w:cs="Arial"/>
          <w:b w:val="0"/>
          <w:color w:val="auto"/>
          <w:sz w:val="24"/>
        </w:rPr>
      </w:pPr>
      <w:r>
        <w:rPr>
          <w:rFonts w:eastAsia="SimSun" w:cs="Arial"/>
          <w:color w:val="auto"/>
          <w:sz w:val="24"/>
        </w:rPr>
        <w:t xml:space="preserve">16.3. </w:t>
      </w:r>
      <w:r>
        <w:rPr>
          <w:rFonts w:eastAsia="SimSun" w:cs="Arial"/>
          <w:b w:val="0"/>
          <w:color w:val="auto"/>
          <w:sz w:val="24"/>
        </w:rPr>
        <w:t>A convocação se dará por meio do sistema eletrônico (“chat”) ou e-mail, de acordo com a fase do procedimento licitatório.</w:t>
      </w:r>
    </w:p>
    <w:p>
      <w:pPr>
        <w:pStyle w:val="78"/>
        <w:keepNext w:val="0"/>
        <w:numPr>
          <w:ilvl w:val="0"/>
          <w:numId w:val="0"/>
        </w:numPr>
        <w:tabs>
          <w:tab w:val="left" w:pos="567"/>
        </w:tabs>
        <w:spacing w:before="120" w:line="240" w:lineRule="auto"/>
        <w:ind w:left="-17" w:leftChars="-7" w:right="0" w:firstLine="12" w:firstLineChars="5"/>
        <w:outlineLvl w:val="9"/>
        <w:rPr>
          <w:rFonts w:eastAsia="SimSun" w:cs="Arial"/>
          <w:b w:val="0"/>
          <w:color w:val="auto"/>
          <w:sz w:val="24"/>
        </w:rPr>
      </w:pPr>
      <w:r>
        <w:rPr>
          <w:rFonts w:eastAsia="SimSun" w:cs="Arial"/>
          <w:color w:val="auto"/>
          <w:sz w:val="24"/>
        </w:rPr>
        <w:t xml:space="preserve">16.4. </w:t>
      </w:r>
      <w:r>
        <w:rPr>
          <w:rFonts w:eastAsia="SimSun" w:cs="Arial"/>
          <w:b w:val="0"/>
          <w:color w:val="auto"/>
          <w:sz w:val="24"/>
        </w:rPr>
        <w:t>A convocação feita por e-mail dar-se-á de acordo com os dados contidos no CRC ou outro documento, sendo responsabilidade do licitante manter seus dados cadastrais atualizados.</w:t>
      </w:r>
    </w:p>
    <w:p>
      <w:pPr>
        <w:pStyle w:val="103"/>
        <w:widowControl w:val="0"/>
        <w:tabs>
          <w:tab w:val="left" w:pos="567"/>
          <w:tab w:val="left" w:pos="851"/>
          <w:tab w:val="left" w:pos="1134"/>
        </w:tabs>
        <w:spacing w:after="120"/>
        <w:ind w:left="0"/>
        <w:jc w:val="both"/>
        <w:rPr>
          <w:rFonts w:ascii="Arial" w:hAnsi="Arial" w:eastAsia="Calibri" w:cs="Arial"/>
          <w:color w:val="000000"/>
        </w:rPr>
      </w:pPr>
      <w:r>
        <w:rPr>
          <w:rFonts w:ascii="Arial" w:hAnsi="Arial" w:cs="Arial"/>
          <w:sz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XVII – DA ADJUDICAÇÃO E HOMOLOGAÇÃO</w:t>
                            </w:r>
                          </w:p>
                          <w:p>
                            <w:pPr>
                              <w:rPr>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80768;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J7RPNcAAAAHAQAADwAAAAAAAAABACAAAAAi&#10;AAAAZHJzL2Rvd25yZXYueG1sUEsBAhQAFAAAAAgAh07iQPoLN31EAgAAwg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XVII – DA ADJUDICAÇÃO E HOMOLOGAÇÃO</w:t>
                      </w:r>
                    </w:p>
                    <w:p>
                      <w:pPr>
                        <w:rPr>
                          <w:sz w:val="20"/>
                        </w:rPr>
                      </w:pPr>
                    </w:p>
                  </w:txbxContent>
                </v:textbox>
              </v:rect>
            </w:pict>
          </mc:Fallback>
        </mc:AlternateContent>
      </w:r>
    </w:p>
    <w:p>
      <w:pPr>
        <w:pStyle w:val="103"/>
        <w:widowControl w:val="0"/>
        <w:tabs>
          <w:tab w:val="left" w:pos="567"/>
          <w:tab w:val="left" w:pos="851"/>
          <w:tab w:val="left" w:pos="1134"/>
        </w:tabs>
        <w:spacing w:after="120"/>
        <w:ind w:left="0"/>
        <w:jc w:val="both"/>
        <w:rPr>
          <w:rFonts w:ascii="Arial" w:hAnsi="Arial" w:eastAsia="Calibri" w:cs="Arial"/>
          <w:color w:val="000000"/>
        </w:rPr>
      </w:pPr>
    </w:p>
    <w:p>
      <w:pPr>
        <w:pStyle w:val="103"/>
        <w:widowControl w:val="0"/>
        <w:tabs>
          <w:tab w:val="left" w:pos="567"/>
          <w:tab w:val="left" w:pos="851"/>
          <w:tab w:val="left" w:pos="1134"/>
        </w:tabs>
        <w:spacing w:after="120"/>
        <w:ind w:left="0"/>
        <w:jc w:val="both"/>
        <w:rPr>
          <w:rFonts w:ascii="Arial" w:hAnsi="Arial" w:eastAsia="Calibri" w:cs="Arial"/>
          <w:color w:val="000000"/>
        </w:rPr>
      </w:pPr>
      <w:r>
        <w:rPr>
          <w:rFonts w:ascii="Arial" w:hAnsi="Arial" w:eastAsia="Calibri" w:cs="Arial"/>
          <w:b/>
          <w:color w:val="000000"/>
        </w:rPr>
        <w:t xml:space="preserve">17.1. </w:t>
      </w:r>
      <w:r>
        <w:rPr>
          <w:rFonts w:ascii="Arial" w:hAnsi="Arial" w:eastAsia="Calibri" w:cs="Arial"/>
          <w:color w:val="000000"/>
        </w:rPr>
        <w:t xml:space="preserve">O objeto deste </w:t>
      </w:r>
      <w:r>
        <w:rPr>
          <w:rFonts w:ascii="Arial" w:hAnsi="Arial" w:eastAsia="Calibri" w:cs="Arial"/>
          <w:b/>
          <w:color w:val="000000"/>
        </w:rPr>
        <w:t>Pregão</w:t>
      </w:r>
      <w:r>
        <w:rPr>
          <w:rFonts w:ascii="Arial" w:hAnsi="Arial" w:eastAsia="Calibri" w:cs="Arial"/>
          <w:color w:val="000000"/>
        </w:rPr>
        <w:t xml:space="preserve"> será adjudicado pelo(a) </w:t>
      </w:r>
      <w:r>
        <w:rPr>
          <w:rFonts w:ascii="Arial" w:hAnsi="Arial" w:eastAsia="Calibri" w:cs="Arial"/>
          <w:b/>
          <w:color w:val="000000"/>
        </w:rPr>
        <w:t>Pregoeiro(a)</w:t>
      </w:r>
      <w:r>
        <w:rPr>
          <w:rFonts w:ascii="Arial" w:hAnsi="Arial" w:eastAsia="Calibri" w:cs="Arial"/>
          <w:color w:val="000000"/>
        </w:rPr>
        <w:t>, salvo quando houver recurso, hipótese em que a adjudicação caberá à autoridade competente para homologação;</w:t>
      </w:r>
    </w:p>
    <w:p>
      <w:pPr>
        <w:pStyle w:val="103"/>
        <w:widowControl w:val="0"/>
        <w:tabs>
          <w:tab w:val="left" w:pos="567"/>
          <w:tab w:val="left" w:pos="851"/>
          <w:tab w:val="left" w:pos="1134"/>
        </w:tabs>
        <w:spacing w:before="120" w:beforeLines="50" w:after="120"/>
        <w:ind w:left="0"/>
        <w:jc w:val="both"/>
        <w:rPr>
          <w:rFonts w:ascii="Arial" w:hAnsi="Arial" w:eastAsia="Calibri" w:cs="Arial"/>
          <w:color w:val="000000"/>
        </w:rPr>
      </w:pPr>
      <w:r>
        <w:rPr>
          <w:rFonts w:ascii="Arial" w:hAnsi="Arial" w:eastAsia="Calibri" w:cs="Arial"/>
          <w:b/>
          <w:color w:val="000000"/>
        </w:rPr>
        <w:t xml:space="preserve">17.2. </w:t>
      </w:r>
      <w:r>
        <w:rPr>
          <w:rFonts w:ascii="Arial" w:hAnsi="Arial" w:eastAsia="Calibri" w:cs="Arial"/>
          <w:color w:val="000000"/>
        </w:rPr>
        <w:t xml:space="preserve">A homologação deste </w:t>
      </w:r>
      <w:r>
        <w:rPr>
          <w:rFonts w:ascii="Arial" w:hAnsi="Arial" w:eastAsia="Calibri" w:cs="Arial"/>
          <w:b/>
          <w:color w:val="000000"/>
        </w:rPr>
        <w:t>Pregão</w:t>
      </w:r>
      <w:r>
        <w:rPr>
          <w:rFonts w:ascii="Arial" w:hAnsi="Arial" w:eastAsia="Calibri" w:cs="Arial"/>
          <w:color w:val="000000"/>
        </w:rPr>
        <w:t xml:space="preserve"> compete ao Prefeito Municipal de Primavera do Leste – MT;</w:t>
      </w:r>
    </w:p>
    <w:p>
      <w:pPr>
        <w:pStyle w:val="103"/>
        <w:widowControl w:val="0"/>
        <w:tabs>
          <w:tab w:val="left" w:pos="567"/>
          <w:tab w:val="left" w:pos="851"/>
          <w:tab w:val="left" w:pos="1134"/>
        </w:tabs>
        <w:spacing w:before="120" w:beforeLines="50" w:after="120"/>
        <w:ind w:left="0"/>
        <w:jc w:val="both"/>
        <w:rPr>
          <w:rFonts w:ascii="Arial" w:hAnsi="Arial" w:eastAsia="Calibri" w:cs="Arial"/>
          <w:color w:val="000000"/>
        </w:rPr>
      </w:pPr>
      <w:r>
        <w:rPr>
          <w:rFonts w:ascii="Arial" w:hAnsi="Arial" w:cs="Arial"/>
          <w:sz w:val="20"/>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1792;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Rf0op1gAAAAcBAAAP&#10;AAAAAAAAAAEAIAAAACIAAABkcnMvZG93bnJldi54bWxQSwECFAAUAAAACACHTuJAvrm1qFMCAADZ&#10;BAAADgAAAAAAAAABACAAAAAlAQAAZHJzL2Uyb0RvYy54bWxQSwUGAAAAAAYABgBZAQAA6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XVIII – DA GARANTIA DE EXECUÇÃO DO CONTRATO</w:t>
                      </w:r>
                    </w:p>
                  </w:txbxContent>
                </v:textbox>
              </v:rect>
            </w:pict>
          </mc:Fallback>
        </mc:AlternateContent>
      </w:r>
    </w:p>
    <w:p>
      <w:pPr>
        <w:pStyle w:val="103"/>
        <w:widowControl w:val="0"/>
        <w:tabs>
          <w:tab w:val="left" w:pos="567"/>
          <w:tab w:val="left" w:pos="851"/>
          <w:tab w:val="left" w:pos="1134"/>
        </w:tabs>
        <w:spacing w:before="120" w:beforeLines="50" w:after="120"/>
        <w:ind w:left="0"/>
        <w:jc w:val="both"/>
        <w:rPr>
          <w:rFonts w:ascii="Arial" w:hAnsi="Arial" w:eastAsia="Calibri" w:cs="Arial"/>
          <w:color w:val="000000"/>
        </w:rPr>
      </w:pPr>
    </w:p>
    <w:p>
      <w:pPr>
        <w:pStyle w:val="103"/>
        <w:widowControl w:val="0"/>
        <w:tabs>
          <w:tab w:val="left" w:pos="567"/>
          <w:tab w:val="left" w:pos="851"/>
          <w:tab w:val="left" w:pos="1134"/>
        </w:tabs>
        <w:spacing w:before="120" w:beforeLines="50" w:after="120"/>
        <w:ind w:left="0"/>
        <w:jc w:val="both"/>
        <w:rPr>
          <w:rFonts w:ascii="Arial" w:hAnsi="Arial" w:eastAsia="Calibri" w:cs="Arial"/>
          <w:bCs/>
          <w:color w:val="000000"/>
        </w:rPr>
      </w:pPr>
      <w:r>
        <w:rPr>
          <w:rFonts w:ascii="Arial" w:hAnsi="Arial" w:eastAsia="Calibri" w:cs="Arial"/>
          <w:b/>
          <w:color w:val="000000"/>
        </w:rPr>
        <w:t xml:space="preserve">18.1. </w:t>
      </w:r>
      <w:r>
        <w:rPr>
          <w:rFonts w:ascii="Arial" w:hAnsi="Arial" w:eastAsia="Calibri" w:cs="Arial"/>
          <w:bCs/>
          <w:color w:val="000000"/>
        </w:rPr>
        <w:t>A(s) CONTRATADA(s) compromete(m)-se-à dar total garantia quanto a qualidade dos produtos fornecidos, bem como efetuar a substituição imediata, e totalmente às suas expensas de qualquer produto entregue comprovadamente adulterado ou inutilizável, portanto, fora das especificações técnicas e padrões de qualidade;</w:t>
      </w:r>
    </w:p>
    <w:p>
      <w:pPr>
        <w:pStyle w:val="103"/>
        <w:widowControl w:val="0"/>
        <w:tabs>
          <w:tab w:val="left" w:pos="567"/>
          <w:tab w:val="left" w:pos="851"/>
          <w:tab w:val="left" w:pos="1134"/>
        </w:tabs>
        <w:spacing w:before="120" w:beforeLines="50" w:after="120"/>
        <w:ind w:left="0"/>
        <w:jc w:val="both"/>
        <w:rPr>
          <w:rFonts w:ascii="Arial" w:hAnsi="Arial" w:eastAsia="Calibri" w:cs="Arial"/>
        </w:rPr>
      </w:pPr>
      <w:r>
        <w:rPr>
          <w:rFonts w:ascii="Arial" w:hAnsi="Arial" w:eastAsia="Calibri" w:cs="Arial"/>
          <w:b/>
          <w:color w:val="000000"/>
        </w:rPr>
        <w:t>18.2.</w:t>
      </w:r>
      <w:r>
        <w:rPr>
          <w:rFonts w:ascii="Arial" w:hAnsi="Arial" w:eastAsia="Calibri" w:cs="Arial"/>
          <w:bCs/>
          <w:color w:val="000000"/>
        </w:rPr>
        <w:t xml:space="preserve"> Quanto a garantia contratual, não será aplicada a esse processo.</w:t>
      </w:r>
    </w:p>
    <w:p>
      <w:pPr>
        <w:pStyle w:val="103"/>
        <w:widowControl w:val="0"/>
        <w:tabs>
          <w:tab w:val="left" w:pos="567"/>
          <w:tab w:val="left" w:pos="851"/>
          <w:tab w:val="left" w:pos="1134"/>
        </w:tabs>
        <w:spacing w:before="120" w:beforeLines="50"/>
        <w:ind w:left="0"/>
        <w:jc w:val="both"/>
        <w:rPr>
          <w:rFonts w:ascii="Arial" w:hAnsi="Arial" w:eastAsia="Calibri" w:cs="Arial"/>
        </w:rPr>
      </w:pPr>
    </w:p>
    <w:p>
      <w:pPr>
        <w:pStyle w:val="103"/>
        <w:widowControl w:val="0"/>
        <w:tabs>
          <w:tab w:val="left" w:pos="400"/>
          <w:tab w:val="left" w:pos="851"/>
          <w:tab w:val="left" w:pos="1134"/>
        </w:tabs>
        <w:spacing w:before="120" w:after="120"/>
        <w:ind w:left="7" w:hanging="7"/>
        <w:jc w:val="both"/>
        <w:rPr>
          <w:rFonts w:ascii="Arial" w:hAnsi="Arial" w:eastAsia="Calibri" w:cs="Arial"/>
          <w:color w:val="000000"/>
        </w:rPr>
      </w:pPr>
      <w:r>
        <w:rPr>
          <w:rFonts w:ascii="Arial" w:hAnsi="Arial" w:cs="Arial"/>
          <w:sz w:val="20"/>
        </w:rPr>
        <mc:AlternateContent>
          <mc:Choice Requires="wps">
            <w:drawing>
              <wp:anchor distT="0" distB="0" distL="114300" distR="114300" simplePos="0" relativeHeight="251677696"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7696;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MNBA9kAAAAJAQAADwAAAAAAAAABACAA&#10;AAAiAAAAZHJzL2Rvd25yZXYueG1sUEsBAhQAFAAAAAgAh07iQMD5co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XIX – DO INSTRUMENTO CONTRATUAL</w:t>
                      </w:r>
                    </w:p>
                  </w:txbxContent>
                </v:textbox>
              </v:rect>
            </w:pict>
          </mc:Fallback>
        </mc:AlternateContent>
      </w:r>
    </w:p>
    <w:p>
      <w:pPr>
        <w:spacing w:before="120" w:after="120"/>
        <w:jc w:val="both"/>
        <w:rPr>
          <w:rFonts w:ascii="Arial" w:hAnsi="Arial" w:cs="Arial"/>
          <w:color w:val="000000"/>
        </w:rPr>
      </w:pPr>
      <w:r>
        <w:rPr>
          <w:rFonts w:ascii="Arial" w:hAnsi="Arial" w:cs="Arial"/>
          <w:b/>
          <w:color w:val="000000"/>
        </w:rPr>
        <w:t xml:space="preserve">19.1. </w:t>
      </w:r>
      <w:r>
        <w:rPr>
          <w:rFonts w:ascii="Arial" w:hAnsi="Arial" w:cs="Arial"/>
          <w:color w:val="000000"/>
        </w:rPr>
        <w:t>Após a homologação da licitação, em sendo realizada a contratação, será firmado Termo de Contrato ou emitido instrumento equivalente, conforme solicitação das secretarias participantes.</w:t>
      </w:r>
    </w:p>
    <w:p>
      <w:pPr>
        <w:spacing w:before="120" w:after="120"/>
        <w:jc w:val="both"/>
        <w:rPr>
          <w:rFonts w:ascii="Arial" w:hAnsi="Arial" w:cs="Arial"/>
          <w:color w:val="000000"/>
        </w:rPr>
      </w:pPr>
      <w:r>
        <w:rPr>
          <w:rFonts w:ascii="Arial" w:hAnsi="Arial" w:cs="Arial"/>
          <w:b/>
          <w:color w:val="000000"/>
        </w:rPr>
        <w:t xml:space="preserve">19.2. </w:t>
      </w:r>
      <w:r>
        <w:rPr>
          <w:rFonts w:ascii="Arial" w:hAnsi="Arial" w:cs="Arial"/>
          <w:color w:val="000000"/>
        </w:rPr>
        <w:t xml:space="preserve">O adjudicatário terá o prazo de </w:t>
      </w:r>
      <w:r>
        <w:rPr>
          <w:rFonts w:ascii="Arial" w:hAnsi="Arial" w:eastAsia="Calibri" w:cs="Arial"/>
          <w:b/>
        </w:rPr>
        <w:t>5</w:t>
      </w:r>
      <w:r>
        <w:rPr>
          <w:rFonts w:ascii="Arial" w:hAnsi="Arial" w:eastAsia="Calibri" w:cs="Arial"/>
        </w:rPr>
        <w:t xml:space="preserve"> </w:t>
      </w:r>
      <w:r>
        <w:rPr>
          <w:rFonts w:ascii="Arial" w:hAnsi="Arial" w:eastAsia="Calibri" w:cs="Arial"/>
          <w:b/>
        </w:rPr>
        <w:t>(cinco) dias úteis</w:t>
      </w:r>
      <w:r>
        <w:rPr>
          <w:rFonts w:ascii="Arial" w:hAnsi="Arial" w:cs="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spacing w:before="120" w:after="120"/>
        <w:ind w:left="720" w:leftChars="300"/>
        <w:jc w:val="both"/>
        <w:rPr>
          <w:rFonts w:ascii="Arial" w:hAnsi="Arial" w:cs="Arial"/>
          <w:color w:val="000000"/>
        </w:rPr>
      </w:pPr>
      <w:r>
        <w:rPr>
          <w:rFonts w:ascii="Arial" w:hAnsi="Arial" w:cs="Arial"/>
          <w:b/>
          <w:color w:val="000000"/>
        </w:rPr>
        <w:t xml:space="preserve">19.2.1. </w:t>
      </w:r>
      <w:r>
        <w:rPr>
          <w:rFonts w:ascii="Arial" w:hAnsi="Arial" w:cs="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ascii="Arial" w:hAnsi="Arial" w:eastAsia="Calibri" w:cs="Arial"/>
          <w:b/>
        </w:rPr>
        <w:t>5</w:t>
      </w:r>
      <w:r>
        <w:rPr>
          <w:rFonts w:ascii="Arial" w:hAnsi="Arial" w:eastAsia="Calibri" w:cs="Arial"/>
        </w:rPr>
        <w:t xml:space="preserve"> </w:t>
      </w:r>
      <w:r>
        <w:rPr>
          <w:rFonts w:ascii="Arial" w:hAnsi="Arial" w:eastAsia="Calibri" w:cs="Arial"/>
          <w:b/>
        </w:rPr>
        <w:t>(cinco) dias úteis</w:t>
      </w:r>
      <w:r>
        <w:rPr>
          <w:rFonts w:ascii="Arial" w:hAnsi="Arial" w:cs="Arial"/>
          <w:color w:val="000000"/>
        </w:rPr>
        <w:t xml:space="preserve">, a contar da data de seu recebimento. </w:t>
      </w:r>
    </w:p>
    <w:p>
      <w:pPr>
        <w:spacing w:before="120" w:after="120"/>
        <w:jc w:val="both"/>
        <w:rPr>
          <w:rFonts w:ascii="Arial" w:hAnsi="Arial" w:cs="Arial"/>
          <w:color w:val="000000"/>
        </w:rPr>
      </w:pPr>
      <w:r>
        <w:rPr>
          <w:rFonts w:ascii="Arial" w:hAnsi="Arial" w:cs="Arial"/>
          <w:b/>
          <w:color w:val="000000"/>
        </w:rPr>
        <w:t xml:space="preserve">19.3. </w:t>
      </w:r>
      <w:r>
        <w:rPr>
          <w:rFonts w:ascii="Arial" w:hAnsi="Arial" w:cs="Arial"/>
          <w:color w:val="000000"/>
        </w:rPr>
        <w:t>O prazo previsto no subitem anterior poderá ser prorrogado, por igual período, por solicitação justificada do adjudicatário e aceita pela Administração.</w:t>
      </w:r>
    </w:p>
    <w:p>
      <w:pPr>
        <w:spacing w:before="120" w:after="120"/>
        <w:jc w:val="both"/>
        <w:rPr>
          <w:rFonts w:ascii="Arial" w:hAnsi="Arial" w:cs="Arial"/>
          <w:color w:val="000000"/>
        </w:rPr>
      </w:pPr>
      <w:r>
        <w:rPr>
          <w:rFonts w:ascii="Arial" w:hAnsi="Arial" w:cs="Arial"/>
          <w:b/>
          <w:color w:val="000000"/>
        </w:rPr>
        <w:t xml:space="preserve">19.4. </w:t>
      </w:r>
      <w:r>
        <w:rPr>
          <w:rFonts w:ascii="Arial" w:hAnsi="Arial" w:cs="Arial"/>
          <w:color w:val="000000"/>
        </w:rPr>
        <w:t>O Aceite da Nota de Empenho ou do instrumento equivalente, emitida à empresa adjudicada, implica no reconhecimento de que:</w:t>
      </w:r>
    </w:p>
    <w:p>
      <w:pPr>
        <w:spacing w:before="120" w:after="120"/>
        <w:ind w:left="1680" w:leftChars="700"/>
        <w:jc w:val="both"/>
        <w:rPr>
          <w:rFonts w:ascii="Arial" w:hAnsi="Arial" w:cs="Arial"/>
          <w:color w:val="000000"/>
        </w:rPr>
      </w:pPr>
      <w:r>
        <w:rPr>
          <w:rFonts w:ascii="Arial" w:hAnsi="Arial" w:cs="Arial"/>
          <w:b/>
          <w:color w:val="000000"/>
        </w:rPr>
        <w:t xml:space="preserve">19.4.1. </w:t>
      </w:r>
      <w:r>
        <w:rPr>
          <w:rFonts w:ascii="Arial" w:hAnsi="Arial" w:cs="Arial"/>
          <w:color w:val="000000"/>
        </w:rPr>
        <w:t>referida Nota está substituindo o contrato, aplicando-se à relação de negócios ali estabelecida as disposições da Lei nº 8.666, de 1993;</w:t>
      </w:r>
    </w:p>
    <w:p>
      <w:pPr>
        <w:spacing w:before="120" w:after="120"/>
        <w:ind w:left="1680" w:leftChars="700"/>
        <w:jc w:val="both"/>
        <w:rPr>
          <w:rFonts w:ascii="Arial" w:hAnsi="Arial" w:cs="Arial"/>
          <w:color w:val="000000"/>
        </w:rPr>
      </w:pPr>
      <w:r>
        <w:rPr>
          <w:rFonts w:ascii="Arial" w:hAnsi="Arial" w:cs="Arial"/>
          <w:b/>
          <w:color w:val="000000"/>
        </w:rPr>
        <w:t xml:space="preserve">19.4.2. </w:t>
      </w:r>
      <w:r>
        <w:rPr>
          <w:rFonts w:ascii="Arial" w:hAnsi="Arial" w:cs="Arial"/>
          <w:color w:val="000000"/>
        </w:rPr>
        <w:t>a contratada se vincula à sua proposta e às previsões contidas no edital e seus anexos;</w:t>
      </w:r>
    </w:p>
    <w:p>
      <w:pPr>
        <w:spacing w:before="120" w:after="120"/>
        <w:ind w:left="1680" w:leftChars="700"/>
        <w:jc w:val="both"/>
        <w:rPr>
          <w:rFonts w:ascii="Arial" w:hAnsi="Arial" w:cs="Arial"/>
          <w:color w:val="000000"/>
        </w:rPr>
      </w:pPr>
      <w:r>
        <w:rPr>
          <w:rFonts w:ascii="Arial" w:hAnsi="Arial" w:cs="Arial"/>
          <w:b/>
          <w:color w:val="000000"/>
        </w:rPr>
        <w:t xml:space="preserve">19.4.3. </w:t>
      </w:r>
      <w:r>
        <w:rPr>
          <w:rFonts w:ascii="Arial" w:hAnsi="Arial" w:cs="Arial"/>
          <w:color w:val="000000"/>
        </w:rPr>
        <w:t>a contratada reconhece que as hipóteses de rescisão são aquelas previstas nos artigos 77 e 78 da Lei nº 8.666/93 e reconhece os direitos da Administração previstos nos artigos 79 e 80 da mesma Lei.</w:t>
      </w:r>
    </w:p>
    <w:p>
      <w:pPr>
        <w:spacing w:before="120" w:after="120"/>
        <w:jc w:val="both"/>
        <w:rPr>
          <w:rFonts w:ascii="Arial" w:hAnsi="Arial" w:cs="Arial"/>
          <w:color w:val="000000"/>
        </w:rPr>
      </w:pPr>
      <w:r>
        <w:rPr>
          <w:rFonts w:ascii="Arial" w:hAnsi="Arial" w:cs="Arial"/>
          <w:b/>
          <w:color w:val="000000"/>
        </w:rPr>
        <w:t xml:space="preserve">19.5. </w:t>
      </w:r>
      <w:r>
        <w:rPr>
          <w:rFonts w:ascii="Arial" w:hAnsi="Arial" w:cs="Arial"/>
          <w:color w:val="000000"/>
        </w:rPr>
        <w:t xml:space="preserve">O prazo de vigência da contratação será de 12 (doze) meses prorrogável conforme </w:t>
      </w:r>
      <w:r>
        <w:rPr>
          <w:rFonts w:ascii="Arial" w:hAnsi="Arial" w:cs="Arial"/>
        </w:rPr>
        <w:t>previsão no instrumento contratual</w:t>
      </w:r>
      <w:r>
        <w:rPr>
          <w:rFonts w:ascii="Arial" w:hAnsi="Arial" w:cs="Arial"/>
          <w:color w:val="000000"/>
        </w:rPr>
        <w:t xml:space="preserve">. </w:t>
      </w:r>
    </w:p>
    <w:p>
      <w:pPr>
        <w:spacing w:before="120" w:after="120"/>
        <w:jc w:val="both"/>
        <w:rPr>
          <w:rFonts w:ascii="Arial" w:hAnsi="Arial" w:cs="Arial"/>
          <w:color w:val="000000"/>
        </w:rPr>
      </w:pPr>
      <w:r>
        <w:rPr>
          <w:rFonts w:ascii="Arial" w:hAnsi="Arial" w:cs="Arial"/>
          <w:b/>
          <w:color w:val="000000"/>
        </w:rPr>
        <w:t xml:space="preserve">19.6. </w:t>
      </w:r>
      <w:r>
        <w:rPr>
          <w:rFonts w:ascii="Arial" w:hAnsi="Arial" w:cs="Arial"/>
          <w:color w:val="000000"/>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spacing w:before="120"/>
        <w:jc w:val="both"/>
        <w:rPr>
          <w:rFonts w:ascii="Arial" w:hAnsi="Arial" w:cs="Arial"/>
          <w:color w:val="000000"/>
        </w:rPr>
      </w:pPr>
      <w:r>
        <w:rPr>
          <w:rFonts w:ascii="Arial" w:hAnsi="Arial" w:cs="Arial"/>
          <w:b/>
          <w:color w:val="000000"/>
        </w:rPr>
        <w:t xml:space="preserve">19.7. </w:t>
      </w:r>
      <w:r>
        <w:rPr>
          <w:rFonts w:ascii="Arial" w:hAnsi="Arial" w:cs="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spacing w:before="120" w:after="120"/>
        <w:jc w:val="both"/>
        <w:rPr>
          <w:rFonts w:ascii="Arial" w:hAnsi="Arial" w:cs="Arial"/>
          <w:color w:val="000000"/>
          <w:lang w:eastAsia="en-US"/>
        </w:rPr>
      </w:pPr>
      <w:r>
        <w:rPr>
          <w:rFonts w:ascii="Arial" w:hAnsi="Arial" w:cs="Arial"/>
          <w:b/>
          <w:color w:val="000000"/>
          <w:lang w:eastAsia="en-US"/>
        </w:rPr>
        <w:t>19</w:t>
      </w:r>
      <w:r>
        <w:rPr>
          <w:rFonts w:ascii="Arial" w:hAnsi="Arial" w:eastAsia="Calibri" w:cs="Arial"/>
          <w:b/>
          <w:color w:val="000000"/>
          <w:lang w:eastAsia="en-US"/>
        </w:rPr>
        <w:t>.</w:t>
      </w:r>
      <w:r>
        <w:rPr>
          <w:rFonts w:ascii="Arial" w:hAnsi="Arial" w:cs="Arial"/>
          <w:b/>
          <w:color w:val="000000"/>
          <w:lang w:eastAsia="en-US"/>
        </w:rPr>
        <w:t>8</w:t>
      </w:r>
      <w:r>
        <w:rPr>
          <w:rFonts w:ascii="Arial" w:hAnsi="Arial" w:eastAsia="Calibri" w:cs="Arial"/>
          <w:b/>
          <w:color w:val="000000"/>
          <w:lang w:eastAsia="en-US"/>
        </w:rPr>
        <w:t xml:space="preserve">. </w:t>
      </w:r>
      <w:r>
        <w:rPr>
          <w:rFonts w:ascii="Arial" w:hAnsi="Arial" w:cs="Arial"/>
          <w:bCs/>
          <w:color w:val="000000"/>
          <w:lang w:eastAsia="en-US"/>
        </w:rPr>
        <w:t>N</w:t>
      </w:r>
      <w:r>
        <w:rPr>
          <w:rFonts w:ascii="Arial" w:hAnsi="Arial" w:cs="Arial"/>
          <w:color w:val="000000"/>
        </w:rPr>
        <w:t xml:space="preserve">o ato da assinatura da Ata de Registro de Preços ou do Termo de Contrato as cooperativas </w:t>
      </w:r>
      <w:r>
        <w:rPr>
          <w:rFonts w:ascii="Arial" w:hAnsi="Arial" w:cs="Arial"/>
          <w:color w:val="000000"/>
          <w:lang w:eastAsia="en-US"/>
        </w:rPr>
        <w:t>deverão apresentar:</w:t>
      </w:r>
    </w:p>
    <w:p>
      <w:pPr>
        <w:spacing w:before="120" w:after="120"/>
        <w:ind w:firstLine="700"/>
        <w:jc w:val="both"/>
        <w:rPr>
          <w:rFonts w:ascii="Arial" w:hAnsi="Arial" w:cs="Arial"/>
          <w:color w:val="000000"/>
          <w:lang w:eastAsia="en-US"/>
        </w:rPr>
      </w:pPr>
      <w:r>
        <w:rPr>
          <w:rFonts w:ascii="Arial" w:hAnsi="Arial" w:cs="Arial"/>
          <w:b/>
          <w:bCs/>
          <w:color w:val="000000"/>
          <w:lang w:eastAsia="en-US"/>
        </w:rPr>
        <w:t>19.8.1.</w:t>
      </w:r>
      <w:r>
        <w:rPr>
          <w:rFonts w:ascii="Arial" w:hAnsi="Arial" w:cs="Arial"/>
          <w:color w:val="000000"/>
          <w:lang w:eastAsia="en-US"/>
        </w:rPr>
        <w:t xml:space="preserve"> Ata e lista de presença da reunião, assembleia ou sessão em que os cooperados autorizem a cooperativa a contratar com a municipalidade.</w:t>
      </w:r>
    </w:p>
    <w:p>
      <w:pPr>
        <w:spacing w:before="120" w:after="120"/>
        <w:ind w:firstLine="700"/>
        <w:jc w:val="both"/>
        <w:rPr>
          <w:rFonts w:ascii="Arial" w:hAnsi="Arial" w:cs="Arial"/>
          <w:color w:val="000000"/>
          <w:lang w:eastAsia="en-US"/>
        </w:rPr>
      </w:pPr>
      <w:r>
        <w:rPr>
          <w:rFonts w:ascii="Arial" w:hAnsi="Arial" w:cs="Arial"/>
          <w:color w:val="000000"/>
          <w:lang w:eastAsia="en-US"/>
        </w:rPr>
        <w:t xml:space="preserve"> </w:t>
      </w:r>
      <w:r>
        <w:rPr>
          <w:rFonts w:ascii="Arial" w:hAnsi="Arial" w:cs="Arial"/>
          <w:b/>
          <w:bCs/>
          <w:color w:val="000000"/>
          <w:lang w:eastAsia="en-US"/>
        </w:rPr>
        <w:t>19.8.2.</w:t>
      </w:r>
      <w:r>
        <w:rPr>
          <w:rFonts w:ascii="Arial" w:hAnsi="Arial" w:cs="Arial"/>
          <w:color w:val="000000"/>
          <w:lang w:eastAsia="en-US"/>
        </w:rPr>
        <w:t xml:space="preserve"> Comprovação de que os cooperados que executarão a Ata de Registro de Preços ou Termo de Contrato realizaram a integralização das respectivas quotas-partes nas cooperativas. </w:t>
      </w:r>
    </w:p>
    <w:p>
      <w:pPr>
        <w:spacing w:before="120" w:after="120"/>
        <w:jc w:val="both"/>
        <w:rPr>
          <w:rFonts w:ascii="Arial" w:hAnsi="Arial" w:cs="Arial"/>
          <w:color w:val="000000"/>
          <w:lang w:eastAsia="en-US"/>
        </w:rPr>
      </w:pPr>
      <w:r>
        <w:rPr>
          <w:rFonts w:ascii="Arial" w:hAnsi="Arial" w:cs="Arial"/>
          <w:sz w:val="20"/>
        </w:rPr>
        <mc:AlternateContent>
          <mc:Choice Requires="wps">
            <w:drawing>
              <wp:anchor distT="0" distB="0" distL="114300" distR="114300" simplePos="0" relativeHeight="251682816" behindDoc="0" locked="0" layoutInCell="1" allowOverlap="1">
                <wp:simplePos x="0" y="0"/>
                <wp:positionH relativeFrom="column">
                  <wp:posOffset>-57785</wp:posOffset>
                </wp:positionH>
                <wp:positionV relativeFrom="paragraph">
                  <wp:posOffset>35560</wp:posOffset>
                </wp:positionV>
                <wp:extent cx="6304915" cy="313690"/>
                <wp:effectExtent l="4445" t="4445" r="34290" b="43815"/>
                <wp:wrapNone/>
                <wp:docPr id="24" name="Retângulo 44"/>
                <wp:cNvGraphicFramePr/>
                <a:graphic xmlns:a="http://schemas.openxmlformats.org/drawingml/2006/main">
                  <a:graphicData uri="http://schemas.microsoft.com/office/word/2010/wordprocessingShape">
                    <wps:wsp>
                      <wps:cNvSpPr/>
                      <wps:spPr>
                        <a:xfrm>
                          <a:off x="0" y="0"/>
                          <a:ext cx="6304915" cy="31369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4.55pt;margin-top:2.8pt;height:24.7pt;width:496.45pt;z-index:251682816;mso-width-relative:page;mso-height-relative:page;" fillcolor="#D8D8D8" filled="t" stroked="t" coordsize="21600,21600" o:gfxdata="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PrautYA&#10;AAAHAQAADwAAAAAAAAABACAAAAAiAAAAZHJzL2Rvd25yZXYueG1sUEsBAhQAFAAAAAgAh07iQEdE&#10;OqpaAgAA2gQAAA4AAAAAAAAAAQAgAAAAJQEAAGRycy9lMm9Eb2MueG1sUEsFBgAAAAAGAAYAWQEA&#10;APEFA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 - DAS OBRIGAÇÕES DO CONTRATANTE</w:t>
                      </w:r>
                    </w:p>
                  </w:txbxContent>
                </v:textbox>
              </v:rect>
            </w:pict>
          </mc:Fallback>
        </mc:AlternateContent>
      </w:r>
    </w:p>
    <w:p>
      <w:pPr>
        <w:spacing w:before="120" w:after="120"/>
        <w:jc w:val="both"/>
        <w:rPr>
          <w:rFonts w:ascii="Arial" w:hAnsi="Arial" w:cs="Arial"/>
          <w:b/>
          <w:color w:val="000000"/>
        </w:rPr>
      </w:pPr>
    </w:p>
    <w:p>
      <w:pPr>
        <w:widowControl w:val="0"/>
        <w:autoSpaceDE w:val="0"/>
        <w:autoSpaceDN w:val="0"/>
        <w:adjustRightInd w:val="0"/>
        <w:spacing w:after="120"/>
        <w:jc w:val="both"/>
        <w:rPr>
          <w:rFonts w:ascii="Arial" w:hAnsi="Arial" w:eastAsia="Calibri" w:cs="Arial"/>
          <w:color w:val="000000"/>
        </w:rPr>
      </w:pPr>
      <w:r>
        <w:rPr>
          <w:rFonts w:ascii="Arial" w:hAnsi="Arial" w:cs="Arial"/>
          <w:b/>
          <w:color w:val="000000"/>
        </w:rPr>
        <w:t xml:space="preserve">20.1. </w:t>
      </w:r>
      <w:r>
        <w:rPr>
          <w:rFonts w:ascii="Arial" w:hAnsi="Arial" w:eastAsia="Calibri" w:cs="Arial"/>
          <w:color w:val="000000"/>
        </w:rPr>
        <w:t>Oferecer todas as informações necessárias para que a licitante vencedora possa executar o objeto adjudicado dentro das especificações;</w:t>
      </w:r>
    </w:p>
    <w:p>
      <w:pPr>
        <w:widowControl w:val="0"/>
        <w:autoSpaceDE w:val="0"/>
        <w:autoSpaceDN w:val="0"/>
        <w:adjustRightInd w:val="0"/>
        <w:spacing w:after="120"/>
        <w:jc w:val="both"/>
        <w:rPr>
          <w:rFonts w:ascii="Arial" w:hAnsi="Arial" w:eastAsia="Calibri" w:cs="Arial"/>
          <w:color w:val="000000"/>
        </w:rPr>
      </w:pPr>
      <w:r>
        <w:rPr>
          <w:rFonts w:ascii="Arial" w:hAnsi="Arial" w:eastAsia="Calibri" w:cs="Arial"/>
          <w:b/>
          <w:color w:val="000000"/>
        </w:rPr>
        <w:t>20.2.</w:t>
      </w:r>
      <w:r>
        <w:rPr>
          <w:rFonts w:ascii="Arial" w:hAnsi="Arial" w:eastAsia="Calibri" w:cs="Arial"/>
          <w:color w:val="000000"/>
        </w:rPr>
        <w:t xml:space="preserve"> Efetuar os pagamentos nas condições e prazos estipulados no </w:t>
      </w:r>
      <w:r>
        <w:rPr>
          <w:rFonts w:ascii="Arial" w:hAnsi="Arial" w:eastAsia="Calibri" w:cs="Arial"/>
          <w:b/>
          <w:color w:val="000000"/>
        </w:rPr>
        <w:t>Termo de Referência</w:t>
      </w:r>
      <w:r>
        <w:rPr>
          <w:rFonts w:ascii="Arial" w:hAnsi="Arial" w:eastAsia="Calibri" w:cs="Arial"/>
          <w:color w:val="000000"/>
        </w:rPr>
        <w:t>, Anexo I deste Edital;</w:t>
      </w:r>
    </w:p>
    <w:p>
      <w:pPr>
        <w:widowControl w:val="0"/>
        <w:autoSpaceDE w:val="0"/>
        <w:autoSpaceDN w:val="0"/>
        <w:adjustRightInd w:val="0"/>
        <w:spacing w:after="120"/>
        <w:jc w:val="both"/>
        <w:rPr>
          <w:rFonts w:ascii="Arial" w:hAnsi="Arial" w:eastAsia="Calibri" w:cs="Arial"/>
        </w:rPr>
      </w:pPr>
      <w:r>
        <w:rPr>
          <w:rFonts w:ascii="Arial" w:hAnsi="Arial" w:eastAsia="Calibri" w:cs="Arial"/>
          <w:b/>
          <w:color w:val="000000"/>
        </w:rPr>
        <w:t>20.3</w:t>
      </w:r>
      <w:r>
        <w:rPr>
          <w:rFonts w:ascii="Arial" w:hAnsi="Arial" w:eastAsia="Calibri" w:cs="Arial"/>
          <w:color w:val="000000"/>
        </w:rPr>
        <w:t xml:space="preserve">. </w:t>
      </w:r>
      <w:r>
        <w:rPr>
          <w:rFonts w:ascii="Arial" w:hAnsi="Arial" w:eastAsia="Calibri" w:cs="Arial"/>
        </w:rPr>
        <w:t>Proporcionar todas as facilidades visando à boa execução do objeto do contrato</w:t>
      </w:r>
      <w:r>
        <w:rPr>
          <w:rFonts w:ascii="Arial" w:hAnsi="Arial" w:eastAsia="Calibri" w:cs="Arial"/>
          <w:color w:val="000000"/>
        </w:rPr>
        <w:t>;</w:t>
      </w:r>
    </w:p>
    <w:p>
      <w:pPr>
        <w:widowControl w:val="0"/>
        <w:autoSpaceDE w:val="0"/>
        <w:autoSpaceDN w:val="0"/>
        <w:adjustRightInd w:val="0"/>
        <w:spacing w:after="120"/>
        <w:jc w:val="both"/>
        <w:rPr>
          <w:rFonts w:ascii="Arial" w:hAnsi="Arial" w:eastAsia="Calibri" w:cs="Arial"/>
        </w:rPr>
      </w:pPr>
      <w:r>
        <w:rPr>
          <w:rFonts w:ascii="Arial" w:hAnsi="Arial" w:eastAsia="Calibri" w:cs="Arial"/>
          <w:b/>
          <w:color w:val="000000"/>
        </w:rPr>
        <w:t>20.4</w:t>
      </w:r>
      <w:r>
        <w:rPr>
          <w:rFonts w:ascii="Arial" w:hAnsi="Arial" w:eastAsia="Calibri" w:cs="Arial"/>
          <w:color w:val="000000"/>
        </w:rPr>
        <w:t xml:space="preserve">. </w:t>
      </w:r>
      <w:r>
        <w:rPr>
          <w:rFonts w:ascii="Arial" w:hAnsi="Arial" w:eastAsia="Calibri" w:cs="Arial"/>
        </w:rPr>
        <w:t>Manter preposto, formalmente designado por cada secretaria, para fiscalizar o Contrato.</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20.5</w:t>
      </w:r>
      <w:r>
        <w:rPr>
          <w:rFonts w:ascii="Arial" w:hAnsi="Arial" w:eastAsia="Calibri" w:cs="Arial"/>
          <w:color w:val="000000"/>
        </w:rPr>
        <w:t>.</w:t>
      </w:r>
      <w:r>
        <w:rPr>
          <w:rFonts w:ascii="Arial" w:hAnsi="Arial" w:eastAsia="Calibri" w:cs="Arial"/>
          <w:bCs/>
          <w:szCs w:val="24"/>
        </w:rPr>
        <w:t xml:space="preserve"> Em obediência a Resolução Nº 98 de 10/11/2009 deverá fazer retenção e realizar as provisões de encargos trabalhistas relativas a férias, 13º salário e multa do FGTS por dispensa sem justa causa, às empresas contratadas para prestar serviços de forma contínua, sejam glosadas do valor mensal do contrato e depositadas em banco oficial escolhido pela administração. </w:t>
      </w:r>
    </w:p>
    <w:p>
      <w:pPr>
        <w:pStyle w:val="58"/>
        <w:spacing w:after="120" w:afterLines="50"/>
        <w:ind w:left="709" w:right="240" w:rightChars="100"/>
        <w:jc w:val="both"/>
        <w:rPr>
          <w:rFonts w:ascii="Arial" w:hAnsi="Arial" w:eastAsia="Calibri" w:cs="Arial"/>
          <w:bCs/>
          <w:szCs w:val="24"/>
        </w:rPr>
      </w:pPr>
      <w:r>
        <w:rPr>
          <w:rFonts w:ascii="Arial" w:hAnsi="Arial" w:eastAsia="Calibri" w:cs="Arial"/>
          <w:b/>
          <w:color w:val="000000"/>
        </w:rPr>
        <w:t>20.5.1.</w:t>
      </w:r>
      <w:r>
        <w:rPr>
          <w:rFonts w:ascii="Arial" w:hAnsi="Arial" w:eastAsia="Calibri" w:cs="Arial"/>
          <w:bCs/>
          <w:szCs w:val="24"/>
        </w:rPr>
        <w:t xml:space="preserve"> Os depósitos de que trata o item 10.6. devem ser efetivados em conta corrente vinculada - bloqueada para movimentação - aberta em nome da empresa, unicamente para essa finalidade e com movimentação somente por ordem da  CONTRATANTE.</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20.6.</w:t>
      </w:r>
      <w:r>
        <w:rPr>
          <w:rFonts w:ascii="Arial" w:hAnsi="Arial" w:eastAsia="Calibri" w:cs="Arial"/>
          <w:bCs/>
          <w:szCs w:val="24"/>
        </w:rPr>
        <w:t xml:space="preserve"> O montante do depósito vinculado será igual ao somatório dos valores das seguintes provisões previstas para o período de contratação:</w:t>
      </w:r>
    </w:p>
    <w:p>
      <w:pPr>
        <w:pStyle w:val="58"/>
        <w:spacing w:after="120" w:afterLines="50"/>
        <w:ind w:left="709" w:right="240" w:rightChars="100"/>
        <w:jc w:val="both"/>
        <w:rPr>
          <w:rFonts w:ascii="Arial" w:hAnsi="Arial" w:eastAsia="Calibri" w:cs="Arial"/>
          <w:bCs/>
          <w:szCs w:val="24"/>
        </w:rPr>
      </w:pPr>
      <w:r>
        <w:rPr>
          <w:rFonts w:ascii="Arial" w:hAnsi="Arial" w:eastAsia="Calibri" w:cs="Arial"/>
          <w:b/>
          <w:color w:val="000000"/>
        </w:rPr>
        <w:t>20.6.</w:t>
      </w:r>
      <w:r>
        <w:rPr>
          <w:rFonts w:ascii="Arial" w:hAnsi="Arial" w:eastAsia="Calibri" w:cs="Arial"/>
          <w:b/>
          <w:szCs w:val="24"/>
        </w:rPr>
        <w:t>1.</w:t>
      </w:r>
      <w:r>
        <w:rPr>
          <w:rFonts w:ascii="Arial" w:hAnsi="Arial" w:eastAsia="Calibri" w:cs="Arial"/>
          <w:bCs/>
          <w:szCs w:val="24"/>
        </w:rPr>
        <w:t xml:space="preserve"> 13º salário;</w:t>
      </w:r>
    </w:p>
    <w:p>
      <w:pPr>
        <w:pStyle w:val="58"/>
        <w:spacing w:after="120" w:afterLines="50"/>
        <w:ind w:left="709" w:right="240" w:rightChars="100"/>
        <w:jc w:val="both"/>
        <w:rPr>
          <w:rFonts w:ascii="Arial" w:hAnsi="Arial" w:eastAsia="Calibri" w:cs="Arial"/>
          <w:bCs/>
          <w:szCs w:val="24"/>
        </w:rPr>
      </w:pPr>
      <w:r>
        <w:rPr>
          <w:rFonts w:ascii="Arial" w:hAnsi="Arial" w:eastAsia="Calibri" w:cs="Arial"/>
          <w:b/>
          <w:color w:val="000000"/>
        </w:rPr>
        <w:t>20.6.</w:t>
      </w:r>
      <w:r>
        <w:rPr>
          <w:rFonts w:ascii="Arial" w:hAnsi="Arial" w:eastAsia="Calibri" w:cs="Arial"/>
          <w:b/>
          <w:szCs w:val="24"/>
        </w:rPr>
        <w:t>2.</w:t>
      </w:r>
      <w:r>
        <w:rPr>
          <w:rFonts w:ascii="Arial" w:hAnsi="Arial" w:eastAsia="Calibri" w:cs="Arial"/>
          <w:bCs/>
          <w:szCs w:val="24"/>
        </w:rPr>
        <w:t xml:space="preserve"> Férias e Abono de Férias;</w:t>
      </w:r>
    </w:p>
    <w:p>
      <w:pPr>
        <w:pStyle w:val="58"/>
        <w:spacing w:after="120" w:afterLines="50"/>
        <w:ind w:left="709" w:right="240" w:rightChars="100"/>
        <w:jc w:val="both"/>
        <w:rPr>
          <w:rFonts w:ascii="Arial" w:hAnsi="Arial" w:eastAsia="Calibri" w:cs="Arial"/>
          <w:bCs/>
          <w:szCs w:val="24"/>
        </w:rPr>
      </w:pPr>
      <w:r>
        <w:rPr>
          <w:rFonts w:ascii="Arial" w:hAnsi="Arial" w:eastAsia="Calibri" w:cs="Arial"/>
          <w:b/>
          <w:color w:val="000000"/>
        </w:rPr>
        <w:t>20.6.</w:t>
      </w:r>
      <w:r>
        <w:rPr>
          <w:rFonts w:ascii="Arial" w:hAnsi="Arial" w:eastAsia="Calibri" w:cs="Arial"/>
          <w:b/>
          <w:szCs w:val="24"/>
        </w:rPr>
        <w:t xml:space="preserve">3. </w:t>
      </w:r>
      <w:r>
        <w:rPr>
          <w:rFonts w:ascii="Arial" w:hAnsi="Arial" w:eastAsia="Calibri" w:cs="Arial"/>
          <w:bCs/>
          <w:szCs w:val="24"/>
        </w:rPr>
        <w:t>Impacto sobre férias e 13º salário;</w:t>
      </w:r>
    </w:p>
    <w:p>
      <w:pPr>
        <w:pStyle w:val="58"/>
        <w:spacing w:after="120" w:afterLines="50"/>
        <w:ind w:left="709" w:right="240" w:rightChars="100"/>
        <w:jc w:val="both"/>
        <w:rPr>
          <w:rFonts w:ascii="Arial" w:hAnsi="Arial" w:eastAsia="Calibri" w:cs="Arial"/>
          <w:bCs/>
          <w:szCs w:val="24"/>
        </w:rPr>
      </w:pPr>
      <w:r>
        <w:rPr>
          <w:rFonts w:ascii="Arial" w:hAnsi="Arial" w:eastAsia="Calibri" w:cs="Arial"/>
          <w:b/>
          <w:color w:val="000000"/>
        </w:rPr>
        <w:t>20.6.</w:t>
      </w:r>
      <w:r>
        <w:rPr>
          <w:rFonts w:ascii="Arial" w:hAnsi="Arial" w:eastAsia="Calibri" w:cs="Arial"/>
          <w:b/>
          <w:szCs w:val="24"/>
        </w:rPr>
        <w:t>4.</w:t>
      </w:r>
      <w:r>
        <w:rPr>
          <w:rFonts w:ascii="Arial" w:hAnsi="Arial" w:eastAsia="Calibri" w:cs="Arial"/>
          <w:bCs/>
          <w:szCs w:val="24"/>
        </w:rPr>
        <w:t xml:space="preserve"> multa do FGTS.</w:t>
      </w:r>
    </w:p>
    <w:p>
      <w:pPr>
        <w:pStyle w:val="58"/>
        <w:spacing w:after="120" w:afterLines="50"/>
        <w:ind w:left="709" w:right="240" w:rightChars="100"/>
        <w:jc w:val="both"/>
        <w:rPr>
          <w:rFonts w:ascii="Arial" w:hAnsi="Arial" w:eastAsia="Calibri" w:cs="Arial"/>
          <w:bCs/>
          <w:szCs w:val="24"/>
        </w:rPr>
      </w:pPr>
      <w:r>
        <w:rPr>
          <w:rFonts w:ascii="Arial" w:hAnsi="Arial" w:eastAsia="Calibri" w:cs="Arial"/>
          <w:b/>
          <w:color w:val="000000"/>
        </w:rPr>
        <w:t>20.6.</w:t>
      </w:r>
      <w:r>
        <w:rPr>
          <w:rFonts w:ascii="Arial" w:hAnsi="Arial" w:eastAsia="Calibri" w:cs="Arial"/>
          <w:b/>
          <w:szCs w:val="24"/>
        </w:rPr>
        <w:t>5.</w:t>
      </w:r>
      <w:r>
        <w:rPr>
          <w:rFonts w:ascii="Arial" w:hAnsi="Arial" w:eastAsia="Calibri" w:cs="Arial"/>
          <w:bCs/>
          <w:szCs w:val="24"/>
        </w:rPr>
        <w:t xml:space="preserve"> Os valores provisionados para o atendimento deste artigo serão obtidos pela aplicação de percentuais e valores constantes da proposta.</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20.7</w:t>
      </w:r>
      <w:r>
        <w:rPr>
          <w:rFonts w:ascii="Arial" w:hAnsi="Arial" w:eastAsia="Calibri" w:cs="Arial"/>
          <w:b/>
          <w:szCs w:val="24"/>
        </w:rPr>
        <w:t>.</w:t>
      </w:r>
      <w:r>
        <w:rPr>
          <w:rFonts w:ascii="Arial" w:hAnsi="Arial" w:eastAsia="Calibri" w:cs="Arial"/>
          <w:bCs/>
          <w:szCs w:val="24"/>
        </w:rPr>
        <w:t xml:space="preserve"> Os valores referentes às provisões de encargos trabalhistas mencionados no ITEM 20.5. depositados na conta corrente vinculada - bloqueada para movimentação - deixarão de compor o valor do pagamento mensal à empresa.</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20.8.</w:t>
      </w:r>
      <w:r>
        <w:rPr>
          <w:rFonts w:ascii="Arial" w:hAnsi="Arial" w:eastAsia="Calibri" w:cs="Arial"/>
          <w:bCs/>
          <w:szCs w:val="24"/>
        </w:rPr>
        <w:t xml:space="preserve"> O saldo total da conta corrente vinculada - bloqueada para movimentação - será liberado à empresa, no momento do encerramento do contrato, na presença do sindicato da categoria correspondente aos serviços contratados, ocorrendo ou não o desligamento dos empregados.</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20.9</w:t>
      </w:r>
      <w:r>
        <w:rPr>
          <w:rFonts w:ascii="Arial" w:hAnsi="Arial" w:eastAsia="Calibri" w:cs="Arial"/>
          <w:b/>
          <w:szCs w:val="24"/>
          <w:lang w:eastAsia="zh-CN"/>
        </w:rPr>
        <w:t>.</w:t>
      </w:r>
      <w:r>
        <w:rPr>
          <w:rFonts w:ascii="Arial" w:hAnsi="Arial" w:eastAsia="Calibri" w:cs="Arial"/>
          <w:bCs/>
          <w:szCs w:val="24"/>
          <w:lang w:eastAsia="zh-CN"/>
        </w:rPr>
        <w:t xml:space="preserve"> </w:t>
      </w:r>
      <w:r>
        <w:rPr>
          <w:rFonts w:ascii="Arial" w:hAnsi="Arial" w:eastAsia="Calibri" w:cs="Arial"/>
          <w:bCs/>
          <w:szCs w:val="24"/>
          <w:lang w:val="pt-BR" w:eastAsia="zh-CN"/>
        </w:rPr>
        <w:t xml:space="preserve">Em razão da súmula nº 331 do Tribunal Superior do Trabalho, </w:t>
      </w:r>
      <w:r>
        <w:rPr>
          <w:rFonts w:ascii="Arial" w:hAnsi="Arial" w:eastAsia="Calibri" w:cs="Arial"/>
          <w:bCs/>
          <w:szCs w:val="24"/>
          <w:lang w:eastAsia="zh-CN"/>
        </w:rPr>
        <w:t>obedecerá</w:t>
      </w:r>
      <w:r>
        <w:rPr>
          <w:rFonts w:ascii="Arial" w:hAnsi="Arial" w:eastAsia="Calibri" w:cs="Arial"/>
          <w:bCs/>
          <w:szCs w:val="24"/>
          <w:lang w:val="pt-BR" w:eastAsia="zh-CN"/>
        </w:rPr>
        <w:t xml:space="preserve"> as seguintes regras para a garantia do cumprimento das obrigações trabalhistas nas contratações de serviços continuados com dedicação exclusiva da mão de obra:</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20.9.</w:t>
      </w:r>
      <w:r>
        <w:rPr>
          <w:rFonts w:ascii="Arial" w:hAnsi="Arial" w:eastAsia="Calibri" w:cs="Arial"/>
          <w:b/>
          <w:szCs w:val="24"/>
          <w:lang w:eastAsia="zh-CN"/>
        </w:rPr>
        <w:t>1.</w:t>
      </w:r>
      <w:r>
        <w:rPr>
          <w:rFonts w:ascii="Arial" w:hAnsi="Arial" w:eastAsia="Calibri" w:cs="Arial"/>
          <w:bCs/>
          <w:szCs w:val="24"/>
          <w:lang w:val="pt-BR" w:eastAsia="zh-CN"/>
        </w:rPr>
        <w:t xml:space="preserve"> - </w:t>
      </w:r>
      <w:r>
        <w:rPr>
          <w:rFonts w:ascii="Arial" w:hAnsi="Arial" w:eastAsia="Calibri" w:cs="Arial"/>
          <w:bCs/>
          <w:szCs w:val="24"/>
          <w:lang w:eastAsia="zh-CN"/>
        </w:rPr>
        <w:t>P</w:t>
      </w:r>
      <w:r>
        <w:rPr>
          <w:rFonts w:ascii="Arial" w:hAnsi="Arial" w:eastAsia="Calibri" w:cs="Arial"/>
          <w:bCs/>
          <w:szCs w:val="24"/>
          <w:lang w:val="pt-BR" w:eastAsia="zh-CN"/>
        </w:rPr>
        <w:t>revisão de que os valores provisionados para o pagamento das férias, 13º salário e rescisão contratual dos trabalhadores da contratada serão depositados pela Administração em conta vinculada específica, que somente será liberada para o pagamento direto dessas verbas aos trabalhadores, nas seguintes condições:</w:t>
      </w:r>
    </w:p>
    <w:p>
      <w:pPr>
        <w:pStyle w:val="58"/>
        <w:spacing w:after="120" w:afterLines="50"/>
        <w:ind w:left="709" w:right="240" w:rightChars="100"/>
        <w:jc w:val="both"/>
        <w:rPr>
          <w:rFonts w:ascii="Arial" w:hAnsi="Arial" w:eastAsia="Calibri" w:cs="Arial"/>
          <w:bCs/>
          <w:szCs w:val="24"/>
        </w:rPr>
      </w:pPr>
      <w:r>
        <w:rPr>
          <w:rFonts w:ascii="Arial" w:hAnsi="Arial" w:eastAsia="Calibri" w:cs="Arial"/>
          <w:bCs/>
          <w:szCs w:val="24"/>
          <w:lang w:val="pt-BR" w:eastAsia="zh-CN"/>
        </w:rPr>
        <w:t>a) parcial e anualmente, pelo valor correspondente aos 13ºs salários, quando devidos;</w:t>
      </w:r>
    </w:p>
    <w:p>
      <w:pPr>
        <w:pStyle w:val="58"/>
        <w:spacing w:after="120" w:afterLines="50"/>
        <w:ind w:left="709" w:right="240" w:rightChars="100"/>
        <w:jc w:val="both"/>
        <w:rPr>
          <w:rFonts w:ascii="Arial" w:hAnsi="Arial" w:eastAsia="Calibri" w:cs="Arial"/>
          <w:bCs/>
          <w:szCs w:val="24"/>
        </w:rPr>
      </w:pPr>
      <w:r>
        <w:rPr>
          <w:rFonts w:ascii="Arial" w:hAnsi="Arial" w:eastAsia="Calibri" w:cs="Arial"/>
          <w:bCs/>
          <w:szCs w:val="24"/>
          <w:lang w:val="pt-BR" w:eastAsia="zh-CN"/>
        </w:rPr>
        <w:t>b) parcialmente, pelo valor correspondente aos 1/3 de férias, quando dos gozos de férias dos empregados vinculados ao contrato;</w:t>
      </w:r>
    </w:p>
    <w:p>
      <w:pPr>
        <w:pStyle w:val="58"/>
        <w:spacing w:after="120" w:afterLines="50"/>
        <w:ind w:left="709" w:right="240" w:rightChars="100"/>
        <w:jc w:val="both"/>
        <w:rPr>
          <w:rFonts w:ascii="Arial" w:hAnsi="Arial" w:eastAsia="Calibri" w:cs="Arial"/>
          <w:bCs/>
          <w:szCs w:val="24"/>
        </w:rPr>
      </w:pPr>
      <w:r>
        <w:rPr>
          <w:rFonts w:ascii="Arial" w:hAnsi="Arial" w:eastAsia="Calibri" w:cs="Arial"/>
          <w:bCs/>
          <w:szCs w:val="24"/>
          <w:lang w:val="pt-BR" w:eastAsia="zh-CN"/>
        </w:rPr>
        <w:t>c) parcialmente, pelo valor correspondente aos 13ºs salários proporcionais, férias proporcionais e à indenização compensatória porventura devida sobre o FGTS, quando da demissão de empregado vinculado ao contrato;</w:t>
      </w:r>
    </w:p>
    <w:p>
      <w:pPr>
        <w:pStyle w:val="58"/>
        <w:spacing w:after="120" w:afterLines="50"/>
        <w:ind w:left="709" w:right="240" w:rightChars="100"/>
        <w:jc w:val="both"/>
        <w:rPr>
          <w:rFonts w:ascii="Arial" w:hAnsi="Arial" w:eastAsia="Calibri" w:cs="Arial"/>
          <w:bCs/>
          <w:szCs w:val="24"/>
        </w:rPr>
      </w:pPr>
      <w:r>
        <w:rPr>
          <w:rFonts w:ascii="Arial" w:hAnsi="Arial" w:eastAsia="Calibri" w:cs="Arial"/>
          <w:bCs/>
          <w:szCs w:val="24"/>
          <w:lang w:val="pt-BR" w:eastAsia="zh-CN"/>
        </w:rPr>
        <w:t>d) ao final da vigência do contrato, para o pagamento das verbas rescisórias; e</w:t>
      </w:r>
    </w:p>
    <w:p>
      <w:pPr>
        <w:pStyle w:val="58"/>
        <w:spacing w:after="120" w:afterLines="50"/>
        <w:ind w:left="709" w:right="240" w:rightChars="100"/>
        <w:jc w:val="both"/>
        <w:rPr>
          <w:rFonts w:ascii="Arial" w:hAnsi="Arial" w:eastAsia="Calibri" w:cs="Arial"/>
          <w:bCs/>
          <w:szCs w:val="24"/>
        </w:rPr>
      </w:pPr>
      <w:r>
        <w:rPr>
          <w:rFonts w:ascii="Arial" w:hAnsi="Arial" w:eastAsia="Calibri" w:cs="Arial"/>
          <w:bCs/>
          <w:szCs w:val="24"/>
          <w:lang w:val="pt-BR" w:eastAsia="zh-CN"/>
        </w:rPr>
        <w:t>e) o saldo restante, com a execução completa do contrato, após a comprovação, por parte da empresa, da quitação de todos os encargos trabalhistas e previdenciários relativos ao serviço contratado;</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20.9</w:t>
      </w:r>
      <w:r>
        <w:rPr>
          <w:rFonts w:ascii="Arial" w:hAnsi="Arial" w:eastAsia="Calibri" w:cs="Arial"/>
          <w:b/>
          <w:szCs w:val="24"/>
          <w:lang w:eastAsia="zh-CN"/>
        </w:rPr>
        <w:t>.2.</w:t>
      </w:r>
      <w:r>
        <w:rPr>
          <w:rFonts w:ascii="Arial" w:hAnsi="Arial" w:eastAsia="Calibri" w:cs="Arial"/>
          <w:bCs/>
          <w:szCs w:val="24"/>
          <w:lang w:val="pt-BR" w:eastAsia="zh-CN"/>
        </w:rPr>
        <w:t xml:space="preserve"> </w:t>
      </w:r>
      <w:r>
        <w:rPr>
          <w:rFonts w:ascii="Arial" w:hAnsi="Arial" w:eastAsia="Calibri" w:cs="Arial"/>
          <w:bCs/>
          <w:szCs w:val="24"/>
          <w:lang w:eastAsia="zh-CN"/>
        </w:rPr>
        <w:t xml:space="preserve">A </w:t>
      </w:r>
      <w:r>
        <w:rPr>
          <w:rFonts w:ascii="Arial" w:hAnsi="Arial" w:eastAsia="Calibri" w:cs="Arial"/>
          <w:bCs/>
          <w:szCs w:val="24"/>
          <w:lang w:val="pt-BR" w:eastAsia="zh-CN"/>
        </w:rPr>
        <w:t>obrigação da contratada de, no momento da assinatura do contrato, autorizar a Administração contratante a fazer a retenção na fatura e o depósito direto dos valores devidos ao Fundo de Garantia do Tempo de Serviço – FGTS nas respectivas contas vinculadas dos trabalhadores da contratada, observada a legislação específica;</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20.9</w:t>
      </w:r>
      <w:r>
        <w:rPr>
          <w:rFonts w:ascii="Arial" w:hAnsi="Arial" w:eastAsia="Calibri" w:cs="Arial"/>
          <w:b/>
          <w:szCs w:val="24"/>
          <w:lang w:eastAsia="zh-CN"/>
        </w:rPr>
        <w:t>.3.</w:t>
      </w:r>
      <w:r>
        <w:rPr>
          <w:rFonts w:ascii="Arial" w:hAnsi="Arial" w:eastAsia="Calibri" w:cs="Arial"/>
          <w:bCs/>
          <w:szCs w:val="24"/>
          <w:lang w:val="pt-BR" w:eastAsia="zh-CN"/>
        </w:rPr>
        <w:t xml:space="preserve"> previsão de que o pagamento dos salários dos empregados pela empresa contratada deverá ocorrer via depósito bancário na conta do trabalhador, de modo a possibilitar a conferência do pagamento por parte da Administração; e</w:t>
      </w:r>
    </w:p>
    <w:p>
      <w:pPr>
        <w:pStyle w:val="58"/>
        <w:spacing w:after="120" w:afterLines="50"/>
        <w:ind w:right="240" w:rightChars="100"/>
        <w:jc w:val="both"/>
        <w:rPr>
          <w:rFonts w:ascii="Arial" w:hAnsi="Arial" w:eastAsia="Calibri" w:cs="Arial"/>
          <w:bCs/>
          <w:szCs w:val="24"/>
        </w:rPr>
      </w:pPr>
      <w:r>
        <w:rPr>
          <w:rFonts w:ascii="Arial" w:hAnsi="Arial" w:eastAsia="Calibri" w:cs="Arial"/>
          <w:b/>
          <w:color w:val="000000"/>
        </w:rPr>
        <w:t>20.9</w:t>
      </w:r>
      <w:r>
        <w:rPr>
          <w:rFonts w:ascii="Arial" w:hAnsi="Arial" w:eastAsia="Calibri" w:cs="Arial"/>
          <w:b/>
          <w:szCs w:val="24"/>
          <w:lang w:eastAsia="zh-CN"/>
        </w:rPr>
        <w:t>.4.</w:t>
      </w:r>
      <w:r>
        <w:rPr>
          <w:rFonts w:ascii="Arial" w:hAnsi="Arial" w:eastAsia="Calibri" w:cs="Arial"/>
          <w:bCs/>
          <w:szCs w:val="24"/>
          <w:lang w:val="pt-BR" w:eastAsia="zh-CN"/>
        </w:rPr>
        <w:t xml:space="preserve"> </w:t>
      </w:r>
      <w:r>
        <w:rPr>
          <w:rFonts w:ascii="Arial" w:hAnsi="Arial" w:eastAsia="Calibri" w:cs="Arial"/>
          <w:bCs/>
          <w:szCs w:val="24"/>
          <w:lang w:eastAsia="zh-CN"/>
        </w:rPr>
        <w:t>A</w:t>
      </w:r>
      <w:r>
        <w:rPr>
          <w:rFonts w:ascii="Arial" w:hAnsi="Arial" w:eastAsia="Calibri" w:cs="Arial"/>
          <w:bCs/>
          <w:szCs w:val="24"/>
          <w:lang w:val="pt-BR" w:eastAsia="zh-CN"/>
        </w:rPr>
        <w:t xml:space="preserve"> obrigação da contratada de, no momento da assinatura do contrato, autorizar a Administração contratante a fazer o desconto na fatura e o pagamento direto dos salários e demais verbas trabalhistas aos trabalhadores, quando houver falha no cumprimento dessas obrigações por parte da contratada, até o momento da regularização, sem prejuízo das sanções cabíveis.”.</w:t>
      </w:r>
    </w:p>
    <w:p>
      <w:pPr>
        <w:spacing w:before="120"/>
        <w:jc w:val="both"/>
        <w:rPr>
          <w:rFonts w:ascii="Arial" w:hAnsi="Arial" w:cs="Arial"/>
          <w:b/>
          <w:color w:val="000000"/>
        </w:rPr>
      </w:pPr>
      <w:r>
        <w:rPr>
          <w:rFonts w:ascii="Arial" w:hAnsi="Arial" w:cs="Arial"/>
          <w:sz w:val="20"/>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41275</wp:posOffset>
                </wp:positionV>
                <wp:extent cx="6153150" cy="304165"/>
                <wp:effectExtent l="4445" t="5080" r="33655" b="33655"/>
                <wp:wrapNone/>
                <wp:docPr id="25" name="Retângulo 46"/>
                <wp:cNvGraphicFramePr/>
                <a:graphic xmlns:a="http://schemas.openxmlformats.org/drawingml/2006/main">
                  <a:graphicData uri="http://schemas.microsoft.com/office/word/2010/wordprocessingShape">
                    <wps:wsp>
                      <wps:cNvSpPr/>
                      <wps:spPr>
                        <a:xfrm>
                          <a:off x="0" y="0"/>
                          <a:ext cx="6153150" cy="3041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3.25pt;height:23.95pt;width:484.5pt;z-index:251683840;mso-width-relative:page;mso-height-relative:page;" fillcolor="#D8D8D8" filled="t" stroked="t" coordsize="21600,21600" o:gfxdata="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yjOLNYAAAAHAQAA&#10;DwAAAAAAAAABACAAAAAiAAAAZHJzL2Rvd25yZXYueG1sUEsBAhQAFAAAAAgAh07iQBKLpxdUAgAA&#10;2gQAAA4AAAAAAAAAAQAgAAAAJQEAAGRycy9lMm9Eb2MueG1sUEsFBgAAAAAGAAYAWQEAAOsFAAAA&#10;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XXI - DAS OBRIGAÇÕES DA CONTRATADA</w:t>
                      </w:r>
                    </w:p>
                  </w:txbxContent>
                </v:textbox>
              </v:rect>
            </w:pict>
          </mc:Fallback>
        </mc:AlternateContent>
      </w:r>
    </w:p>
    <w:p>
      <w:pPr>
        <w:widowControl w:val="0"/>
        <w:spacing w:after="120"/>
        <w:jc w:val="both"/>
        <w:rPr>
          <w:rFonts w:ascii="Arial" w:hAnsi="Arial" w:eastAsia="Calibri" w:cs="Arial"/>
          <w:b/>
        </w:rPr>
      </w:pPr>
    </w:p>
    <w:p>
      <w:pPr>
        <w:widowControl w:val="0"/>
        <w:spacing w:after="120"/>
        <w:jc w:val="both"/>
        <w:rPr>
          <w:rFonts w:ascii="Arial" w:hAnsi="Arial" w:cs="Arial"/>
          <w:bCs/>
          <w:szCs w:val="24"/>
          <w:lang w:eastAsia="en-US"/>
        </w:rPr>
      </w:pPr>
      <w:r>
        <w:rPr>
          <w:rFonts w:ascii="Arial" w:hAnsi="Arial" w:eastAsia="Calibri" w:cs="Arial"/>
          <w:b/>
        </w:rPr>
        <w:t>21.1.</w:t>
      </w:r>
      <w:r>
        <w:rPr>
          <w:rFonts w:ascii="Arial" w:hAnsi="Arial" w:eastAsia="Calibri" w:cs="Arial"/>
        </w:rPr>
        <w:t xml:space="preserve"> </w:t>
      </w:r>
      <w:r>
        <w:rPr>
          <w:rFonts w:ascii="Arial" w:hAnsi="Arial" w:cs="Arial"/>
          <w:bCs/>
          <w:szCs w:val="24"/>
          <w:lang w:eastAsia="en-US"/>
        </w:rPr>
        <w:t xml:space="preserve"> Executar os serviços através de pessoas idôneas; assumir total responsabilidade por quaisquer danos ou faltas que venham a causar os seus empregados no desempenho de suas funções;; </w:t>
      </w:r>
    </w:p>
    <w:p>
      <w:pPr>
        <w:widowControl w:val="0"/>
        <w:spacing w:after="120"/>
        <w:jc w:val="both"/>
        <w:rPr>
          <w:rFonts w:ascii="Arial" w:hAnsi="Arial" w:cs="Arial"/>
          <w:bCs/>
          <w:szCs w:val="24"/>
          <w:lang w:eastAsia="en-US"/>
        </w:rPr>
      </w:pPr>
      <w:r>
        <w:rPr>
          <w:rFonts w:ascii="Arial" w:hAnsi="Arial" w:cs="Arial"/>
          <w:b/>
          <w:szCs w:val="24"/>
          <w:lang w:eastAsia="en-US"/>
        </w:rPr>
        <w:t>21.2</w:t>
      </w:r>
      <w:r>
        <w:rPr>
          <w:rFonts w:ascii="Arial" w:hAnsi="Arial" w:cs="Arial"/>
          <w:bCs/>
          <w:szCs w:val="24"/>
          <w:lang w:eastAsia="en-US"/>
        </w:rPr>
        <w:t>. Prestar os serviços de acordo com os padrões de qualidade e normas vigentes, e cumprir as especificações e condições estabelecidas no Edital;</w:t>
      </w:r>
    </w:p>
    <w:p>
      <w:pPr>
        <w:widowControl w:val="0"/>
        <w:spacing w:after="120"/>
        <w:jc w:val="both"/>
        <w:rPr>
          <w:rFonts w:ascii="Arial" w:hAnsi="Arial" w:cs="Arial"/>
          <w:bCs/>
          <w:szCs w:val="24"/>
          <w:lang w:eastAsia="en-US"/>
        </w:rPr>
      </w:pPr>
      <w:r>
        <w:rPr>
          <w:rFonts w:ascii="Arial" w:hAnsi="Arial" w:cs="Arial"/>
          <w:b/>
          <w:szCs w:val="24"/>
          <w:lang w:eastAsia="en-US"/>
        </w:rPr>
        <w:t>21.3</w:t>
      </w:r>
      <w:r>
        <w:rPr>
          <w:rFonts w:ascii="Arial" w:hAnsi="Arial" w:cs="Arial"/>
          <w:bCs/>
          <w:szCs w:val="24"/>
          <w:lang w:eastAsia="en-US"/>
        </w:rPr>
        <w:t>.  Iniciar a prestação dos serviços após a Expedição da Ordem de Serviços a ser emitida por cada Secretaria Municipal participante;</w:t>
      </w:r>
    </w:p>
    <w:p>
      <w:pPr>
        <w:widowControl w:val="0"/>
        <w:spacing w:after="120"/>
        <w:jc w:val="both"/>
        <w:rPr>
          <w:rFonts w:ascii="Arial" w:hAnsi="Arial" w:cs="Arial"/>
          <w:bCs/>
          <w:szCs w:val="24"/>
          <w:lang w:eastAsia="en-US"/>
        </w:rPr>
      </w:pPr>
      <w:r>
        <w:rPr>
          <w:rFonts w:ascii="Arial" w:hAnsi="Arial" w:cs="Arial"/>
          <w:b/>
          <w:szCs w:val="24"/>
          <w:lang w:eastAsia="en-US"/>
        </w:rPr>
        <w:t xml:space="preserve">21.4. </w:t>
      </w:r>
      <w:r>
        <w:rPr>
          <w:rFonts w:ascii="Arial" w:hAnsi="Arial" w:cs="Arial"/>
          <w:bCs/>
          <w:szCs w:val="24"/>
          <w:lang w:eastAsia="en-US"/>
        </w:rPr>
        <w:t>Responsabilizar-se pelos vícios e danos decorrentes do produto, de acordo com os artigos 12, 13, 18 e 26, do Código de Defesa do Consumidor (Lei nº 8.078, de 1990);</w:t>
      </w:r>
    </w:p>
    <w:p>
      <w:pPr>
        <w:widowControl w:val="0"/>
        <w:spacing w:after="120"/>
        <w:jc w:val="both"/>
        <w:rPr>
          <w:rFonts w:ascii="Arial" w:hAnsi="Arial" w:cs="Arial"/>
          <w:bCs/>
          <w:szCs w:val="24"/>
          <w:lang w:eastAsia="en-US"/>
        </w:rPr>
      </w:pPr>
      <w:r>
        <w:rPr>
          <w:rFonts w:ascii="Arial" w:hAnsi="Arial" w:cs="Arial"/>
          <w:b/>
          <w:szCs w:val="24"/>
          <w:lang w:eastAsia="en-US"/>
        </w:rPr>
        <w:t>21.5.</w:t>
      </w:r>
      <w:r>
        <w:rPr>
          <w:rFonts w:ascii="Arial" w:hAnsi="Arial" w:cs="Arial"/>
          <w:bCs/>
          <w:szCs w:val="24"/>
          <w:lang w:eastAsia="en-US"/>
        </w:rPr>
        <w:t xml:space="preserve"> A PRESTADORA DE SERVIÇOS deverá disponibilizar e manter quantitativo de pessoal compatível com as necessidades dos serviços quando autorizados;</w:t>
      </w:r>
    </w:p>
    <w:p>
      <w:pPr>
        <w:widowControl w:val="0"/>
        <w:spacing w:after="120"/>
        <w:jc w:val="both"/>
        <w:rPr>
          <w:rFonts w:ascii="Arial" w:hAnsi="Arial" w:cs="Arial"/>
          <w:bCs/>
          <w:szCs w:val="24"/>
          <w:lang w:eastAsia="en-US"/>
        </w:rPr>
      </w:pPr>
      <w:r>
        <w:rPr>
          <w:rFonts w:ascii="Arial" w:hAnsi="Arial" w:cs="Arial"/>
          <w:b/>
          <w:szCs w:val="24"/>
          <w:lang w:eastAsia="en-US"/>
        </w:rPr>
        <w:t>21.6</w:t>
      </w:r>
      <w:r>
        <w:rPr>
          <w:rFonts w:ascii="Arial" w:hAnsi="Arial" w:cs="Arial"/>
          <w:bCs/>
          <w:szCs w:val="24"/>
          <w:lang w:eastAsia="en-US"/>
        </w:rPr>
        <w:t>. Responsabilizar-se pelas operações e custos de transporte, carga e descarga;</w:t>
      </w:r>
    </w:p>
    <w:p>
      <w:pPr>
        <w:widowControl w:val="0"/>
        <w:spacing w:after="120"/>
        <w:jc w:val="both"/>
        <w:rPr>
          <w:rFonts w:ascii="Arial" w:hAnsi="Arial" w:cs="Arial"/>
          <w:bCs/>
          <w:szCs w:val="24"/>
          <w:lang w:eastAsia="en-US"/>
        </w:rPr>
      </w:pPr>
      <w:r>
        <w:rPr>
          <w:rFonts w:ascii="Arial" w:hAnsi="Arial" w:cs="Arial"/>
          <w:b/>
          <w:szCs w:val="24"/>
          <w:lang w:eastAsia="en-US"/>
        </w:rPr>
        <w:t>21.7.</w:t>
      </w:r>
      <w:r>
        <w:rPr>
          <w:rFonts w:ascii="Arial" w:hAnsi="Arial" w:cs="Arial"/>
          <w:bCs/>
          <w:szCs w:val="24"/>
          <w:lang w:eastAsia="en-US"/>
        </w:rPr>
        <w:t xml:space="preserve"> Atender prontamente a quaisquer exigências da Administração, inerentes ao objeto da presente licitação;</w:t>
      </w:r>
    </w:p>
    <w:p>
      <w:pPr>
        <w:widowControl w:val="0"/>
        <w:spacing w:after="120"/>
        <w:jc w:val="both"/>
        <w:rPr>
          <w:rFonts w:ascii="Arial" w:hAnsi="Arial" w:cs="Arial"/>
          <w:bCs/>
          <w:szCs w:val="24"/>
          <w:lang w:eastAsia="en-US"/>
        </w:rPr>
      </w:pPr>
      <w:r>
        <w:rPr>
          <w:rFonts w:ascii="Arial" w:hAnsi="Arial" w:cs="Arial"/>
          <w:b/>
          <w:szCs w:val="24"/>
          <w:lang w:eastAsia="en-US"/>
        </w:rPr>
        <w:t>21.8.</w:t>
      </w:r>
      <w:r>
        <w:rPr>
          <w:rFonts w:ascii="Arial" w:hAnsi="Arial" w:cs="Arial"/>
          <w:bCs/>
          <w:szCs w:val="24"/>
          <w:lang w:eastAsia="en-US"/>
        </w:rPr>
        <w:t xml:space="preserve"> Responsabilizar-se pelos encargos trabalhistas, previdenciários, fiscais e comerciais resultantes da execução do Contrato, conforme dispõe o art. 71, Parágrafos 1° e 2° da Lei 8.666/93;</w:t>
      </w:r>
    </w:p>
    <w:p>
      <w:pPr>
        <w:widowControl w:val="0"/>
        <w:spacing w:after="120"/>
        <w:jc w:val="both"/>
        <w:rPr>
          <w:rFonts w:ascii="Arial" w:hAnsi="Arial" w:cs="Arial"/>
          <w:bCs/>
          <w:szCs w:val="24"/>
          <w:lang w:eastAsia="en-US"/>
        </w:rPr>
      </w:pPr>
      <w:r>
        <w:rPr>
          <w:rFonts w:ascii="Arial" w:hAnsi="Arial" w:cs="Arial"/>
          <w:b/>
          <w:szCs w:val="24"/>
          <w:lang w:eastAsia="en-US"/>
        </w:rPr>
        <w:t>21.9.</w:t>
      </w:r>
      <w:r>
        <w:rPr>
          <w:rFonts w:ascii="Arial" w:hAnsi="Arial" w:cs="Arial"/>
          <w:bCs/>
          <w:szCs w:val="24"/>
          <w:lang w:eastAsia="en-US"/>
        </w:rPr>
        <w:t xml:space="preserve"> Arcar com todos os ônus necessários à completa execução dos serviços;</w:t>
      </w:r>
    </w:p>
    <w:p>
      <w:pPr>
        <w:widowControl w:val="0"/>
        <w:spacing w:after="120"/>
        <w:jc w:val="both"/>
        <w:rPr>
          <w:rFonts w:ascii="Arial" w:hAnsi="Arial" w:cs="Arial"/>
          <w:bCs/>
          <w:szCs w:val="24"/>
          <w:lang w:eastAsia="en-US"/>
        </w:rPr>
      </w:pPr>
      <w:r>
        <w:rPr>
          <w:rFonts w:ascii="Arial" w:hAnsi="Arial" w:cs="Arial"/>
          <w:b/>
          <w:szCs w:val="24"/>
          <w:lang w:eastAsia="en-US"/>
        </w:rPr>
        <w:t>21.10.</w:t>
      </w:r>
      <w:r>
        <w:rPr>
          <w:rFonts w:ascii="Arial" w:hAnsi="Arial" w:cs="Arial"/>
          <w:bCs/>
          <w:szCs w:val="24"/>
          <w:lang w:eastAsia="en-US"/>
        </w:rPr>
        <w:t xml:space="preserve">  Manter um supervisor responsável pelo gerenciamento dos serviços, com poderes de representante ou preposto, para tratar com o FISCAL DE CONTRATO, dos assuntos relacionados com a execução do Contrato; </w:t>
      </w:r>
    </w:p>
    <w:p>
      <w:pPr>
        <w:widowControl w:val="0"/>
        <w:spacing w:after="120"/>
        <w:jc w:val="both"/>
        <w:rPr>
          <w:rFonts w:ascii="Arial" w:hAnsi="Arial" w:cs="Arial"/>
          <w:bCs/>
          <w:szCs w:val="24"/>
          <w:lang w:eastAsia="en-US"/>
        </w:rPr>
      </w:pPr>
      <w:r>
        <w:rPr>
          <w:rFonts w:ascii="Arial" w:hAnsi="Arial" w:cs="Arial"/>
          <w:b/>
          <w:szCs w:val="24"/>
          <w:lang w:eastAsia="en-US"/>
        </w:rPr>
        <w:t>21.11.</w:t>
      </w:r>
      <w:r>
        <w:rPr>
          <w:rFonts w:ascii="Arial" w:hAnsi="Arial" w:cs="Arial"/>
          <w:bCs/>
          <w:szCs w:val="24"/>
          <w:lang w:eastAsia="en-US"/>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after="120"/>
        <w:jc w:val="both"/>
        <w:rPr>
          <w:rFonts w:ascii="Arial" w:hAnsi="Arial" w:cs="Arial"/>
          <w:bCs/>
          <w:szCs w:val="24"/>
          <w:lang w:eastAsia="en-US"/>
        </w:rPr>
      </w:pPr>
      <w:r>
        <w:rPr>
          <w:rFonts w:ascii="Arial" w:hAnsi="Arial" w:cs="Arial"/>
          <w:b/>
          <w:szCs w:val="24"/>
          <w:lang w:eastAsia="en-US"/>
        </w:rPr>
        <w:t>21.12</w:t>
      </w:r>
      <w:r>
        <w:rPr>
          <w:rFonts w:ascii="Arial" w:hAnsi="Arial" w:cs="Arial"/>
          <w:bCs/>
          <w:szCs w:val="24"/>
          <w:lang w:eastAsia="en-US"/>
        </w:rPr>
        <w:t>. Providenciar para que os seus funcionários utilizem vestuário compatível com o trabalho, bem como equipamento de proteção individual previsto pelas normas de segurança do trabalho;</w:t>
      </w:r>
    </w:p>
    <w:p>
      <w:pPr>
        <w:widowControl w:val="0"/>
        <w:spacing w:after="120"/>
        <w:jc w:val="both"/>
        <w:rPr>
          <w:rFonts w:ascii="Arial" w:hAnsi="Arial" w:cs="Arial"/>
          <w:bCs/>
          <w:szCs w:val="24"/>
          <w:lang w:eastAsia="en-US"/>
        </w:rPr>
      </w:pPr>
      <w:r>
        <w:rPr>
          <w:rFonts w:ascii="Arial" w:hAnsi="Arial" w:cs="Arial"/>
          <w:b/>
          <w:szCs w:val="24"/>
          <w:lang w:eastAsia="en-US"/>
        </w:rPr>
        <w:t>21.13</w:t>
      </w:r>
      <w:r>
        <w:rPr>
          <w:rFonts w:ascii="Arial" w:hAnsi="Arial" w:cs="Arial"/>
          <w:bCs/>
          <w:szCs w:val="24"/>
          <w:lang w:eastAsia="en-US"/>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after="120"/>
        <w:jc w:val="both"/>
        <w:rPr>
          <w:rFonts w:ascii="Arial" w:hAnsi="Arial" w:cs="Arial"/>
          <w:bCs/>
          <w:szCs w:val="24"/>
          <w:lang w:eastAsia="en-US"/>
        </w:rPr>
      </w:pPr>
      <w:r>
        <w:rPr>
          <w:rFonts w:ascii="Arial" w:hAnsi="Arial" w:cs="Arial"/>
          <w:b/>
          <w:szCs w:val="24"/>
          <w:lang w:eastAsia="en-US"/>
        </w:rPr>
        <w:t xml:space="preserve"> 21.14.</w:t>
      </w:r>
      <w:r>
        <w:rPr>
          <w:rFonts w:ascii="Arial" w:hAnsi="Arial" w:cs="Arial"/>
          <w:bCs/>
          <w:szCs w:val="24"/>
          <w:lang w:eastAsia="en-US"/>
        </w:rPr>
        <w:t xml:space="preserve"> Comunicar ao FISCAL DE CONTRATO qualquer irregularidade relacionada com a execução dos serviços; </w:t>
      </w:r>
    </w:p>
    <w:p>
      <w:pPr>
        <w:widowControl w:val="0"/>
        <w:spacing w:after="120"/>
        <w:jc w:val="both"/>
        <w:rPr>
          <w:rFonts w:ascii="Arial" w:hAnsi="Arial" w:cs="Arial"/>
          <w:bCs/>
          <w:szCs w:val="24"/>
          <w:lang w:eastAsia="en-US"/>
        </w:rPr>
      </w:pPr>
      <w:r>
        <w:rPr>
          <w:rFonts w:ascii="Arial" w:hAnsi="Arial" w:cs="Arial"/>
          <w:b/>
          <w:szCs w:val="24"/>
          <w:lang w:eastAsia="en-US"/>
        </w:rPr>
        <w:t xml:space="preserve">21.15. </w:t>
      </w:r>
      <w:r>
        <w:rPr>
          <w:rFonts w:ascii="Arial" w:hAnsi="Arial" w:cs="Arial"/>
          <w:bCs/>
          <w:szCs w:val="24"/>
          <w:lang w:eastAsia="en-US"/>
        </w:rPr>
        <w:t>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Cs/>
          <w:szCs w:val="24"/>
          <w:lang w:eastAsia="en-US"/>
        </w:rPr>
        <w:t>16. 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17.</w:t>
      </w:r>
      <w:r>
        <w:rPr>
          <w:rFonts w:ascii="Arial" w:hAnsi="Arial" w:cs="Arial"/>
          <w:bCs/>
          <w:szCs w:val="24"/>
          <w:lang w:eastAsia="en-US"/>
        </w:rPr>
        <w:t xml:space="preserve"> Não transferir a outrem os serviços contratados, no todo ou em parte;</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18.</w:t>
      </w:r>
      <w:r>
        <w:rPr>
          <w:rFonts w:ascii="Arial" w:hAnsi="Arial" w:cs="Arial"/>
          <w:bCs/>
          <w:szCs w:val="24"/>
          <w:lang w:eastAsia="en-US"/>
        </w:rPr>
        <w:t xml:space="preserve"> Fornecer as ferramentas necessárias para execução dos serviços contratados; </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19.</w:t>
      </w:r>
      <w:r>
        <w:rPr>
          <w:rFonts w:ascii="Arial" w:hAnsi="Arial" w:cs="Arial"/>
          <w:bCs/>
          <w:szCs w:val="24"/>
          <w:lang w:eastAsia="en-US"/>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20.</w:t>
      </w:r>
      <w:r>
        <w:rPr>
          <w:rFonts w:ascii="Arial" w:hAnsi="Arial" w:cs="Arial"/>
          <w:bCs/>
          <w:szCs w:val="24"/>
          <w:lang w:eastAsia="en-US"/>
        </w:rPr>
        <w:t xml:space="preserve"> Cumprir fielmente todas as cláusulas e condições pactuadas no futuro Contrato, inclusive em relação ao edital de licitação e seus anexos; </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21.</w:t>
      </w:r>
      <w:r>
        <w:rPr>
          <w:rFonts w:ascii="Arial" w:hAnsi="Arial" w:cs="Arial"/>
          <w:bCs/>
          <w:szCs w:val="24"/>
          <w:lang w:eastAsia="en-US"/>
        </w:rPr>
        <w:t xml:space="preserve"> Substituir, sempre que exigido pela Secretaria, qualquer empregado cuja atuação, permanência ou comportamento sejam julgados inconvenientes;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22.</w:t>
      </w:r>
      <w:r>
        <w:rPr>
          <w:rFonts w:ascii="Arial" w:hAnsi="Arial" w:cs="Arial"/>
          <w:bCs/>
          <w:szCs w:val="24"/>
          <w:lang w:eastAsia="en-US"/>
        </w:rPr>
        <w:t xml:space="preserve"> Manter, durante toda execução do Contrato, compatibilidade com as obrigações assumidas, em especial as condições de cadastramento e qualificações exigidas no edital de licitação;</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23.</w:t>
      </w:r>
      <w:r>
        <w:rPr>
          <w:rFonts w:ascii="Arial" w:hAnsi="Arial" w:cs="Arial"/>
          <w:bCs/>
          <w:szCs w:val="24"/>
          <w:lang w:eastAsia="en-US"/>
        </w:rPr>
        <w:t xml:space="preserve"> Respeitar, durante toda execução do contrato a legislação trabalhista, fiscal, providenciaria e comercial, assim como, as normas de higiene e segurança, por cujos encargos responderá unilateralmente;</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 xml:space="preserve">24. </w:t>
      </w:r>
      <w:r>
        <w:rPr>
          <w:rFonts w:ascii="Arial" w:hAnsi="Arial" w:cs="Arial"/>
          <w:bCs/>
          <w:szCs w:val="24"/>
          <w:lang w:eastAsia="en-US"/>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after="120"/>
        <w:jc w:val="both"/>
        <w:rPr>
          <w:rFonts w:ascii="Arial" w:hAnsi="Arial" w:cs="Arial"/>
          <w:bCs/>
          <w:szCs w:val="24"/>
          <w:lang w:eastAsia="en-US"/>
        </w:rPr>
      </w:pPr>
      <w:r>
        <w:rPr>
          <w:rFonts w:ascii="Arial" w:hAnsi="Arial" w:cs="Arial"/>
          <w:b/>
          <w:bCs w:val="0"/>
          <w:szCs w:val="24"/>
          <w:lang w:eastAsia="en-US"/>
        </w:rPr>
        <w:t xml:space="preserve"> </w:t>
      </w:r>
      <w:r>
        <w:rPr>
          <w:rFonts w:ascii="Arial" w:hAnsi="Arial" w:cs="Arial"/>
          <w:b/>
          <w:szCs w:val="24"/>
          <w:lang w:eastAsia="en-US"/>
        </w:rPr>
        <w:t>21.</w:t>
      </w:r>
      <w:r>
        <w:rPr>
          <w:rFonts w:ascii="Arial" w:hAnsi="Arial" w:cs="Arial"/>
          <w:b/>
          <w:bCs w:val="0"/>
          <w:szCs w:val="24"/>
          <w:lang w:eastAsia="en-US"/>
        </w:rPr>
        <w:t>25.</w:t>
      </w:r>
      <w:r>
        <w:rPr>
          <w:rFonts w:ascii="Arial" w:hAnsi="Arial" w:cs="Arial"/>
          <w:bCs/>
          <w:szCs w:val="24"/>
          <w:lang w:eastAsia="en-US"/>
        </w:rPr>
        <w:t xml:space="preserve"> 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after="120"/>
        <w:jc w:val="both"/>
        <w:rPr>
          <w:rFonts w:ascii="Arial" w:hAnsi="Arial" w:cs="Arial"/>
          <w:bCs/>
          <w:szCs w:val="24"/>
          <w:lang w:eastAsia="en-US"/>
        </w:rPr>
      </w:pPr>
      <w:r>
        <w:rPr>
          <w:rFonts w:ascii="Arial" w:hAnsi="Arial" w:cs="Arial"/>
          <w:b/>
          <w:bCs w:val="0"/>
          <w:szCs w:val="24"/>
          <w:lang w:eastAsia="en-US"/>
        </w:rPr>
        <w:t xml:space="preserve"> </w:t>
      </w:r>
      <w:r>
        <w:rPr>
          <w:rFonts w:ascii="Arial" w:hAnsi="Arial" w:cs="Arial"/>
          <w:b/>
          <w:szCs w:val="24"/>
          <w:lang w:eastAsia="en-US"/>
        </w:rPr>
        <w:t>21.</w:t>
      </w:r>
      <w:r>
        <w:rPr>
          <w:rFonts w:ascii="Arial" w:hAnsi="Arial" w:cs="Arial"/>
          <w:b/>
          <w:bCs w:val="0"/>
          <w:szCs w:val="24"/>
          <w:lang w:eastAsia="en-US"/>
        </w:rPr>
        <w:t>26.</w:t>
      </w:r>
      <w:r>
        <w:rPr>
          <w:rFonts w:ascii="Arial" w:hAnsi="Arial" w:cs="Arial"/>
          <w:bCs/>
          <w:szCs w:val="24"/>
          <w:lang w:eastAsia="en-US"/>
        </w:rPr>
        <w:t xml:space="preserve"> Manter seu pessoal uniformizado, identificando-o por meio de crachá, com fotografia recente, e provendo-o dos Equipamentos de Proteção Individual – EPI’S;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27.</w:t>
      </w:r>
      <w:r>
        <w:rPr>
          <w:rFonts w:ascii="Arial" w:hAnsi="Arial" w:cs="Arial"/>
          <w:bCs/>
          <w:szCs w:val="24"/>
          <w:lang w:eastAsia="en-US"/>
        </w:rPr>
        <w:t xml:space="preserve"> 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after="120"/>
        <w:jc w:val="both"/>
        <w:rPr>
          <w:rFonts w:ascii="Arial" w:hAnsi="Arial" w:cs="Arial"/>
          <w:bCs/>
          <w:szCs w:val="24"/>
          <w:lang w:eastAsia="en-US"/>
        </w:rPr>
      </w:pPr>
      <w:r>
        <w:rPr>
          <w:rFonts w:ascii="Arial" w:hAnsi="Arial" w:cs="Arial"/>
          <w:b/>
          <w:bCs w:val="0"/>
          <w:szCs w:val="24"/>
          <w:lang w:eastAsia="en-US"/>
        </w:rPr>
        <w:t xml:space="preserve"> </w:t>
      </w:r>
      <w:r>
        <w:rPr>
          <w:rFonts w:ascii="Arial" w:hAnsi="Arial" w:cs="Arial"/>
          <w:b/>
          <w:szCs w:val="24"/>
          <w:lang w:eastAsia="en-US"/>
        </w:rPr>
        <w:t>21.</w:t>
      </w:r>
      <w:r>
        <w:rPr>
          <w:rFonts w:ascii="Arial" w:hAnsi="Arial" w:cs="Arial"/>
          <w:b/>
          <w:bCs w:val="0"/>
          <w:szCs w:val="24"/>
          <w:lang w:eastAsia="en-US"/>
        </w:rPr>
        <w:t>28.</w:t>
      </w:r>
      <w:r>
        <w:rPr>
          <w:rFonts w:ascii="Arial" w:hAnsi="Arial" w:cs="Arial"/>
          <w:bCs/>
          <w:szCs w:val="24"/>
          <w:lang w:eastAsia="en-US"/>
        </w:rPr>
        <w:t xml:space="preserve"> Responder por quaisquer danos pessoais ou materiais ocasionados por seus funcionários em serviço, causados a terceiros ou a Secretaria solicitante, mesmo quando utilizando equipamentos da mesma; </w:t>
      </w:r>
    </w:p>
    <w:p>
      <w:pPr>
        <w:widowControl w:val="0"/>
        <w:spacing w:after="120"/>
        <w:jc w:val="both"/>
        <w:rPr>
          <w:rFonts w:ascii="Arial" w:hAnsi="Arial" w:cs="Arial"/>
          <w:bCs/>
          <w:szCs w:val="24"/>
          <w:lang w:eastAsia="en-US"/>
        </w:rPr>
      </w:pPr>
      <w:r>
        <w:rPr>
          <w:rFonts w:ascii="Arial" w:hAnsi="Arial" w:cs="Arial"/>
          <w:b/>
          <w:bCs w:val="0"/>
          <w:szCs w:val="24"/>
          <w:lang w:eastAsia="en-US"/>
        </w:rPr>
        <w:t xml:space="preserve"> </w:t>
      </w:r>
      <w:r>
        <w:rPr>
          <w:rFonts w:ascii="Arial" w:hAnsi="Arial" w:cs="Arial"/>
          <w:b/>
          <w:szCs w:val="24"/>
          <w:lang w:eastAsia="en-US"/>
        </w:rPr>
        <w:t>21.</w:t>
      </w:r>
      <w:r>
        <w:rPr>
          <w:rFonts w:ascii="Arial" w:hAnsi="Arial" w:cs="Arial"/>
          <w:b/>
          <w:bCs w:val="0"/>
          <w:szCs w:val="24"/>
          <w:lang w:eastAsia="en-US"/>
        </w:rPr>
        <w:t>29.</w:t>
      </w:r>
      <w:r>
        <w:rPr>
          <w:rFonts w:ascii="Arial" w:hAnsi="Arial" w:cs="Arial"/>
          <w:bCs/>
          <w:szCs w:val="24"/>
          <w:lang w:eastAsia="en-US"/>
        </w:rPr>
        <w:t xml:space="preserve"> Capacitar seus funcionários ao uso dos equipamentos e ferramentas postos a sua disposição para a execução das tarefas;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30.</w:t>
      </w:r>
      <w:r>
        <w:rPr>
          <w:rFonts w:ascii="Arial" w:hAnsi="Arial" w:cs="Arial"/>
          <w:bCs/>
          <w:szCs w:val="24"/>
          <w:lang w:eastAsia="en-US"/>
        </w:rPr>
        <w:t xml:space="preserve"> Executar o serviço de forma zelosa, ordeira e com urbanidade para com a população; </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31.</w:t>
      </w:r>
      <w:r>
        <w:rPr>
          <w:rFonts w:ascii="Arial" w:hAnsi="Arial" w:cs="Arial"/>
          <w:bCs/>
          <w:szCs w:val="24"/>
          <w:lang w:eastAsia="en-US"/>
        </w:rPr>
        <w:t xml:space="preserve"> Substituir qualquer componente da equipe que apresentar comportamento inadequado ou indecoroso ou não demonstrar qualificação para os serviços, objeto deste Termo de Referência - TR, no prazo máximo de 24 (vinte e quatro) horas; </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32</w:t>
      </w:r>
      <w:r>
        <w:rPr>
          <w:rFonts w:ascii="Arial" w:hAnsi="Arial" w:cs="Arial"/>
          <w:bCs/>
          <w:szCs w:val="24"/>
          <w:lang w:eastAsia="en-US"/>
        </w:rPr>
        <w:t>. Não permitir que componentes das equipes de trabalho, enquanto estiverem a serviço desta secretaria, executem serviço para terceiros;</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33.</w:t>
      </w:r>
      <w:r>
        <w:rPr>
          <w:rFonts w:ascii="Arial" w:hAnsi="Arial" w:cs="Arial"/>
          <w:bCs/>
          <w:szCs w:val="24"/>
          <w:lang w:eastAsia="en-US"/>
        </w:rPr>
        <w:t xml:space="preserve"> Manter as equipes de trabalho com todas as ferramentas, equipamentos e insumos exigidos neste Termo de Referência em perfeitas condições de uso; </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34.</w:t>
      </w:r>
      <w:r>
        <w:rPr>
          <w:rFonts w:ascii="Arial" w:hAnsi="Arial" w:cs="Arial"/>
          <w:bCs/>
          <w:szCs w:val="24"/>
          <w:lang w:eastAsia="en-US"/>
        </w:rPr>
        <w:t xml:space="preserve"> Sanar imediatamente quaisquer irregularidades ou defeitos verificados pela Fiscalização na execução dos serviços; </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35.</w:t>
      </w:r>
      <w:r>
        <w:rPr>
          <w:rFonts w:ascii="Arial" w:hAnsi="Arial" w:cs="Arial"/>
          <w:bCs/>
          <w:szCs w:val="24"/>
          <w:lang w:eastAsia="en-US"/>
        </w:rPr>
        <w:t xml:space="preserve"> Cumprir todas as disposições legais pertinentes à saúde e segurança do trabalho as quais estão sujeitos contratos de trabalho regidos pela CLT, independente do seu quadro de pessoal enquadrar-se nesta situação;</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36.</w:t>
      </w:r>
      <w:r>
        <w:rPr>
          <w:rFonts w:ascii="Arial" w:hAnsi="Arial" w:cs="Arial"/>
          <w:bCs/>
          <w:szCs w:val="24"/>
          <w:lang w:eastAsia="en-US"/>
        </w:rPr>
        <w:t xml:space="preserve"> Nomear encarregado responsável pelos serviços com recurso de comunicação (celular, intercomunicadores ou outros), com a missão de garantir o bom andamento destes, permanecendo no local do trabalho, em tempo integral,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37.</w:t>
      </w:r>
      <w:r>
        <w:rPr>
          <w:rFonts w:ascii="Arial" w:hAnsi="Arial" w:cs="Arial"/>
          <w:bCs/>
          <w:szCs w:val="24"/>
          <w:lang w:eastAsia="en-US"/>
        </w:rPr>
        <w:t xml:space="preserve"> Assumir todas as responsabilidades e tomar as medidas necessárias ao atendimento dos seus empregados, acidentados ou com mal súbito, por meio de seus encarregados; </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38.</w:t>
      </w:r>
      <w:r>
        <w:rPr>
          <w:rFonts w:ascii="Arial" w:hAnsi="Arial" w:cs="Arial"/>
          <w:bCs/>
          <w:szCs w:val="24"/>
          <w:lang w:eastAsia="en-US"/>
        </w:rPr>
        <w:t xml:space="preserve"> Manter, durante toda a execução do Contrato, todas as condições de habilitação e qualificação exigidas na licitação;</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39.</w:t>
      </w:r>
      <w:r>
        <w:rPr>
          <w:rFonts w:ascii="Arial" w:hAnsi="Arial" w:cs="Arial"/>
          <w:bCs/>
          <w:szCs w:val="24"/>
          <w:lang w:eastAsia="en-US"/>
        </w:rPr>
        <w:t xml:space="preserve"> Demonstrar o vínculo empregatício com todos os profissionais por ela contratados, mediante cópia da Carteira de Trabalho e Previdência Social (CTPS) ou contrato de prestação de serviços;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40.</w:t>
      </w:r>
      <w:r>
        <w:rPr>
          <w:rFonts w:ascii="Arial" w:hAnsi="Arial" w:cs="Arial"/>
          <w:bCs/>
          <w:szCs w:val="24"/>
          <w:lang w:eastAsia="en-US"/>
        </w:rPr>
        <w:t xml:space="preserve"> 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41.</w:t>
      </w:r>
      <w:r>
        <w:rPr>
          <w:rFonts w:ascii="Arial" w:hAnsi="Arial" w:cs="Arial"/>
          <w:bCs/>
          <w:szCs w:val="24"/>
          <w:lang w:eastAsia="en-US"/>
        </w:rPr>
        <w:t xml:space="preserve"> Prestar os serviços dentro dos parâmetros e rotinas estabelecidos, fornecendo todos os materiais, inclusive sacos plásticos para em caso de rompimento do saco a ser coletado o terceirizado efetuar o acondicionamento de detritos, equipamentos, ferramentas e utensílios em quantidade e em qualidade, com tecnologia adequada, com a observância das recomendações aceitas pela boa técnica, normas e legislação;</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42.</w:t>
      </w:r>
      <w:r>
        <w:rPr>
          <w:rFonts w:ascii="Arial" w:hAnsi="Arial" w:cs="Arial"/>
          <w:bCs/>
          <w:szCs w:val="24"/>
          <w:lang w:eastAsia="en-US"/>
        </w:rPr>
        <w:t xml:space="preserve"> Executar os serviços em horários definidos por cada Secretaria Municipal Participante;</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43.</w:t>
      </w:r>
      <w:r>
        <w:rPr>
          <w:rFonts w:ascii="Arial" w:hAnsi="Arial" w:cs="Arial"/>
          <w:bCs/>
          <w:szCs w:val="24"/>
          <w:lang w:eastAsia="en-US"/>
        </w:rPr>
        <w:t xml:space="preserve"> Observar a conduta adequada na utilização dos materiais, equipamentos, ferramentas e utensílios, objetivando a correta execução dos serviços;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44.</w:t>
      </w:r>
      <w:r>
        <w:rPr>
          <w:rFonts w:ascii="Arial" w:hAnsi="Arial" w:cs="Arial"/>
          <w:bCs/>
          <w:szCs w:val="24"/>
          <w:lang w:eastAsia="en-US"/>
        </w:rPr>
        <w:t xml:space="preserve"> 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45.</w:t>
      </w:r>
      <w:r>
        <w:rPr>
          <w:rFonts w:ascii="Arial" w:hAnsi="Arial" w:cs="Arial"/>
          <w:bCs/>
          <w:szCs w:val="24"/>
          <w:lang w:eastAsia="en-US"/>
        </w:rPr>
        <w:t xml:space="preserve"> 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46.</w:t>
      </w:r>
      <w:r>
        <w:rPr>
          <w:rFonts w:ascii="Arial" w:hAnsi="Arial" w:cs="Arial"/>
          <w:bCs/>
          <w:szCs w:val="24"/>
          <w:lang w:eastAsia="en-US"/>
        </w:rPr>
        <w:t xml:space="preserve"> Vedar a utilização, na execução dos serviços, de empregado que seja família de agente público ocupante de cargo em comissão ou função de confiança no órgão contratante, nos termos do artigo 7° do Decreto n° 7.203, de 2010;</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47.</w:t>
      </w:r>
      <w:r>
        <w:rPr>
          <w:rFonts w:ascii="Arial" w:hAnsi="Arial" w:cs="Arial"/>
          <w:bCs/>
          <w:szCs w:val="24"/>
          <w:lang w:eastAsia="en-US"/>
        </w:rPr>
        <w:t xml:space="preserve"> Permitir a todas as Secretarias Municipais, por intermédio dos setores fiscalizadores, o acesso diário ao controle de frequência;</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48.</w:t>
      </w:r>
      <w:r>
        <w:rPr>
          <w:rFonts w:ascii="Arial" w:hAnsi="Arial" w:cs="Arial"/>
          <w:bCs/>
          <w:szCs w:val="24"/>
          <w:lang w:eastAsia="en-US"/>
        </w:rPr>
        <w:t xml:space="preserve"> É vetado aos funcionários da LICITANTE VENCEDORA permitir acesso de terceiros no interior dos setores das diversas Secretarias Municipais sem autorização;</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49.</w:t>
      </w:r>
      <w:r>
        <w:rPr>
          <w:rFonts w:ascii="Arial" w:hAnsi="Arial" w:cs="Arial"/>
          <w:bCs/>
          <w:szCs w:val="24"/>
          <w:lang w:eastAsia="en-US"/>
        </w:rPr>
        <w:t xml:space="preserve"> 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50.</w:t>
      </w:r>
      <w:r>
        <w:rPr>
          <w:rFonts w:ascii="Arial" w:hAnsi="Arial" w:cs="Arial"/>
          <w:bCs/>
          <w:szCs w:val="24"/>
          <w:lang w:eastAsia="en-US"/>
        </w:rPr>
        <w:t xml:space="preserve"> 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51</w:t>
      </w:r>
      <w:r>
        <w:rPr>
          <w:rFonts w:ascii="Arial" w:hAnsi="Arial" w:cs="Arial"/>
          <w:bCs/>
          <w:szCs w:val="24"/>
          <w:lang w:eastAsia="en-US"/>
        </w:rPr>
        <w:t>. 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52</w:t>
      </w:r>
      <w:r>
        <w:rPr>
          <w:rFonts w:ascii="Arial" w:hAnsi="Arial" w:cs="Arial"/>
          <w:bCs/>
          <w:szCs w:val="24"/>
          <w:lang w:eastAsia="en-US"/>
        </w:rPr>
        <w:t>.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after="120"/>
        <w:jc w:val="both"/>
        <w:rPr>
          <w:rFonts w:ascii="Arial" w:hAnsi="Arial" w:cs="Arial"/>
          <w:bCs/>
          <w:szCs w:val="24"/>
          <w:lang w:eastAsia="en-US"/>
        </w:rPr>
      </w:pPr>
      <w:r>
        <w:rPr>
          <w:rFonts w:ascii="Arial" w:hAnsi="Arial" w:cs="Arial"/>
          <w:bCs/>
          <w:szCs w:val="24"/>
          <w:lang w:eastAsia="en-US"/>
        </w:rPr>
        <w:t xml:space="preserve"> </w:t>
      </w:r>
      <w:r>
        <w:rPr>
          <w:rFonts w:ascii="Arial" w:hAnsi="Arial" w:cs="Arial"/>
          <w:b/>
          <w:szCs w:val="24"/>
          <w:lang w:eastAsia="en-US"/>
        </w:rPr>
        <w:t>21.</w:t>
      </w:r>
      <w:r>
        <w:rPr>
          <w:rFonts w:ascii="Arial" w:hAnsi="Arial" w:cs="Arial"/>
          <w:b/>
          <w:bCs w:val="0"/>
          <w:szCs w:val="24"/>
          <w:lang w:eastAsia="en-US"/>
        </w:rPr>
        <w:t>53</w:t>
      </w:r>
      <w:r>
        <w:rPr>
          <w:rFonts w:ascii="Arial" w:hAnsi="Arial" w:cs="Arial"/>
          <w:bCs/>
          <w:szCs w:val="24"/>
          <w:lang w:eastAsia="en-US"/>
        </w:rPr>
        <w:t>. Refazer, às suas expensas, os serviços executados em desacordo com o estabelecido;</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54</w:t>
      </w:r>
      <w:r>
        <w:rPr>
          <w:rFonts w:ascii="Arial" w:hAnsi="Arial" w:cs="Arial"/>
          <w:bCs/>
          <w:szCs w:val="24"/>
          <w:lang w:eastAsia="en-US"/>
        </w:rPr>
        <w:t>. A fornecer total acesso às máquinas que serão empregadas na prestação de serviços a fim de que a Prefeitura Municipal possa instalar o rastreador SATELITAL sob expensa da contratada, o qual servirá como forma de controle quanto a utilização dos maquinários, e deverá ser integrado na mesma plataforma da frota municipal;</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55</w:t>
      </w:r>
      <w:r>
        <w:rPr>
          <w:rFonts w:ascii="Arial" w:hAnsi="Arial" w:cs="Arial"/>
          <w:bCs/>
          <w:szCs w:val="24"/>
          <w:lang w:eastAsia="en-US"/>
        </w:rPr>
        <w:t>. Fornecer a lista de todos os veículos que serão empregados na prestação dos serviços à Secretaria de Agricultura e Meio Ambiente, a qual deverá ser repassada ao fiscal de contratos, no momento da assinatura do Contrato</w:t>
      </w:r>
    </w:p>
    <w:p>
      <w:pPr>
        <w:widowControl w:val="0"/>
        <w:spacing w:after="120"/>
        <w:jc w:val="both"/>
        <w:rPr>
          <w:rFonts w:ascii="Arial" w:hAnsi="Arial" w:cs="Arial"/>
          <w:bCs/>
          <w:szCs w:val="24"/>
          <w:lang w:eastAsia="en-US"/>
        </w:rPr>
      </w:pPr>
      <w:r>
        <w:rPr>
          <w:rFonts w:ascii="Arial" w:hAnsi="Arial" w:cs="Arial"/>
          <w:b/>
          <w:szCs w:val="24"/>
          <w:lang w:eastAsia="en-US"/>
        </w:rPr>
        <w:t>21.</w:t>
      </w:r>
      <w:r>
        <w:rPr>
          <w:rFonts w:ascii="Arial" w:hAnsi="Arial" w:cs="Arial"/>
          <w:b/>
          <w:bCs w:val="0"/>
          <w:szCs w:val="24"/>
          <w:lang w:eastAsia="en-US"/>
        </w:rPr>
        <w:t>56</w:t>
      </w:r>
      <w:r>
        <w:rPr>
          <w:rFonts w:ascii="Arial" w:hAnsi="Arial" w:cs="Arial"/>
          <w:bCs/>
          <w:szCs w:val="24"/>
          <w:lang w:eastAsia="en-US"/>
        </w:rPr>
        <w:t>.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widowControl w:val="0"/>
        <w:spacing w:after="120"/>
        <w:jc w:val="both"/>
        <w:rPr>
          <w:rFonts w:ascii="Arial" w:hAnsi="Arial" w:eastAsia="Calibri" w:cs="Arial"/>
        </w:rPr>
      </w:pPr>
      <w:r>
        <w:rPr>
          <w:rFonts w:ascii="Arial" w:hAnsi="Arial" w:cs="Arial"/>
          <w:sz w:val="20"/>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12065</wp:posOffset>
                </wp:positionV>
                <wp:extent cx="6257290" cy="286385"/>
                <wp:effectExtent l="4445" t="4445" r="43815" b="33020"/>
                <wp:wrapNone/>
                <wp:docPr id="26" name="Retângulo 47"/>
                <wp:cNvGraphicFramePr/>
                <a:graphic xmlns:a="http://schemas.openxmlformats.org/drawingml/2006/main">
                  <a:graphicData uri="http://schemas.microsoft.com/office/word/2010/wordprocessingShape">
                    <wps:wsp>
                      <wps:cNvSpPr/>
                      <wps:spPr>
                        <a:xfrm>
                          <a:off x="0" y="0"/>
                          <a:ext cx="6257290" cy="28638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 xml:space="preserve">SEÇÃO XXII – </w:t>
                            </w:r>
                            <w:r>
                              <w:rPr>
                                <w:rFonts w:ascii="Arial" w:hAnsi="Arial"/>
                                <w:b/>
                                <w:szCs w:val="24"/>
                              </w:rPr>
                              <w:t>DO CONTROLE DE PREÇOS</w:t>
                            </w:r>
                          </w:p>
                        </w:txbxContent>
                      </wps:txbx>
                      <wps:bodyPr wrap="square" upright="1"/>
                    </wps:wsp>
                  </a:graphicData>
                </a:graphic>
              </wp:anchor>
            </w:drawing>
          </mc:Choice>
          <mc:Fallback>
            <w:pict>
              <v:rect id="Retângulo 47" o:spid="_x0000_s1026" o:spt="1" style="position:absolute;left:0pt;margin-left:-0.95pt;margin-top:0.95pt;height:22.55pt;width:492.7pt;z-index:251684864;mso-width-relative:page;mso-height-relative:page;" fillcolor="#D8D8D8" filled="t" stroked="t" coordsize="21600,21600" o:gfxdata="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mFf6/1wAAAAcBAAAPAAAAAAAAAAEAIAAA&#10;ACIAAABkcnMvZG93bnJldi54bWxQSwECFAAUAAAACACHTuJArk7JT0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 xml:space="preserve">SEÇÃO XXII – </w:t>
                      </w:r>
                      <w:r>
                        <w:rPr>
                          <w:rFonts w:ascii="Arial" w:hAnsi="Arial"/>
                          <w:b/>
                          <w:szCs w:val="24"/>
                        </w:rPr>
                        <w:t>DO CONTROLE DE PREÇOS</w:t>
                      </w:r>
                    </w:p>
                  </w:txbxContent>
                </v:textbox>
              </v:rect>
            </w:pict>
          </mc:Fallback>
        </mc:AlternateContent>
      </w:r>
    </w:p>
    <w:p>
      <w:pPr>
        <w:spacing w:before="120"/>
        <w:jc w:val="both"/>
        <w:rPr>
          <w:rFonts w:ascii="Arial" w:hAnsi="Arial" w:cs="Arial"/>
          <w:b/>
          <w:color w:val="000000"/>
        </w:rPr>
      </w:pPr>
    </w:p>
    <w:p>
      <w:pPr>
        <w:widowControl w:val="0"/>
        <w:autoSpaceDE w:val="0"/>
        <w:autoSpaceDN w:val="0"/>
        <w:adjustRightInd w:val="0"/>
        <w:spacing w:after="120"/>
        <w:ind w:right="240" w:rightChars="100"/>
        <w:jc w:val="both"/>
        <w:rPr>
          <w:rFonts w:ascii="Arial" w:hAnsi="Arial"/>
          <w:szCs w:val="24"/>
        </w:rPr>
      </w:pPr>
      <w:r>
        <w:rPr>
          <w:rFonts w:ascii="Arial" w:hAnsi="Arial" w:eastAsia="Calibri" w:cs="Arial"/>
          <w:b/>
        </w:rPr>
        <w:t xml:space="preserve">22.1. </w:t>
      </w:r>
      <w:r>
        <w:rPr>
          <w:rFonts w:ascii="Arial" w:hAnsi="Arial"/>
          <w:szCs w:val="24"/>
        </w:rPr>
        <w:t>Durante a vigência da Ata de Registro de Preços, os preços registrados serão fixos, podendo este órgão adotar as mesmas medidas prescritas no artigo 92, caput e seus parágrafos do Decreto Federal nº 7.892/2013;</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 xml:space="preserve">22.2. </w:t>
      </w:r>
      <w:r>
        <w:rPr>
          <w:rFonts w:ascii="Arial" w:hAnsi="Arial"/>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 xml:space="preserve">22.3. </w:t>
      </w:r>
      <w:r>
        <w:rPr>
          <w:rFonts w:ascii="Arial" w:hAnsi="Arial"/>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after="120"/>
        <w:ind w:left="720" w:leftChars="300" w:right="240" w:rightChars="100"/>
        <w:jc w:val="both"/>
        <w:rPr>
          <w:rFonts w:ascii="Arial" w:hAnsi="Arial"/>
          <w:szCs w:val="24"/>
        </w:rPr>
      </w:pPr>
      <w:r>
        <w:rPr>
          <w:rFonts w:ascii="Arial" w:hAnsi="Arial"/>
          <w:b/>
          <w:szCs w:val="24"/>
        </w:rPr>
        <w:t xml:space="preserve">22.3.1. </w:t>
      </w:r>
      <w:r>
        <w:rPr>
          <w:rFonts w:ascii="Arial" w:hAnsi="Arial"/>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after="120"/>
        <w:ind w:left="720" w:leftChars="300" w:right="240" w:rightChars="100"/>
        <w:jc w:val="both"/>
        <w:rPr>
          <w:rFonts w:ascii="Arial" w:hAnsi="Arial"/>
          <w:szCs w:val="24"/>
        </w:rPr>
      </w:pPr>
      <w:r>
        <w:rPr>
          <w:rFonts w:ascii="Arial" w:hAnsi="Arial"/>
          <w:b/>
          <w:szCs w:val="24"/>
        </w:rPr>
        <w:t xml:space="preserve">22.3.2. </w:t>
      </w:r>
      <w:r>
        <w:rPr>
          <w:rFonts w:ascii="Arial" w:hAnsi="Arial"/>
          <w:szCs w:val="24"/>
        </w:rPr>
        <w:t>A ordem de classificação dos fornecedores que aceitarem reduzir seus preços aos valores de mercado observará a classificação original;</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 xml:space="preserve">22.4. </w:t>
      </w:r>
      <w:r>
        <w:rPr>
          <w:rFonts w:ascii="Arial" w:hAnsi="Arial"/>
          <w:szCs w:val="24"/>
        </w:rPr>
        <w:t>Quando o preço de mercado tornar-se superior aos preços registrados e o fornecedor não puder cumprir o compromisso, o órgão gerenciador poderá:</w:t>
      </w:r>
    </w:p>
    <w:p>
      <w:pPr>
        <w:widowControl w:val="0"/>
        <w:tabs>
          <w:tab w:val="left" w:pos="200"/>
        </w:tabs>
        <w:autoSpaceDE w:val="0"/>
        <w:autoSpaceDN w:val="0"/>
        <w:adjustRightInd w:val="0"/>
        <w:spacing w:after="120"/>
        <w:ind w:left="720" w:leftChars="300" w:right="240" w:rightChars="100"/>
        <w:jc w:val="both"/>
        <w:rPr>
          <w:rFonts w:ascii="Arial" w:hAnsi="Arial"/>
          <w:szCs w:val="24"/>
        </w:rPr>
      </w:pPr>
      <w:r>
        <w:rPr>
          <w:rFonts w:ascii="Arial" w:hAnsi="Arial"/>
          <w:b/>
          <w:szCs w:val="24"/>
        </w:rPr>
        <w:t xml:space="preserve">22.4.1. </w:t>
      </w:r>
      <w:r>
        <w:rPr>
          <w:rFonts w:ascii="Arial" w:hAnsi="Arial"/>
          <w:szCs w:val="24"/>
        </w:rPr>
        <w:t>liberar o fornecedor do compromisso assumido, caso a comunicação ocorra antes do pedido;</w:t>
      </w:r>
    </w:p>
    <w:p>
      <w:pPr>
        <w:widowControl w:val="0"/>
        <w:tabs>
          <w:tab w:val="left" w:pos="200"/>
        </w:tabs>
        <w:autoSpaceDE w:val="0"/>
        <w:autoSpaceDN w:val="0"/>
        <w:adjustRightInd w:val="0"/>
        <w:spacing w:after="120"/>
        <w:ind w:left="720" w:leftChars="300" w:right="240" w:rightChars="100"/>
        <w:jc w:val="both"/>
        <w:rPr>
          <w:rFonts w:ascii="Arial" w:hAnsi="Arial"/>
          <w:szCs w:val="24"/>
        </w:rPr>
      </w:pPr>
      <w:r>
        <w:rPr>
          <w:rFonts w:ascii="Arial" w:hAnsi="Arial"/>
          <w:b/>
          <w:szCs w:val="24"/>
        </w:rPr>
        <w:t xml:space="preserve">22.4.2. </w:t>
      </w:r>
      <w:r>
        <w:rPr>
          <w:rFonts w:ascii="Arial" w:hAnsi="Arial"/>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after="120"/>
        <w:ind w:left="720" w:leftChars="300" w:right="240" w:rightChars="100"/>
        <w:jc w:val="both"/>
        <w:rPr>
          <w:rFonts w:ascii="TimesNewRomanPSMT" w:hAnsi="TimesNewRomanPSMT"/>
          <w:sz w:val="22"/>
          <w:szCs w:val="24"/>
        </w:rPr>
      </w:pPr>
      <w:r>
        <w:rPr>
          <w:rFonts w:ascii="Arial" w:hAnsi="Arial"/>
          <w:b/>
          <w:szCs w:val="24"/>
        </w:rPr>
        <w:t xml:space="preserve">22.4.3. </w:t>
      </w:r>
      <w:r>
        <w:rPr>
          <w:rFonts w:ascii="Arial" w:hAnsi="Arial"/>
          <w:szCs w:val="24"/>
        </w:rPr>
        <w:t>Convocar os demais fornecedores para assegurar igual oportunidade de negociação</w:t>
      </w:r>
      <w:r>
        <w:rPr>
          <w:rFonts w:ascii="TimesNewRomanPSMT" w:hAnsi="TimesNewRomanPSMT"/>
          <w:sz w:val="22"/>
          <w:szCs w:val="24"/>
        </w:rPr>
        <w:t>;</w:t>
      </w:r>
    </w:p>
    <w:p>
      <w:pPr>
        <w:widowControl w:val="0"/>
        <w:autoSpaceDE w:val="0"/>
        <w:autoSpaceDN w:val="0"/>
        <w:adjustRightInd w:val="0"/>
        <w:spacing w:after="120"/>
        <w:ind w:right="240" w:rightChars="100"/>
        <w:jc w:val="both"/>
        <w:rPr>
          <w:rFonts w:ascii="TimesNewRomanPSMT" w:hAnsi="TimesNewRomanPSMT"/>
          <w:sz w:val="22"/>
          <w:szCs w:val="24"/>
        </w:rPr>
      </w:pPr>
      <w:r>
        <w:rPr>
          <w:rFonts w:ascii="Arial" w:hAnsi="Arial"/>
          <w:b/>
          <w:szCs w:val="24"/>
        </w:rPr>
        <w:t>22.5.</w:t>
      </w:r>
      <w:r>
        <w:rPr>
          <w:rFonts w:ascii="Arial" w:hAnsi="Arial"/>
          <w:szCs w:val="24"/>
        </w:rPr>
        <w:t xml:space="preserve"> Comprovada a redução dos preços praticados no mercado nas mesmas condições do registro, e, definido o novo preço máximo a ser pago pela Prefeitura Municipal de Primavera do Leste, o proponente registrado será convocado, para a devida alteração do valor registrado em Ata, o qual será publicado no Dioprima;</w:t>
      </w:r>
    </w:p>
    <w:p>
      <w:pPr>
        <w:widowControl w:val="0"/>
        <w:tabs>
          <w:tab w:val="left" w:pos="400"/>
          <w:tab w:val="left" w:pos="851"/>
          <w:tab w:val="left" w:pos="1134"/>
        </w:tabs>
        <w:spacing w:before="120" w:after="120"/>
        <w:ind w:left="7" w:right="240" w:rightChars="100" w:hanging="7"/>
        <w:jc w:val="both"/>
        <w:rPr>
          <w:rFonts w:ascii="Arial" w:hAnsi="Arial"/>
          <w:szCs w:val="24"/>
        </w:rPr>
      </w:pPr>
      <w:r>
        <w:rPr>
          <w:rFonts w:ascii="Arial" w:hAnsi="Arial"/>
          <w:b/>
          <w:szCs w:val="24"/>
        </w:rPr>
        <w:t xml:space="preserve">22.6. </w:t>
      </w:r>
      <w:r>
        <w:rPr>
          <w:rFonts w:ascii="Arial" w:hAnsi="Arial"/>
          <w:szCs w:val="24"/>
        </w:rPr>
        <w:t>Não havendo êxito nas negociações, o órgão gerenciador deverá proceder à revogação da ata de registro de preços, adotando as medidas cabíveis para obtenção da contratação mais vantajosa.</w:t>
      </w:r>
    </w:p>
    <w:p>
      <w:pPr>
        <w:spacing w:before="120"/>
        <w:jc w:val="both"/>
        <w:rPr>
          <w:rFonts w:ascii="Arial" w:hAnsi="Arial" w:eastAsia="Calibri" w:cs="Arial"/>
          <w:color w:val="000000"/>
        </w:rPr>
      </w:pPr>
      <w:r>
        <w:rPr>
          <w:sz w:val="20"/>
          <w:szCs w:val="24"/>
        </w:rPr>
        <mc:AlternateContent>
          <mc:Choice Requires="wps">
            <w:drawing>
              <wp:anchor distT="0" distB="0" distL="114300" distR="114300" simplePos="0" relativeHeight="251691008" behindDoc="0" locked="0" layoutInCell="1" allowOverlap="1">
                <wp:simplePos x="0" y="0"/>
                <wp:positionH relativeFrom="column">
                  <wp:posOffset>-65405</wp:posOffset>
                </wp:positionH>
                <wp:positionV relativeFrom="paragraph">
                  <wp:posOffset>64135</wp:posOffset>
                </wp:positionV>
                <wp:extent cx="6239510" cy="390525"/>
                <wp:effectExtent l="4445" t="4445" r="42545" b="43180"/>
                <wp:wrapNone/>
                <wp:docPr id="41" name="Retângulo 41"/>
                <wp:cNvGraphicFramePr/>
                <a:graphic xmlns:a="http://schemas.openxmlformats.org/drawingml/2006/main">
                  <a:graphicData uri="http://schemas.microsoft.com/office/word/2010/wordprocessingShape">
                    <wps:wsp>
                      <wps:cNvSpPr/>
                      <wps:spPr>
                        <a:xfrm>
                          <a:off x="0" y="0"/>
                          <a:ext cx="6239510" cy="3905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b/>
                                <w:szCs w:val="24"/>
                              </w:rPr>
                            </w:pPr>
                            <w:r>
                              <w:rPr>
                                <w:rFonts w:ascii="Arial" w:hAnsi="Arial"/>
                                <w:b/>
                                <w:szCs w:val="24"/>
                              </w:rPr>
                              <w:t>SEÇÃO XXIII – DA ATA DE REGISTRO DE PREÇOS</w:t>
                            </w:r>
                          </w:p>
                          <w:p>
                            <w:pPr>
                              <w:jc w:val="center"/>
                              <w:rPr>
                                <w:rFonts w:ascii="Arial" w:hAnsi="Arial"/>
                                <w:b/>
                                <w:szCs w:val="24"/>
                              </w:rPr>
                            </w:pPr>
                          </w:p>
                        </w:txbxContent>
                      </wps:txbx>
                      <wps:bodyPr upright="1"/>
                    </wps:wsp>
                  </a:graphicData>
                </a:graphic>
              </wp:anchor>
            </w:drawing>
          </mc:Choice>
          <mc:Fallback>
            <w:pict>
              <v:rect id="_x0000_s1026" o:spid="_x0000_s1026" o:spt="1" style="position:absolute;left:0pt;margin-left:-5.15pt;margin-top:5.05pt;height:30.75pt;width:491.3pt;z-index:251691008;mso-width-relative:page;mso-height-relative:page;" fillcolor="#D8D8D8" filled="t" stroked="t" coordsize="21600,21600" o:gfxdata="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Rig7NcAAAAJAQAADwAAAAAAAAABACAAAAAiAAAAZHJzL2Rv&#10;d25yZXYueG1sUEsBAhQAFAAAAAgAh07iQAwjExo7AgAAtQQAAA4AAAAAAAAAAQAgAAAAJgEAAGRy&#10;cy9lMm9Eb2MueG1sUEsFBgAAAAAGAAYAWQEAANMFAAAAAA==&#10;">
                <v:fill on="t" focussize="0,0"/>
                <v:stroke color="#000000" joinstyle="miter"/>
                <v:imagedata o:title=""/>
                <o:lock v:ext="edit" aspectratio="f"/>
                <v:shadow on="t" color="#808080" offset="2pt,2pt" origin="0f,0f" matrix="65536f,0f,0f,65536f"/>
                <v:textbox>
                  <w:txbxContent>
                    <w:p>
                      <w:pPr>
                        <w:jc w:val="center"/>
                        <w:rPr>
                          <w:rFonts w:ascii="Arial" w:hAnsi="Arial"/>
                          <w:b/>
                          <w:szCs w:val="24"/>
                        </w:rPr>
                      </w:pPr>
                      <w:r>
                        <w:rPr>
                          <w:rFonts w:ascii="Arial" w:hAnsi="Arial"/>
                          <w:b/>
                          <w:szCs w:val="24"/>
                        </w:rPr>
                        <w:t>SEÇÃO XXIII – DA ATA DE REGISTRO DE PREÇOS</w:t>
                      </w:r>
                    </w:p>
                    <w:p>
                      <w:pPr>
                        <w:jc w:val="center"/>
                        <w:rPr>
                          <w:rFonts w:ascii="Arial" w:hAnsi="Arial"/>
                          <w:b/>
                          <w:szCs w:val="24"/>
                        </w:rPr>
                      </w:pPr>
                    </w:p>
                  </w:txbxContent>
                </v:textbox>
              </v:rect>
            </w:pict>
          </mc:Fallback>
        </mc:AlternateContent>
      </w:r>
    </w:p>
    <w:p>
      <w:pPr>
        <w:spacing w:before="120"/>
        <w:jc w:val="both"/>
        <w:rPr>
          <w:rFonts w:ascii="Arial" w:hAnsi="Arial" w:eastAsia="Calibri" w:cs="Arial"/>
          <w:color w:val="000000"/>
        </w:rPr>
      </w:pPr>
    </w:p>
    <w:p>
      <w:pPr>
        <w:ind w:right="240" w:rightChars="100"/>
        <w:rPr>
          <w:sz w:val="2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23.1.</w:t>
      </w:r>
      <w:r>
        <w:rPr>
          <w:rFonts w:ascii="Arial" w:hAnsi="Arial"/>
          <w:color w:val="000000"/>
          <w:szCs w:val="24"/>
        </w:rPr>
        <w:t xml:space="preserve"> O proponente terá o seu registro de preços cancelado, por intermédio de processo administrativo específico, a pedido, sem prejuízo da aplicação das penalidades legais previstas, caso as razões do pedido não sejam sanadas, após protocolado em até </w:t>
      </w:r>
      <w:r>
        <w:rPr>
          <w:rFonts w:ascii="Arial" w:hAnsi="Arial"/>
          <w:b/>
          <w:color w:val="000000"/>
          <w:szCs w:val="24"/>
        </w:rPr>
        <w:t>05 (cinco) dias úteis</w:t>
      </w:r>
      <w:r>
        <w:rPr>
          <w:rFonts w:ascii="Arial" w:hAnsi="Arial"/>
          <w:color w:val="000000"/>
          <w:szCs w:val="24"/>
        </w:rPr>
        <w:t>, contados a partir da constatação das hipóteses a seguir explicitadas:</w:t>
      </w:r>
    </w:p>
    <w:p>
      <w:pPr>
        <w:widowControl w:val="0"/>
        <w:autoSpaceDE w:val="0"/>
        <w:autoSpaceDN w:val="0"/>
        <w:adjustRightInd w:val="0"/>
        <w:spacing w:after="120"/>
        <w:ind w:left="720" w:leftChars="300" w:right="240" w:rightChars="100"/>
        <w:jc w:val="both"/>
        <w:rPr>
          <w:rFonts w:ascii="Arial" w:hAnsi="Arial"/>
          <w:color w:val="000000"/>
          <w:szCs w:val="24"/>
        </w:rPr>
      </w:pPr>
      <w:r>
        <w:rPr>
          <w:rFonts w:ascii="Arial" w:hAnsi="Arial"/>
          <w:b/>
          <w:color w:val="000000"/>
          <w:szCs w:val="24"/>
        </w:rPr>
        <w:t>23.1.1.</w:t>
      </w:r>
      <w:r>
        <w:rPr>
          <w:rFonts w:ascii="Arial" w:hAnsi="Arial"/>
          <w:color w:val="000000"/>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after="120"/>
        <w:ind w:left="722" w:leftChars="300" w:right="240" w:rightChars="100" w:hanging="2"/>
        <w:jc w:val="both"/>
        <w:rPr>
          <w:rFonts w:ascii="Arial" w:hAnsi="Arial"/>
          <w:color w:val="000000"/>
          <w:szCs w:val="24"/>
        </w:rPr>
      </w:pPr>
      <w:r>
        <w:rPr>
          <w:rFonts w:ascii="Arial" w:hAnsi="Arial"/>
          <w:b/>
          <w:color w:val="000000"/>
          <w:szCs w:val="24"/>
        </w:rPr>
        <w:t>23.1.2.</w:t>
      </w:r>
      <w:r>
        <w:rPr>
          <w:rFonts w:ascii="Arial" w:hAnsi="Arial"/>
          <w:color w:val="000000"/>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23.2.</w:t>
      </w:r>
      <w:r>
        <w:rPr>
          <w:rFonts w:ascii="Arial" w:hAnsi="Arial"/>
          <w:color w:val="000000"/>
          <w:szCs w:val="24"/>
        </w:rPr>
        <w:t xml:space="preserve"> Por iniciativa da Prefeitura Municipal de Primavera do Leste, o registro será cancelado:</w:t>
      </w:r>
    </w:p>
    <w:p>
      <w:pPr>
        <w:widowControl w:val="0"/>
        <w:autoSpaceDE w:val="0"/>
        <w:autoSpaceDN w:val="0"/>
        <w:adjustRightInd w:val="0"/>
        <w:spacing w:after="120"/>
        <w:ind w:left="720" w:leftChars="300" w:right="240" w:rightChars="100"/>
        <w:jc w:val="both"/>
        <w:rPr>
          <w:rFonts w:ascii="Arial" w:hAnsi="Arial"/>
          <w:color w:val="000000"/>
          <w:szCs w:val="24"/>
        </w:rPr>
      </w:pPr>
      <w:r>
        <w:rPr>
          <w:rFonts w:ascii="Arial" w:hAnsi="Arial"/>
          <w:b/>
          <w:color w:val="000000"/>
          <w:szCs w:val="24"/>
        </w:rPr>
        <w:t>23.2.1.</w:t>
      </w:r>
      <w:r>
        <w:rPr>
          <w:rFonts w:ascii="Arial" w:hAnsi="Arial"/>
          <w:color w:val="000000"/>
          <w:szCs w:val="24"/>
        </w:rPr>
        <w:t xml:space="preserve"> Quando o proponente:</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23.2.1.1.</w:t>
      </w:r>
      <w:r>
        <w:rPr>
          <w:rFonts w:ascii="Arial" w:hAnsi="Arial"/>
          <w:color w:val="000000"/>
          <w:szCs w:val="24"/>
        </w:rPr>
        <w:t xml:space="preserve"> Não aceitar reduzir o preço registrado, na hipótese de este se tornar superior àqueles praticados no mercado;</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23.2.1.2.</w:t>
      </w:r>
      <w:r>
        <w:rPr>
          <w:rFonts w:ascii="Arial" w:hAnsi="Arial"/>
          <w:color w:val="000000"/>
          <w:szCs w:val="24"/>
        </w:rPr>
        <w:t xml:space="preserve"> Perder qualquer condição de habilitação ou qualificação técnica exigida no processo licitatório;</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23.2.1.3.</w:t>
      </w:r>
      <w:r>
        <w:rPr>
          <w:rFonts w:ascii="Arial" w:hAnsi="Arial"/>
          <w:color w:val="000000"/>
          <w:szCs w:val="24"/>
        </w:rPr>
        <w:t xml:space="preserve"> Não cumprir as obrigações decorrentes da Ata de Registro de Preços;</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22.3.1.4.</w:t>
      </w:r>
      <w:r>
        <w:rPr>
          <w:rFonts w:ascii="Arial" w:hAnsi="Arial"/>
          <w:color w:val="000000"/>
          <w:szCs w:val="24"/>
        </w:rPr>
        <w:t xml:space="preserve"> Não comparecer ou se recusar a retirar, no prazo estabelecido, a Ordem de Fornecimento decorrente da Ata de Registro de Preços;</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22.3.1.5.</w:t>
      </w:r>
      <w:r>
        <w:rPr>
          <w:rFonts w:ascii="Arial" w:hAnsi="Arial"/>
          <w:color w:val="000000"/>
          <w:szCs w:val="24"/>
        </w:rPr>
        <w:t xml:space="preserve"> Sofrer sanção prevista nos incisos III ou IV do caput do art. 87 da Lei nº 8.666, de 1993, ou no art. 7º da Lei nº 10.520, de 2002.</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23.3.</w:t>
      </w:r>
      <w:r>
        <w:rPr>
          <w:rFonts w:ascii="Arial" w:hAnsi="Arial"/>
          <w:color w:val="000000"/>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23.4.</w:t>
      </w:r>
      <w:r>
        <w:rPr>
          <w:rFonts w:ascii="Arial" w:hAnsi="Arial"/>
          <w:color w:val="000000"/>
          <w:szCs w:val="24"/>
        </w:rPr>
        <w:t xml:space="preserve"> O cancelamento do registro de preços poderá ocorrer por fato superveniente, decorrente de caso fortuito ou força maior, que prejudique o cumprimento da ata, devidamente comprovados e justificados:</w:t>
      </w:r>
    </w:p>
    <w:p>
      <w:pPr>
        <w:pStyle w:val="21"/>
        <w:widowControl w:val="0"/>
        <w:spacing w:after="120"/>
        <w:ind w:left="720" w:leftChars="300" w:right="240" w:rightChars="100"/>
        <w:rPr>
          <w:rFonts w:ascii="Arial" w:hAnsi="Arial"/>
          <w:b/>
          <w:szCs w:val="24"/>
        </w:rPr>
      </w:pPr>
      <w:r>
        <w:rPr>
          <w:rFonts w:ascii="Arial" w:hAnsi="Arial"/>
          <w:b/>
          <w:szCs w:val="24"/>
        </w:rPr>
        <w:t xml:space="preserve">23.4.1. </w:t>
      </w:r>
      <w:r>
        <w:rPr>
          <w:rFonts w:ascii="Arial" w:hAnsi="Arial"/>
          <w:szCs w:val="24"/>
        </w:rPr>
        <w:t>Por razão de interesse público; ou</w:t>
      </w:r>
    </w:p>
    <w:p>
      <w:pPr>
        <w:pStyle w:val="21"/>
        <w:widowControl w:val="0"/>
        <w:ind w:left="720" w:leftChars="300" w:right="240" w:rightChars="100"/>
        <w:rPr>
          <w:rFonts w:ascii="Arial" w:hAnsi="Arial"/>
          <w:szCs w:val="24"/>
        </w:rPr>
      </w:pPr>
      <w:r>
        <w:rPr>
          <w:rFonts w:ascii="Arial" w:hAnsi="Arial"/>
          <w:b/>
          <w:szCs w:val="24"/>
        </w:rPr>
        <w:t xml:space="preserve">23.4.2. </w:t>
      </w:r>
      <w:r>
        <w:rPr>
          <w:rFonts w:ascii="Arial" w:hAnsi="Arial"/>
          <w:szCs w:val="24"/>
        </w:rPr>
        <w:t>A pedido do fornecedor.</w:t>
      </w:r>
    </w:p>
    <w:p>
      <w:pPr>
        <w:spacing w:before="120"/>
        <w:ind w:right="240" w:rightChars="100"/>
        <w:jc w:val="both"/>
        <w:rPr>
          <w:rFonts w:ascii="Arial" w:hAnsi="Arial" w:eastAsia="Calibri" w:cs="Arial"/>
          <w:color w:val="000000"/>
        </w:rPr>
      </w:pPr>
      <w:r>
        <w:rPr>
          <w:rFonts w:ascii="Arial" w:hAnsi="Arial" w:cs="Arial"/>
          <w:sz w:val="20"/>
        </w:rPr>
        <mc:AlternateContent>
          <mc:Choice Requires="wps">
            <w:drawing>
              <wp:anchor distT="0" distB="0" distL="114300" distR="114300" simplePos="0" relativeHeight="251689984" behindDoc="0" locked="0" layoutInCell="1" allowOverlap="1">
                <wp:simplePos x="0" y="0"/>
                <wp:positionH relativeFrom="column">
                  <wp:posOffset>-12065</wp:posOffset>
                </wp:positionH>
                <wp:positionV relativeFrom="paragraph">
                  <wp:posOffset>140970</wp:posOffset>
                </wp:positionV>
                <wp:extent cx="6257290" cy="314325"/>
                <wp:effectExtent l="4445" t="4445" r="43815" b="43180"/>
                <wp:wrapNone/>
                <wp:docPr id="40" name="Retângulo 47"/>
                <wp:cNvGraphicFramePr/>
                <a:graphic xmlns:a="http://schemas.openxmlformats.org/drawingml/2006/main">
                  <a:graphicData uri="http://schemas.microsoft.com/office/word/2010/wordprocessingShape">
                    <wps:wsp>
                      <wps:cNvSpPr/>
                      <wps:spPr>
                        <a:xfrm>
                          <a:off x="0" y="0"/>
                          <a:ext cx="6257290" cy="3143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b/>
                                <w:szCs w:val="24"/>
                              </w:rPr>
                            </w:pPr>
                            <w:r>
                              <w:rPr>
                                <w:rFonts w:ascii="Arial" w:hAnsi="Arial" w:eastAsia="Calibri"/>
                                <w:b/>
                              </w:rPr>
                              <w:t xml:space="preserve">SEÇÃO XXIV – </w:t>
                            </w:r>
                            <w:r>
                              <w:rPr>
                                <w:rFonts w:ascii="Arial" w:hAnsi="Arial"/>
                                <w:b/>
                                <w:szCs w:val="24"/>
                              </w:rPr>
                              <w:t>DOS ACRÉSCIMOS</w:t>
                            </w:r>
                          </w:p>
                          <w:p>
                            <w:pPr>
                              <w:jc w:val="center"/>
                              <w:rPr>
                                <w:rFonts w:ascii="Arial" w:hAnsi="Arial" w:eastAsia="Calibri"/>
                                <w:b/>
                              </w:rPr>
                            </w:pPr>
                          </w:p>
                        </w:txbxContent>
                      </wps:txbx>
                      <wps:bodyPr wrap="square" upright="1"/>
                    </wps:wsp>
                  </a:graphicData>
                </a:graphic>
              </wp:anchor>
            </w:drawing>
          </mc:Choice>
          <mc:Fallback>
            <w:pict>
              <v:rect id="Retângulo 47" o:spid="_x0000_s1026" o:spt="1" style="position:absolute;left:0pt;margin-left:-0.95pt;margin-top:11.1pt;height:24.75pt;width:492.7pt;z-index:251689984;mso-width-relative:page;mso-height-relative:page;" fillcolor="#D8D8D8" filled="t" stroked="t" coordsize="21600,21600" o:gfxdata="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a+gjdgAAAAIAQAADwAAAAAAAAABACAA&#10;AAAiAAAAZHJzL2Rvd25yZXYueG1sUEsBAhQAFAAAAAgAh07iQHobT7F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jc w:val="center"/>
                        <w:rPr>
                          <w:rFonts w:ascii="Arial" w:hAnsi="Arial"/>
                          <w:b/>
                          <w:szCs w:val="24"/>
                        </w:rPr>
                      </w:pPr>
                      <w:r>
                        <w:rPr>
                          <w:rFonts w:ascii="Arial" w:hAnsi="Arial" w:eastAsia="Calibri"/>
                          <w:b/>
                        </w:rPr>
                        <w:t xml:space="preserve">SEÇÃO XXIV – </w:t>
                      </w:r>
                      <w:r>
                        <w:rPr>
                          <w:rFonts w:ascii="Arial" w:hAnsi="Arial"/>
                          <w:b/>
                          <w:szCs w:val="24"/>
                        </w:rPr>
                        <w:t>DOS ACRÉSCIMOS</w:t>
                      </w:r>
                    </w:p>
                    <w:p>
                      <w:pPr>
                        <w:jc w:val="center"/>
                        <w:rPr>
                          <w:rFonts w:ascii="Arial" w:hAnsi="Arial" w:eastAsia="Calibri"/>
                          <w:b/>
                        </w:rPr>
                      </w:pPr>
                    </w:p>
                  </w:txbxContent>
                </v:textbox>
              </v:rect>
            </w:pict>
          </mc:Fallback>
        </mc:AlternateContent>
      </w:r>
    </w:p>
    <w:p>
      <w:pPr>
        <w:widowControl w:val="0"/>
        <w:autoSpaceDE w:val="0"/>
        <w:autoSpaceDN w:val="0"/>
        <w:adjustRightInd w:val="0"/>
        <w:ind w:right="240" w:rightChars="100"/>
        <w:jc w:val="both"/>
        <w:rPr>
          <w:rFonts w:ascii="Arial" w:hAnsi="Arial"/>
          <w:b/>
          <w:szCs w:val="24"/>
        </w:rPr>
      </w:pPr>
    </w:p>
    <w:p>
      <w:pPr>
        <w:widowControl w:val="0"/>
        <w:autoSpaceDE w:val="0"/>
        <w:autoSpaceDN w:val="0"/>
        <w:adjustRightInd w:val="0"/>
        <w:ind w:right="240" w:rightChars="100"/>
        <w:jc w:val="both"/>
        <w:rPr>
          <w:rFonts w:ascii="Arial" w:hAnsi="Arial"/>
          <w:b/>
          <w:szCs w:val="24"/>
        </w:rPr>
      </w:pPr>
    </w:p>
    <w:p>
      <w:pPr>
        <w:widowControl w:val="0"/>
        <w:autoSpaceDE w:val="0"/>
        <w:autoSpaceDN w:val="0"/>
        <w:adjustRightInd w:val="0"/>
        <w:ind w:right="240" w:rightChars="100"/>
        <w:jc w:val="both"/>
        <w:rPr>
          <w:rFonts w:ascii="Arial" w:hAnsi="Arial"/>
          <w:szCs w:val="24"/>
        </w:rPr>
      </w:pPr>
      <w:r>
        <w:rPr>
          <w:rFonts w:ascii="Arial" w:hAnsi="Arial"/>
          <w:b/>
          <w:szCs w:val="24"/>
        </w:rPr>
        <mc:AlternateContent>
          <mc:Choice Requires="wps">
            <w:drawing>
              <wp:anchor distT="0" distB="0" distL="114300" distR="114300" simplePos="0" relativeHeight="251688960" behindDoc="0" locked="0" layoutInCell="1" allowOverlap="1">
                <wp:simplePos x="0" y="0"/>
                <wp:positionH relativeFrom="column">
                  <wp:posOffset>937260</wp:posOffset>
                </wp:positionH>
                <wp:positionV relativeFrom="paragraph">
                  <wp:posOffset>7268845</wp:posOffset>
                </wp:positionV>
                <wp:extent cx="6248400" cy="304165"/>
                <wp:effectExtent l="4445" t="5080" r="33655" b="33655"/>
                <wp:wrapNone/>
                <wp:docPr id="36" name="Retângulo 36"/>
                <wp:cNvGraphicFramePr/>
                <a:graphic xmlns:a="http://schemas.openxmlformats.org/drawingml/2006/main">
                  <a:graphicData uri="http://schemas.microsoft.com/office/word/2010/wordprocessingShape">
                    <wps:wsp>
                      <wps:cNvSpPr/>
                      <wps:spPr>
                        <a:xfrm>
                          <a:off x="0" y="0"/>
                          <a:ext cx="6248400" cy="3041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alpha val="100000"/>
                            </a:srgbClr>
                          </a:outerShdw>
                        </a:effectLst>
                      </wps:spPr>
                      <wps:txbx>
                        <w:txbxContent>
                          <w:p>
                            <w:pPr>
                              <w:jc w:val="center"/>
                              <w:rPr>
                                <w:rFonts w:ascii="Arial" w:hAnsi="Arial"/>
                                <w:b/>
                                <w:szCs w:val="24"/>
                              </w:rPr>
                            </w:pPr>
                            <w:r>
                              <w:rPr>
                                <w:rFonts w:ascii="Arial" w:hAnsi="Arial"/>
                                <w:b/>
                                <w:szCs w:val="24"/>
                              </w:rPr>
                              <w:t>SEÇÃO XX – DOS ACRÉSCIMOS</w:t>
                            </w:r>
                          </w:p>
                        </w:txbxContent>
                      </wps:txbx>
                      <wps:bodyPr upright="1"/>
                    </wps:wsp>
                  </a:graphicData>
                </a:graphic>
              </wp:anchor>
            </w:drawing>
          </mc:Choice>
          <mc:Fallback>
            <w:pict>
              <v:rect id="_x0000_s1026" o:spid="_x0000_s1026" o:spt="1" style="position:absolute;left:0pt;margin-left:73.8pt;margin-top:572.35pt;height:23.95pt;width:492pt;z-index:251688960;mso-width-relative:page;mso-height-relative:page;" fillcolor="#D8D8D8" filled="t" stroked="t" coordsize="21600,21600" o:gfxdata="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ORwQNoAAAAOAQAADwAAAAAAAAAB&#10;ACAAAAAiAAAAZHJzL2Rvd25yZXYueG1sUEsBAhQAFAAAAAgAh07iQJKZoxhHAgAA1wQAAA4AAAAA&#10;AAAAAQAgAAAAKQEAAGRycy9lMm9Eb2MueG1sUEsFBgAAAAAGAAYAWQEAAOIFAAAAAA==&#10;">
                <v:fill on="t" focussize="0,0"/>
                <v:stroke color="#000000" joinstyle="miter"/>
                <v:imagedata o:title=""/>
                <o:lock v:ext="edit" aspectratio="f"/>
                <v:shadow on="t" color="#808080" opacity="65536f" offset="2pt,2pt" origin="0f,0f" matrix="65536f,0f,0f,65536f"/>
                <v:textbox>
                  <w:txbxContent>
                    <w:p>
                      <w:pPr>
                        <w:jc w:val="center"/>
                        <w:rPr>
                          <w:rFonts w:ascii="Arial" w:hAnsi="Arial"/>
                          <w:b/>
                          <w:szCs w:val="24"/>
                        </w:rPr>
                      </w:pPr>
                      <w:r>
                        <w:rPr>
                          <w:rFonts w:ascii="Arial" w:hAnsi="Arial"/>
                          <w:b/>
                          <w:szCs w:val="24"/>
                        </w:rPr>
                        <w:t>SEÇÃO XX – DOS ACRÉSCIMOS</w:t>
                      </w:r>
                    </w:p>
                  </w:txbxContent>
                </v:textbox>
              </v:rect>
            </w:pict>
          </mc:Fallback>
        </mc:AlternateContent>
      </w:r>
      <w:r>
        <w:rPr>
          <w:rFonts w:ascii="Arial" w:hAnsi="Arial"/>
          <w:b/>
          <w:szCs w:val="24"/>
        </w:rPr>
        <mc:AlternateContent>
          <mc:Choice Requires="wps">
            <w:drawing>
              <wp:anchor distT="0" distB="0" distL="114300" distR="114300" simplePos="0" relativeHeight="251687936" behindDoc="0" locked="0" layoutInCell="1" allowOverlap="1">
                <wp:simplePos x="0" y="0"/>
                <wp:positionH relativeFrom="column">
                  <wp:posOffset>784860</wp:posOffset>
                </wp:positionH>
                <wp:positionV relativeFrom="paragraph">
                  <wp:posOffset>7125335</wp:posOffset>
                </wp:positionV>
                <wp:extent cx="6248400" cy="295275"/>
                <wp:effectExtent l="4445" t="4445" r="33655" b="43180"/>
                <wp:wrapNone/>
                <wp:docPr id="35"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b/>
                                <w:szCs w:val="24"/>
                              </w:rPr>
                            </w:pPr>
                            <w:r>
                              <w:rPr>
                                <w:rFonts w:ascii="Arial" w:hAnsi="Arial"/>
                                <w:b/>
                                <w:szCs w:val="24"/>
                              </w:rPr>
                              <w:t>SEÇÃO XX – DOS ACRÉSCIMOS</w:t>
                            </w:r>
                          </w:p>
                        </w:txbxContent>
                      </wps:txbx>
                      <wps:bodyPr upright="1"/>
                    </wps:wsp>
                  </a:graphicData>
                </a:graphic>
              </wp:anchor>
            </w:drawing>
          </mc:Choice>
          <mc:Fallback>
            <w:pict>
              <v:rect id="_x0000_s1026" o:spid="_x0000_s1026" o:spt="1" style="position:absolute;left:0pt;margin-left:61.8pt;margin-top:561.05pt;height:23.25pt;width:492pt;z-index:251687936;mso-width-relative:page;mso-height-relative:page;" fillcolor="#D8D8D8" filled="t" stroked="t" coordsize="21600,21600" o:gfxdata="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8GEWdkAAAAOAQAADwAAAAAAAAABACAAAAAiAAAA&#10;ZHJzL2Rvd25yZXYueG1sUEsBAhQAFAAAAAgAh07iQAz4d4o/AgAAtQQAAA4AAAAAAAAAAQAgAAAA&#10;KAEAAGRycy9lMm9Eb2MueG1sUEsFBgAAAAAGAAYAWQEAANkFAAAAAA==&#10;">
                <v:fill on="t" focussize="0,0"/>
                <v:stroke color="#000000" joinstyle="miter"/>
                <v:imagedata o:title=""/>
                <o:lock v:ext="edit" aspectratio="f"/>
                <v:shadow on="t" color="#808080" offset="2pt,2pt" origin="0f,0f" matrix="65536f,0f,0f,65536f"/>
                <v:textbox>
                  <w:txbxContent>
                    <w:p>
                      <w:pPr>
                        <w:jc w:val="center"/>
                        <w:rPr>
                          <w:rFonts w:ascii="Arial" w:hAnsi="Arial"/>
                          <w:b/>
                          <w:szCs w:val="24"/>
                        </w:rPr>
                      </w:pPr>
                      <w:r>
                        <w:rPr>
                          <w:rFonts w:ascii="Arial" w:hAnsi="Arial"/>
                          <w:b/>
                          <w:szCs w:val="24"/>
                        </w:rPr>
                        <w:t>SEÇÃO XX – DOS ACRÉSCIMOS</w:t>
                      </w:r>
                    </w:p>
                  </w:txbxContent>
                </v:textbox>
              </v:rect>
            </w:pict>
          </mc:Fallback>
        </mc:AlternateContent>
      </w:r>
      <w:r>
        <w:rPr>
          <w:rFonts w:ascii="Arial" w:hAnsi="Arial"/>
          <w:b/>
          <w:szCs w:val="24"/>
        </w:rPr>
        <w:t xml:space="preserve">24.1. </w:t>
      </w:r>
      <w:r>
        <w:rPr>
          <w:rFonts w:ascii="Arial" w:hAnsi="Arial"/>
          <w:szCs w:val="24"/>
        </w:rPr>
        <w:t>É vedado efetuar acréscimos nos quantitativos fixados pela Ata de Registro de Preço, inclusive o acréscimo de que trata o §1º do art. 65 da Lei nº 8.666/93.</w:t>
      </w:r>
    </w:p>
    <w:p>
      <w:pPr>
        <w:autoSpaceDE w:val="0"/>
        <w:autoSpaceDN w:val="0"/>
        <w:adjustRightInd w:val="0"/>
        <w:spacing w:after="120"/>
        <w:ind w:right="240" w:rightChars="100"/>
        <w:jc w:val="both"/>
        <w:rPr>
          <w:rFonts w:ascii="Arial" w:hAnsi="Arial"/>
          <w:szCs w:val="24"/>
        </w:rPr>
      </w:pPr>
      <w:r>
        <w:rPr>
          <w:rFonts w:ascii="Arial" w:hAnsi="Arial"/>
          <w:b/>
          <w:szCs w:val="24"/>
        </w:rPr>
        <w:t xml:space="preserve">24.2. </w:t>
      </w:r>
      <w:r>
        <w:rPr>
          <w:rFonts w:ascii="Arial" w:hAnsi="Arial"/>
          <w:szCs w:val="24"/>
        </w:rPr>
        <w:t>A vigência dos contratos decorrentes do Sistema de Registro de Preços obedecerá ao disposto no art. 57 da Lei nº 8.666/93.</w:t>
      </w:r>
    </w:p>
    <w:p>
      <w:pPr>
        <w:autoSpaceDE w:val="0"/>
        <w:autoSpaceDN w:val="0"/>
        <w:adjustRightInd w:val="0"/>
        <w:spacing w:after="120"/>
        <w:ind w:right="240" w:rightChars="100"/>
        <w:jc w:val="both"/>
        <w:rPr>
          <w:rFonts w:ascii="Arial" w:hAnsi="Arial"/>
          <w:szCs w:val="24"/>
        </w:rPr>
      </w:pPr>
      <w:r>
        <w:rPr>
          <w:rFonts w:ascii="Arial" w:hAnsi="Arial"/>
          <w:b/>
          <w:szCs w:val="24"/>
        </w:rPr>
        <w:t xml:space="preserve">24.3. </w:t>
      </w:r>
      <w:r>
        <w:rPr>
          <w:rFonts w:ascii="Arial" w:hAnsi="Arial"/>
          <w:szCs w:val="24"/>
        </w:rPr>
        <w:t>Os contratos decorrentes do Sistema de Registro de Preços poderão ser alterados, observado o disposto no art. 65 da Lei nº 8.666/93.</w:t>
      </w:r>
    </w:p>
    <w:p>
      <w:pPr>
        <w:autoSpaceDE w:val="0"/>
        <w:autoSpaceDN w:val="0"/>
        <w:adjustRightInd w:val="0"/>
        <w:ind w:right="240" w:rightChars="100"/>
        <w:jc w:val="both"/>
        <w:rPr>
          <w:rFonts w:ascii="Arial" w:hAnsi="Arial"/>
          <w:szCs w:val="24"/>
        </w:rPr>
      </w:pPr>
      <w:r>
        <w:rPr>
          <w:rFonts w:ascii="Arial" w:hAnsi="Arial"/>
          <w:b/>
          <w:szCs w:val="24"/>
        </w:rPr>
        <w:t xml:space="preserve">24.4. </w:t>
      </w:r>
      <w:r>
        <w:rPr>
          <w:rFonts w:ascii="Arial" w:hAnsi="Arial"/>
          <w:szCs w:val="24"/>
        </w:rPr>
        <w:t>O contrato decorrente do Sistema de Registro de Preços deverá ser assinado no prazo de validade da ata de registro de preços.</w:t>
      </w:r>
    </w:p>
    <w:p>
      <w:pPr>
        <w:autoSpaceDE w:val="0"/>
        <w:autoSpaceDN w:val="0"/>
        <w:adjustRightInd w:val="0"/>
        <w:ind w:right="240" w:rightChars="100"/>
        <w:jc w:val="both"/>
        <w:rPr>
          <w:rFonts w:ascii="Arial" w:hAnsi="Arial"/>
          <w:szCs w:val="24"/>
        </w:rPr>
      </w:pPr>
      <w:r>
        <w:rPr>
          <w:rFonts w:ascii="Arial" w:hAnsi="Arial" w:cs="Arial"/>
          <w:sz w:val="20"/>
        </w:rPr>
        <mc:AlternateContent>
          <mc:Choice Requires="wps">
            <w:drawing>
              <wp:anchor distT="0" distB="0" distL="114300" distR="114300" simplePos="0" relativeHeight="251692032" behindDoc="0" locked="0" layoutInCell="1" allowOverlap="1">
                <wp:simplePos x="0" y="0"/>
                <wp:positionH relativeFrom="column">
                  <wp:posOffset>-25400</wp:posOffset>
                </wp:positionH>
                <wp:positionV relativeFrom="paragraph">
                  <wp:posOffset>69215</wp:posOffset>
                </wp:positionV>
                <wp:extent cx="6248400" cy="314960"/>
                <wp:effectExtent l="4445" t="4445" r="33655" b="42545"/>
                <wp:wrapNone/>
                <wp:docPr id="42" name="Retângulo 48"/>
                <wp:cNvGraphicFramePr/>
                <a:graphic xmlns:a="http://schemas.openxmlformats.org/drawingml/2006/main">
                  <a:graphicData uri="http://schemas.microsoft.com/office/word/2010/wordprocessingShape">
                    <wps:wsp>
                      <wps:cNvSpPr/>
                      <wps:spPr>
                        <a:xfrm>
                          <a:off x="0" y="0"/>
                          <a:ext cx="6248400" cy="31496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b/>
                                <w:szCs w:val="24"/>
                              </w:rPr>
                            </w:pPr>
                            <w:r>
                              <w:rPr>
                                <w:rFonts w:ascii="Arial" w:hAnsi="Arial"/>
                                <w:b/>
                                <w:szCs w:val="24"/>
                              </w:rPr>
                              <w:t>SEÇÃO XXV – CANCELAMENTO DA ATA DE REGISTRO DE PREÇOS</w:t>
                            </w:r>
                          </w:p>
                          <w:p/>
                        </w:txbxContent>
                      </wps:txbx>
                      <wps:bodyPr wrap="square" upright="1"/>
                    </wps:wsp>
                  </a:graphicData>
                </a:graphic>
              </wp:anchor>
            </w:drawing>
          </mc:Choice>
          <mc:Fallback>
            <w:pict>
              <v:rect id="Retângulo 48" o:spid="_x0000_s1026" o:spt="1" style="position:absolute;left:0pt;margin-left:-2pt;margin-top:5.45pt;height:24.8pt;width:492pt;z-index:251692032;mso-width-relative:page;mso-height-relative:page;" fillcolor="#D8D8D8" filled="t" stroked="t" coordsize="21600,21600" o:gfxdata="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rGbdcAAAAIAQAADwAAAAAAAAAB&#10;ACAAAAAiAAAAZHJzL2Rvd25yZXYueG1sUEsBAhQAFAAAAAgAh07iQFStrrNKAgAAwwQAAA4AAAAA&#10;AAAAAQAgAAAAJgEAAGRycy9lMm9Eb2MueG1sUEsFBgAAAAAGAAYAWQEAAOIFAAAAAA==&#10;">
                <v:fill on="t" focussize="0,0"/>
                <v:stroke color="#000000" joinstyle="miter"/>
                <v:imagedata o:title=""/>
                <o:lock v:ext="edit" aspectratio="f"/>
                <v:shadow on="t" color="#808080" offset="2pt,2pt" origin="0f,0f" matrix="65536f,0f,0f,65536f"/>
                <v:textbox>
                  <w:txbxContent>
                    <w:p>
                      <w:pPr>
                        <w:jc w:val="center"/>
                        <w:rPr>
                          <w:rFonts w:ascii="Arial" w:hAnsi="Arial"/>
                          <w:b/>
                          <w:szCs w:val="24"/>
                        </w:rPr>
                      </w:pPr>
                      <w:r>
                        <w:rPr>
                          <w:rFonts w:ascii="Arial" w:hAnsi="Arial"/>
                          <w:b/>
                          <w:szCs w:val="24"/>
                        </w:rPr>
                        <w:t>SEÇÃO XXV – CANCELAMENTO DA ATA DE REGISTRO DE PREÇOS</w:t>
                      </w:r>
                    </w:p>
                    <w:p/>
                  </w:txbxContent>
                </v:textbox>
              </v:rect>
            </w:pict>
          </mc:Fallback>
        </mc:AlternateContent>
      </w:r>
    </w:p>
    <w:p>
      <w:pPr>
        <w:autoSpaceDE w:val="0"/>
        <w:autoSpaceDN w:val="0"/>
        <w:adjustRightInd w:val="0"/>
        <w:ind w:right="240" w:rightChars="100"/>
        <w:jc w:val="both"/>
        <w:rPr>
          <w:rFonts w:ascii="Arial" w:hAnsi="Arial"/>
          <w:szCs w:val="24"/>
        </w:rPr>
      </w:pPr>
    </w:p>
    <w:p>
      <w:pPr>
        <w:autoSpaceDE w:val="0"/>
        <w:autoSpaceDN w:val="0"/>
        <w:adjustRightInd w:val="0"/>
        <w:ind w:right="240" w:rightChars="100"/>
        <w:jc w:val="both"/>
        <w:rPr>
          <w:rFonts w:ascii="Arial" w:hAnsi="Arial"/>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25.1.</w:t>
      </w:r>
      <w:r>
        <w:rPr>
          <w:rFonts w:ascii="Arial" w:hAnsi="Arial"/>
          <w:color w:val="000000"/>
          <w:szCs w:val="24"/>
        </w:rPr>
        <w:t xml:space="preserve"> O proponente terá o seu registro de preços cancelado, por intermédio de processo administrativo específico, a pedido, sem prejuízo da aplicação das penalidades legais previstas, caso as razões do pedido não sejam sanadas, após protocolado em até </w:t>
      </w:r>
      <w:r>
        <w:rPr>
          <w:rFonts w:ascii="Arial" w:hAnsi="Arial"/>
          <w:b/>
          <w:color w:val="000000"/>
          <w:szCs w:val="24"/>
        </w:rPr>
        <w:t>05 (cinco) dias úteis</w:t>
      </w:r>
      <w:r>
        <w:rPr>
          <w:rFonts w:ascii="Arial" w:hAnsi="Arial"/>
          <w:color w:val="000000"/>
          <w:szCs w:val="24"/>
        </w:rPr>
        <w:t>, contados a partir da constatação das hipóteses a seguir explicitadas:</w:t>
      </w:r>
    </w:p>
    <w:p>
      <w:pPr>
        <w:widowControl w:val="0"/>
        <w:autoSpaceDE w:val="0"/>
        <w:autoSpaceDN w:val="0"/>
        <w:adjustRightInd w:val="0"/>
        <w:spacing w:after="120"/>
        <w:ind w:left="720" w:leftChars="300" w:right="240" w:rightChars="100"/>
        <w:jc w:val="both"/>
        <w:rPr>
          <w:rFonts w:ascii="Arial" w:hAnsi="Arial"/>
          <w:color w:val="000000"/>
          <w:szCs w:val="24"/>
        </w:rPr>
      </w:pPr>
      <w:r>
        <w:rPr>
          <w:rFonts w:ascii="Arial" w:hAnsi="Arial"/>
          <w:b/>
          <w:color w:val="000000"/>
          <w:szCs w:val="24"/>
        </w:rPr>
        <w:t>25.1.1.</w:t>
      </w:r>
      <w:r>
        <w:rPr>
          <w:rFonts w:ascii="Arial" w:hAnsi="Arial"/>
          <w:color w:val="000000"/>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after="120"/>
        <w:ind w:left="722" w:leftChars="300" w:right="240" w:rightChars="100" w:hanging="2"/>
        <w:jc w:val="both"/>
        <w:rPr>
          <w:rFonts w:ascii="Arial" w:hAnsi="Arial"/>
          <w:color w:val="000000"/>
          <w:szCs w:val="24"/>
        </w:rPr>
      </w:pPr>
      <w:r>
        <w:rPr>
          <w:rFonts w:ascii="Arial" w:hAnsi="Arial"/>
          <w:b/>
          <w:color w:val="000000"/>
          <w:szCs w:val="24"/>
        </w:rPr>
        <w:t>25.1.2.</w:t>
      </w:r>
      <w:r>
        <w:rPr>
          <w:rFonts w:ascii="Arial" w:hAnsi="Arial"/>
          <w:color w:val="000000"/>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25.2.</w:t>
      </w:r>
      <w:r>
        <w:rPr>
          <w:rFonts w:ascii="Arial" w:hAnsi="Arial"/>
          <w:color w:val="000000"/>
          <w:szCs w:val="24"/>
        </w:rPr>
        <w:t xml:space="preserve"> Por iniciativa da Prefeitura Municipal de Primavera do Leste, o registro será cancelado:</w:t>
      </w:r>
    </w:p>
    <w:p>
      <w:pPr>
        <w:widowControl w:val="0"/>
        <w:autoSpaceDE w:val="0"/>
        <w:autoSpaceDN w:val="0"/>
        <w:adjustRightInd w:val="0"/>
        <w:spacing w:after="120"/>
        <w:ind w:left="720" w:leftChars="300" w:right="240" w:rightChars="100"/>
        <w:jc w:val="both"/>
        <w:rPr>
          <w:rFonts w:ascii="Arial" w:hAnsi="Arial"/>
          <w:color w:val="000000"/>
          <w:szCs w:val="24"/>
        </w:rPr>
      </w:pPr>
      <w:r>
        <w:rPr>
          <w:rFonts w:ascii="Arial" w:hAnsi="Arial"/>
          <w:b/>
          <w:color w:val="000000"/>
          <w:szCs w:val="24"/>
        </w:rPr>
        <w:t>25.2.1.</w:t>
      </w:r>
      <w:r>
        <w:rPr>
          <w:rFonts w:ascii="Arial" w:hAnsi="Arial"/>
          <w:color w:val="000000"/>
          <w:szCs w:val="24"/>
        </w:rPr>
        <w:t xml:space="preserve"> Quando o proponente:</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25.2.1.1.</w:t>
      </w:r>
      <w:r>
        <w:rPr>
          <w:rFonts w:ascii="Arial" w:hAnsi="Arial"/>
          <w:color w:val="000000"/>
          <w:szCs w:val="24"/>
        </w:rPr>
        <w:t xml:space="preserve"> Não aceitar reduzir o preço registrado, na hipótese de este se tornar superior àqueles praticados no mercado;</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25.2.1.2.</w:t>
      </w:r>
      <w:r>
        <w:rPr>
          <w:rFonts w:ascii="Arial" w:hAnsi="Arial"/>
          <w:color w:val="000000"/>
          <w:szCs w:val="24"/>
        </w:rPr>
        <w:t xml:space="preserve"> Perder qualquer condição de habilitação ou qualificação técnica exigida no processo licitatório;</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25.2.1.3.</w:t>
      </w:r>
      <w:r>
        <w:rPr>
          <w:rFonts w:ascii="Arial" w:hAnsi="Arial"/>
          <w:color w:val="000000"/>
          <w:szCs w:val="24"/>
        </w:rPr>
        <w:t xml:space="preserve"> Não cumprir as obrigações decorrentes da Ata de Registro de Preços;</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25.2.1.4.</w:t>
      </w:r>
      <w:r>
        <w:rPr>
          <w:rFonts w:ascii="Arial" w:hAnsi="Arial"/>
          <w:color w:val="000000"/>
          <w:szCs w:val="24"/>
        </w:rPr>
        <w:t xml:space="preserve"> Não comparecer ou se recusar a retirar, no prazo estabelecido, a Ordem de Fornecimento decorrente da Ata de Registro de Preços;</w:t>
      </w:r>
    </w:p>
    <w:p>
      <w:pPr>
        <w:widowControl w:val="0"/>
        <w:autoSpaceDE w:val="0"/>
        <w:autoSpaceDN w:val="0"/>
        <w:adjustRightInd w:val="0"/>
        <w:spacing w:after="120"/>
        <w:ind w:left="1685" w:leftChars="700" w:right="240" w:rightChars="100" w:hanging="5"/>
        <w:jc w:val="both"/>
        <w:rPr>
          <w:rFonts w:ascii="Arial" w:hAnsi="Arial"/>
          <w:color w:val="000000"/>
          <w:szCs w:val="24"/>
        </w:rPr>
      </w:pPr>
      <w:r>
        <w:rPr>
          <w:rFonts w:ascii="Arial" w:hAnsi="Arial"/>
          <w:b/>
          <w:color w:val="000000"/>
          <w:szCs w:val="24"/>
        </w:rPr>
        <w:t>25.2.1.5.</w:t>
      </w:r>
      <w:r>
        <w:rPr>
          <w:rFonts w:ascii="Arial" w:hAnsi="Arial"/>
          <w:color w:val="000000"/>
          <w:szCs w:val="24"/>
        </w:rPr>
        <w:t xml:space="preserve"> Sofrer sanção prevista nos incisos III ou IV do caput do art. 87 da Lei nº 8.666, de 1993, ou no art. 7º da Lei nº 10.520, de 2002.</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25.3.</w:t>
      </w:r>
      <w:r>
        <w:rPr>
          <w:rFonts w:ascii="Arial" w:hAnsi="Arial"/>
          <w:color w:val="000000"/>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25.4.</w:t>
      </w:r>
      <w:r>
        <w:rPr>
          <w:rFonts w:ascii="Arial" w:hAnsi="Arial"/>
          <w:color w:val="000000"/>
          <w:szCs w:val="24"/>
        </w:rPr>
        <w:t xml:space="preserve"> O cancelamento do registro de preços poderá ocorrer por fato superveniente, decorrente de caso fortuito ou força maior, que prejudique o cumprimento da ata, devidamente comprovados e justificados:</w:t>
      </w:r>
    </w:p>
    <w:p>
      <w:pPr>
        <w:pStyle w:val="21"/>
        <w:widowControl w:val="0"/>
        <w:spacing w:after="120"/>
        <w:ind w:left="720" w:leftChars="300" w:right="240" w:rightChars="100"/>
        <w:rPr>
          <w:rFonts w:ascii="Arial" w:hAnsi="Arial"/>
          <w:b/>
          <w:szCs w:val="24"/>
        </w:rPr>
      </w:pPr>
      <w:r>
        <w:rPr>
          <w:rFonts w:ascii="Arial" w:hAnsi="Arial"/>
          <w:b/>
          <w:szCs w:val="24"/>
        </w:rPr>
        <w:t xml:space="preserve">25.4.1. </w:t>
      </w:r>
      <w:r>
        <w:rPr>
          <w:rFonts w:ascii="Arial" w:hAnsi="Arial"/>
          <w:szCs w:val="24"/>
        </w:rPr>
        <w:t>Por razão de interesse público; ou</w:t>
      </w:r>
    </w:p>
    <w:p>
      <w:pPr>
        <w:pStyle w:val="21"/>
        <w:widowControl w:val="0"/>
        <w:ind w:left="720" w:leftChars="300" w:right="240" w:rightChars="100"/>
        <w:rPr>
          <w:rFonts w:ascii="Arial" w:hAnsi="Arial"/>
          <w:szCs w:val="24"/>
        </w:rPr>
      </w:pPr>
      <w:r>
        <w:rPr>
          <w:rFonts w:ascii="Arial" w:hAnsi="Arial"/>
          <w:b/>
          <w:szCs w:val="24"/>
        </w:rPr>
        <w:t xml:space="preserve">25.4.2. </w:t>
      </w:r>
      <w:r>
        <w:rPr>
          <w:rFonts w:ascii="Arial" w:hAnsi="Arial"/>
          <w:szCs w:val="24"/>
        </w:rPr>
        <w:t>A pedido do fornecedor.</w:t>
      </w:r>
    </w:p>
    <w:p>
      <w:pPr>
        <w:pStyle w:val="21"/>
        <w:widowControl w:val="0"/>
        <w:ind w:left="720" w:leftChars="300" w:right="240" w:rightChars="100"/>
        <w:rPr>
          <w:rFonts w:ascii="Arial" w:hAnsi="Arial"/>
          <w:szCs w:val="24"/>
        </w:rPr>
      </w:pPr>
    </w:p>
    <w:p>
      <w:pPr>
        <w:pStyle w:val="21"/>
        <w:widowControl w:val="0"/>
        <w:ind w:left="720" w:leftChars="300" w:right="240" w:rightChars="100"/>
        <w:rPr>
          <w:rFonts w:ascii="Arial" w:hAnsi="Arial"/>
          <w:szCs w:val="24"/>
        </w:rPr>
      </w:pPr>
      <w:r>
        <w:rPr>
          <w:rFonts w:ascii="Arial" w:hAnsi="Arial" w:cs="Arial"/>
          <w:sz w:val="20"/>
        </w:rPr>
        <mc:AlternateContent>
          <mc:Choice Requires="wps">
            <w:drawing>
              <wp:anchor distT="0" distB="0" distL="114300" distR="114300" simplePos="0" relativeHeight="251694080" behindDoc="0" locked="0" layoutInCell="1" allowOverlap="1">
                <wp:simplePos x="0" y="0"/>
                <wp:positionH relativeFrom="column">
                  <wp:posOffset>-25400</wp:posOffset>
                </wp:positionH>
                <wp:positionV relativeFrom="paragraph">
                  <wp:posOffset>31750</wp:posOffset>
                </wp:positionV>
                <wp:extent cx="6248400" cy="316865"/>
                <wp:effectExtent l="4445" t="4445" r="33655" b="40640"/>
                <wp:wrapNone/>
                <wp:docPr id="53" name="Retângulo 48"/>
                <wp:cNvGraphicFramePr/>
                <a:graphic xmlns:a="http://schemas.openxmlformats.org/drawingml/2006/main">
                  <a:graphicData uri="http://schemas.microsoft.com/office/word/2010/wordprocessingShape">
                    <wps:wsp>
                      <wps:cNvSpPr/>
                      <wps:spPr>
                        <a:xfrm>
                          <a:off x="0" y="0"/>
                          <a:ext cx="6248400" cy="3168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b/>
                                <w:szCs w:val="24"/>
                              </w:rPr>
                            </w:pPr>
                            <w:r>
                              <w:rPr>
                                <w:rFonts w:ascii="Arial" w:hAnsi="Arial"/>
                                <w:b/>
                                <w:szCs w:val="24"/>
                              </w:rPr>
                              <w:t>SEÇÃO XXVI –DO CONTROLE DE PREÇOS</w:t>
                            </w:r>
                          </w:p>
                          <w:p>
                            <w:pPr>
                              <w:jc w:val="center"/>
                              <w:rPr>
                                <w:rFonts w:ascii="Arial" w:hAnsi="Arial"/>
                                <w:b/>
                                <w:szCs w:val="24"/>
                              </w:rPr>
                            </w:pPr>
                          </w:p>
                          <w:p/>
                        </w:txbxContent>
                      </wps:txbx>
                      <wps:bodyPr wrap="square" upright="1"/>
                    </wps:wsp>
                  </a:graphicData>
                </a:graphic>
              </wp:anchor>
            </w:drawing>
          </mc:Choice>
          <mc:Fallback>
            <w:pict>
              <v:rect id="Retângulo 48" o:spid="_x0000_s1026" o:spt="1" style="position:absolute;left:0pt;margin-left:-2pt;margin-top:2.5pt;height:24.95pt;width:492pt;z-index:251694080;mso-width-relative:page;mso-height-relative:page;" fillcolor="#D8D8D8" filled="t" stroked="t" coordsize="21600,21600" o:gfxdata="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KQyUfWAAAABwEAAA8AAAAAAAAAAQAgAAAA&#10;IgAAAGRycy9kb3ducmV2LnhtbFBLAQIUABQAAAAIAIdO4kB1CneFRgIAAMMEAAAOAAAAAAAAAAEA&#10;IAAAACUBAABkcnMvZTJvRG9jLnhtbFBLBQYAAAAABgAGAFkBAADdBQAAAAA=&#10;">
                <v:fill on="t" focussize="0,0"/>
                <v:stroke color="#000000" joinstyle="miter"/>
                <v:imagedata o:title=""/>
                <o:lock v:ext="edit" aspectratio="f"/>
                <v:shadow on="t" color="#808080" offset="2pt,2pt" origin="0f,0f" matrix="65536f,0f,0f,65536f"/>
                <v:textbox>
                  <w:txbxContent>
                    <w:p>
                      <w:pPr>
                        <w:jc w:val="center"/>
                        <w:rPr>
                          <w:rFonts w:ascii="Arial" w:hAnsi="Arial"/>
                          <w:b/>
                          <w:szCs w:val="24"/>
                        </w:rPr>
                      </w:pPr>
                      <w:r>
                        <w:rPr>
                          <w:rFonts w:ascii="Arial" w:hAnsi="Arial"/>
                          <w:b/>
                          <w:szCs w:val="24"/>
                        </w:rPr>
                        <w:t>SEÇÃO XXVI –DO CONTROLE DE PREÇOS</w:t>
                      </w:r>
                    </w:p>
                    <w:p>
                      <w:pPr>
                        <w:jc w:val="center"/>
                        <w:rPr>
                          <w:rFonts w:ascii="Arial" w:hAnsi="Arial"/>
                          <w:b/>
                          <w:szCs w:val="24"/>
                        </w:rPr>
                      </w:pPr>
                    </w:p>
                    <w:p/>
                  </w:txbxContent>
                </v:textbox>
              </v:rect>
            </w:pict>
          </mc:Fallback>
        </mc:AlternateContent>
      </w:r>
    </w:p>
    <w:p>
      <w:pPr>
        <w:pStyle w:val="21"/>
        <w:widowControl w:val="0"/>
        <w:ind w:right="240" w:rightChars="100"/>
        <w:rPr>
          <w:rFonts w:ascii="Arial" w:hAnsi="Arial"/>
          <w:szCs w:val="24"/>
        </w:rPr>
      </w:pPr>
    </w:p>
    <w:p>
      <w:pPr>
        <w:widowControl w:val="0"/>
        <w:autoSpaceDE w:val="0"/>
        <w:autoSpaceDN w:val="0"/>
        <w:adjustRightInd w:val="0"/>
        <w:ind w:right="240" w:rightChars="100"/>
        <w:jc w:val="both"/>
        <w:rPr>
          <w:rFonts w:ascii="Arial" w:hAnsi="Arial"/>
          <w:b/>
          <w:szCs w:val="24"/>
        </w:rPr>
      </w:pPr>
    </w:p>
    <w:p>
      <w:pPr>
        <w:autoSpaceDE w:val="0"/>
        <w:autoSpaceDN w:val="0"/>
        <w:adjustRightInd w:val="0"/>
        <w:spacing w:after="120"/>
        <w:ind w:right="240" w:rightChars="100"/>
        <w:jc w:val="both"/>
        <w:rPr>
          <w:rFonts w:ascii="Arial" w:hAnsi="Arial"/>
          <w:szCs w:val="24"/>
        </w:rPr>
      </w:pPr>
      <w:r>
        <w:rPr>
          <w:rFonts w:ascii="Arial" w:hAnsi="Arial"/>
          <w:b/>
          <w:szCs w:val="24"/>
        </w:rPr>
        <w:t xml:space="preserve">26.1. </w:t>
      </w:r>
      <w:r>
        <w:rPr>
          <w:rFonts w:ascii="Arial" w:hAnsi="Arial"/>
          <w:szCs w:val="24"/>
        </w:rPr>
        <w:t>É vedado efetuar acréscimos nos quantitativos fixados pela Ata de Registro de Preço, inclusive o acréscimo de que trata o §1º do art. 65 da Lei nº 8.666/93.</w:t>
      </w:r>
    </w:p>
    <w:p>
      <w:pPr>
        <w:autoSpaceDE w:val="0"/>
        <w:autoSpaceDN w:val="0"/>
        <w:adjustRightInd w:val="0"/>
        <w:spacing w:after="120"/>
        <w:ind w:right="240" w:rightChars="100"/>
        <w:jc w:val="both"/>
        <w:rPr>
          <w:rFonts w:ascii="Arial" w:hAnsi="Arial"/>
          <w:szCs w:val="24"/>
        </w:rPr>
      </w:pPr>
      <w:r>
        <w:rPr>
          <w:rFonts w:ascii="Arial" w:hAnsi="Arial"/>
          <w:b/>
          <w:szCs w:val="24"/>
        </w:rPr>
        <w:t xml:space="preserve">26.2. </w:t>
      </w:r>
      <w:r>
        <w:rPr>
          <w:rFonts w:ascii="Arial" w:hAnsi="Arial"/>
          <w:szCs w:val="24"/>
        </w:rPr>
        <w:t>A vigência dos contratos decorrentes do Sistema de Registro de Preços obedecerá ao disposto no art. 57 da Lei nº 8.666/93.</w:t>
      </w:r>
    </w:p>
    <w:p>
      <w:pPr>
        <w:autoSpaceDE w:val="0"/>
        <w:autoSpaceDN w:val="0"/>
        <w:adjustRightInd w:val="0"/>
        <w:spacing w:after="120"/>
        <w:ind w:right="240" w:rightChars="100"/>
        <w:jc w:val="both"/>
        <w:rPr>
          <w:rFonts w:ascii="Arial" w:hAnsi="Arial"/>
          <w:szCs w:val="24"/>
        </w:rPr>
      </w:pPr>
      <w:r>
        <w:rPr>
          <w:rFonts w:ascii="Arial" w:hAnsi="Arial"/>
          <w:b/>
          <w:szCs w:val="24"/>
        </w:rPr>
        <w:t xml:space="preserve">26.3. </w:t>
      </w:r>
      <w:r>
        <w:rPr>
          <w:rFonts w:ascii="Arial" w:hAnsi="Arial"/>
          <w:szCs w:val="24"/>
        </w:rPr>
        <w:t>Os contratos decorrentes do Sistema de Registro de Preços poderão ser alterados, observado o disposto no art. 65 da Lei nº 8.666/93.</w:t>
      </w:r>
    </w:p>
    <w:p>
      <w:pPr>
        <w:autoSpaceDE w:val="0"/>
        <w:autoSpaceDN w:val="0"/>
        <w:adjustRightInd w:val="0"/>
        <w:ind w:right="240" w:rightChars="100"/>
        <w:jc w:val="both"/>
        <w:rPr>
          <w:rFonts w:ascii="Arial" w:hAnsi="Arial"/>
          <w:szCs w:val="24"/>
        </w:rPr>
      </w:pPr>
      <w:r>
        <w:rPr>
          <w:rFonts w:ascii="Arial" w:hAnsi="Arial"/>
          <w:b/>
          <w:szCs w:val="24"/>
        </w:rPr>
        <w:t xml:space="preserve">26.4. </w:t>
      </w:r>
      <w:r>
        <w:rPr>
          <w:rFonts w:ascii="Arial" w:hAnsi="Arial"/>
          <w:szCs w:val="24"/>
        </w:rPr>
        <w:t>O contrato decorrente do Sistema de Registro de Preços deverá ser assinado no prazo de validade da ata de registro de preços.</w:t>
      </w:r>
    </w:p>
    <w:p>
      <w:pPr>
        <w:widowControl w:val="0"/>
        <w:tabs>
          <w:tab w:val="left" w:pos="0"/>
          <w:tab w:val="left" w:pos="851"/>
          <w:tab w:val="left" w:pos="1134"/>
        </w:tabs>
        <w:spacing w:before="120" w:after="120"/>
        <w:ind w:left="7" w:right="240" w:rightChars="100" w:hanging="7"/>
        <w:jc w:val="both"/>
        <w:rPr>
          <w:rFonts w:ascii="Arial" w:hAnsi="Arial"/>
          <w:color w:val="000000"/>
          <w:szCs w:val="24"/>
        </w:rPr>
      </w:pPr>
      <w:r>
        <w:rPr>
          <w:rFonts w:ascii="Arial" w:hAnsi="Arial"/>
          <w:b/>
          <w:color w:val="000000"/>
          <w:szCs w:val="24"/>
        </w:rPr>
        <mc:AlternateContent>
          <mc:Choice Requires="wps">
            <w:drawing>
              <wp:anchor distT="0" distB="0" distL="114300" distR="114300" simplePos="0" relativeHeight="251693056" behindDoc="0" locked="0" layoutInCell="1" allowOverlap="1">
                <wp:simplePos x="0" y="0"/>
                <wp:positionH relativeFrom="column">
                  <wp:posOffset>-22860</wp:posOffset>
                </wp:positionH>
                <wp:positionV relativeFrom="paragraph">
                  <wp:posOffset>143510</wp:posOffset>
                </wp:positionV>
                <wp:extent cx="6248400" cy="341630"/>
                <wp:effectExtent l="4445" t="4445" r="33655" b="34925"/>
                <wp:wrapNone/>
                <wp:docPr id="46" name="Retângulo 46"/>
                <wp:cNvGraphicFramePr/>
                <a:graphic xmlns:a="http://schemas.openxmlformats.org/drawingml/2006/main">
                  <a:graphicData uri="http://schemas.microsoft.com/office/word/2010/wordprocessingShape">
                    <wps:wsp>
                      <wps:cNvSpPr/>
                      <wps:spPr>
                        <a:xfrm>
                          <a:off x="0" y="0"/>
                          <a:ext cx="6248400" cy="34163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XXVII – DO PAGAMENTO</w:t>
                            </w:r>
                          </w:p>
                          <w:p/>
                        </w:txbxContent>
                      </wps:txbx>
                      <wps:bodyPr upright="1"/>
                    </wps:wsp>
                  </a:graphicData>
                </a:graphic>
              </wp:anchor>
            </w:drawing>
          </mc:Choice>
          <mc:Fallback>
            <w:pict>
              <v:rect id="_x0000_s1026" o:spid="_x0000_s1026" o:spt="1" style="position:absolute;left:0pt;margin-left:-1.8pt;margin-top:11.3pt;height:26.9pt;width:492pt;z-index:251693056;mso-width-relative:page;mso-height-relative:page;" fillcolor="#D8D8D8" filled="t" stroked="t" coordsize="21600,21600" o:gfxdata="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PEFW9gAAAAIAQAADwAAAAAAAAABACAAAAAiAAAA&#10;ZHJzL2Rvd25yZXYueG1sUEsBAhQAFAAAAAgAh07iQL1wrClAAgAAtQQAAA4AAAAAAAAAAQAgAAAA&#10;JwEAAGRycy9lMm9Eb2MueG1sUEsFBgAAAAAGAAYAWQEAANkFA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XXVII – DO PAGAMENTO</w:t>
                      </w:r>
                    </w:p>
                    <w:p/>
                  </w:txbxContent>
                </v:textbox>
              </v:rect>
            </w:pict>
          </mc:Fallback>
        </mc:AlternateContent>
      </w:r>
    </w:p>
    <w:p>
      <w:pPr>
        <w:spacing w:after="120"/>
        <w:ind w:right="240" w:rightChars="100"/>
        <w:jc w:val="both"/>
        <w:rPr>
          <w:rFonts w:ascii="Arial" w:hAnsi="Arial" w:eastAsia="Calibri"/>
          <w:b/>
          <w:szCs w:val="24"/>
        </w:rPr>
      </w:pPr>
    </w:p>
    <w:p>
      <w:pPr>
        <w:spacing w:after="120"/>
        <w:ind w:right="240" w:rightChars="100"/>
        <w:jc w:val="both"/>
        <w:rPr>
          <w:rFonts w:ascii="Arial" w:hAnsi="Arial" w:eastAsia="Calibri"/>
          <w:szCs w:val="24"/>
        </w:rPr>
      </w:pPr>
      <w:r>
        <w:rPr>
          <w:rFonts w:ascii="Arial" w:hAnsi="Arial" w:eastAsia="Calibri"/>
          <w:b/>
          <w:szCs w:val="24"/>
        </w:rPr>
        <w:t xml:space="preserve">27.1. </w:t>
      </w:r>
      <w:r>
        <w:rPr>
          <w:rFonts w:ascii="Arial" w:hAnsi="Arial" w:eastAsia="Calibri"/>
          <w:szCs w:val="24"/>
        </w:rPr>
        <w:t xml:space="preserve">O pagamento dos produtos será efetuado por execução mensal, será efetuado em até </w:t>
      </w:r>
      <w:r>
        <w:rPr>
          <w:rFonts w:ascii="Arial" w:hAnsi="Arial" w:eastAsia="Calibri"/>
          <w:b/>
          <w:szCs w:val="24"/>
        </w:rPr>
        <w:t>30 (trinta) dias</w:t>
      </w:r>
      <w:r>
        <w:rPr>
          <w:rFonts w:ascii="Arial" w:hAnsi="Arial" w:eastAsia="Calibri"/>
          <w:szCs w:val="24"/>
        </w:rPr>
        <w:t xml:space="preserve"> após a entrega da nota fiscal devidamente atestada pelo setor competente, mediante controle emitido pelo fornecedor.</w:t>
      </w:r>
    </w:p>
    <w:p>
      <w:pPr>
        <w:pStyle w:val="26"/>
        <w:widowControl w:val="0"/>
        <w:spacing w:after="120"/>
        <w:jc w:val="both"/>
        <w:rPr>
          <w:rFonts w:ascii="Arial" w:hAnsi="Arial" w:cs="Arial"/>
          <w:szCs w:val="24"/>
        </w:rPr>
      </w:pPr>
      <w:r>
        <w:rPr>
          <w:rFonts w:ascii="Arial" w:hAnsi="Arial" w:cs="Arial"/>
          <w:b/>
          <w:color w:val="000000"/>
          <w:szCs w:val="24"/>
        </w:rPr>
        <w:t xml:space="preserve">27.2. </w:t>
      </w:r>
      <w:r>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6"/>
        <w:widowControl w:val="0"/>
        <w:spacing w:after="0"/>
        <w:ind w:left="425"/>
        <w:jc w:val="center"/>
        <w:rPr>
          <w:rFonts w:ascii="Arial" w:hAnsi="Arial" w:cs="Arial"/>
          <w:szCs w:val="24"/>
        </w:rPr>
      </w:pPr>
      <w:r>
        <w:rPr>
          <w:rFonts w:ascii="Arial" w:hAnsi="Arial" w:cs="Arial"/>
          <w:color w:val="000000"/>
          <w:szCs w:val="24"/>
        </w:rPr>
        <w:t>EM = I x N x VP, sendo:</w:t>
      </w:r>
    </w:p>
    <w:p>
      <w:pPr>
        <w:pStyle w:val="26"/>
        <w:widowControl w:val="0"/>
        <w:spacing w:after="0"/>
        <w:ind w:left="425"/>
        <w:jc w:val="center"/>
        <w:rPr>
          <w:rFonts w:ascii="Arial" w:hAnsi="Arial" w:cs="Arial"/>
          <w:szCs w:val="24"/>
        </w:rPr>
      </w:pPr>
      <w:r>
        <w:rPr>
          <w:rFonts w:ascii="Arial" w:hAnsi="Arial" w:cs="Arial"/>
          <w:color w:val="000000"/>
          <w:szCs w:val="24"/>
        </w:rPr>
        <w:t>EM = Encargos moratórios;</w:t>
      </w:r>
    </w:p>
    <w:p>
      <w:pPr>
        <w:pStyle w:val="26"/>
        <w:widowControl w:val="0"/>
        <w:spacing w:after="0"/>
        <w:ind w:left="425"/>
        <w:jc w:val="center"/>
        <w:rPr>
          <w:rFonts w:ascii="Arial" w:hAnsi="Arial" w:cs="Arial"/>
          <w:szCs w:val="24"/>
        </w:rPr>
      </w:pPr>
      <w:r>
        <w:rPr>
          <w:rFonts w:ascii="Arial" w:hAnsi="Arial" w:cs="Arial"/>
          <w:color w:val="000000"/>
          <w:szCs w:val="24"/>
        </w:rPr>
        <w:t>N = Número de dias entre a data prevista para o pagamento e a do efetivo pagamento;</w:t>
      </w:r>
    </w:p>
    <w:p>
      <w:pPr>
        <w:pStyle w:val="26"/>
        <w:widowControl w:val="0"/>
        <w:spacing w:after="0"/>
        <w:ind w:left="425"/>
        <w:jc w:val="center"/>
        <w:rPr>
          <w:rFonts w:ascii="Arial" w:hAnsi="Arial" w:cs="Arial"/>
          <w:szCs w:val="24"/>
        </w:rPr>
      </w:pPr>
      <w:r>
        <w:rPr>
          <w:rFonts w:ascii="Arial" w:hAnsi="Arial" w:cs="Arial"/>
          <w:color w:val="000000"/>
          <w:szCs w:val="24"/>
        </w:rPr>
        <w:t>VP = Valor da parcela a ser paga.</w:t>
      </w:r>
    </w:p>
    <w:p>
      <w:pPr>
        <w:pStyle w:val="26"/>
        <w:widowControl w:val="0"/>
        <w:spacing w:after="0"/>
        <w:ind w:left="425"/>
        <w:jc w:val="center"/>
        <w:rPr>
          <w:rFonts w:ascii="Arial" w:hAnsi="Arial" w:cs="Arial"/>
          <w:szCs w:val="24"/>
        </w:rPr>
      </w:pPr>
      <w:r>
        <w:rPr>
          <w:rFonts w:ascii="Arial" w:hAnsi="Arial" w:cs="Arial"/>
          <w:color w:val="000000"/>
          <w:szCs w:val="24"/>
        </w:rPr>
        <w:t>I = Índice de compensação financeira = 0,00016438, assim apurado:</w:t>
      </w:r>
    </w:p>
    <w:tbl>
      <w:tblPr>
        <w:tblStyle w:val="12"/>
        <w:tblW w:w="0" w:type="auto"/>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tcBorders>
              <w:top w:val="nil"/>
              <w:left w:val="nil"/>
              <w:bottom w:val="nil"/>
              <w:right w:val="nil"/>
              <w:tl2br w:val="nil"/>
              <w:tr2bl w:val="nil"/>
            </w:tcBorders>
            <w:tcMar>
              <w:top w:w="0" w:type="dxa"/>
              <w:left w:w="0" w:type="dxa"/>
              <w:bottom w:w="0" w:type="dxa"/>
              <w:right w:w="0" w:type="dxa"/>
            </w:tcMar>
          </w:tcPr>
          <w:p>
            <w:pPr>
              <w:ind w:firstLine="567"/>
              <w:jc w:val="center"/>
              <w:rPr>
                <w:rFonts w:ascii="Arial" w:hAnsi="Arial" w:cs="Arial"/>
                <w:color w:val="00000A"/>
                <w:szCs w:val="24"/>
              </w:rPr>
            </w:pPr>
            <w:r>
              <w:rPr>
                <w:rFonts w:ascii="Arial" w:hAnsi="Arial" w:cs="Arial"/>
                <w:color w:val="000000"/>
                <w:szCs w:val="24"/>
                <w:lang w:val="pt-BR"/>
              </w:rPr>
              <w:t>I = (TX)</w:t>
            </w:r>
          </w:p>
          <w:p>
            <w:pPr>
              <w:ind w:firstLine="567"/>
              <w:jc w:val="center"/>
              <w:rPr>
                <w:rFonts w:ascii="Arial" w:hAnsi="Arial" w:cs="Arial"/>
                <w:color w:val="00000A"/>
                <w:szCs w:val="24"/>
              </w:rPr>
            </w:pPr>
          </w:p>
        </w:tc>
        <w:tc>
          <w:tcPr>
            <w:tcW w:w="3087" w:type="dxa"/>
            <w:tcBorders>
              <w:top w:val="nil"/>
              <w:left w:val="nil"/>
              <w:bottom w:val="nil"/>
              <w:right w:val="nil"/>
              <w:tl2br w:val="nil"/>
              <w:tr2bl w:val="nil"/>
            </w:tcBorders>
            <w:tcMar>
              <w:top w:w="0" w:type="dxa"/>
              <w:left w:w="0" w:type="dxa"/>
              <w:bottom w:w="0" w:type="dxa"/>
              <w:right w:w="0" w:type="dxa"/>
            </w:tcMar>
          </w:tcPr>
          <w:p>
            <w:pPr>
              <w:ind w:firstLine="567"/>
              <w:jc w:val="center"/>
              <w:rPr>
                <w:rFonts w:ascii="Arial" w:hAnsi="Arial" w:cs="Arial"/>
                <w:color w:val="00000A"/>
                <w:szCs w:val="24"/>
              </w:rPr>
            </w:pPr>
            <w:r>
              <w:rPr>
                <w:rFonts w:ascii="Arial" w:hAnsi="Arial" w:cs="Arial"/>
                <w:color w:val="000000"/>
                <w:szCs w:val="24"/>
                <w:lang w:val="pt-BR"/>
              </w:rPr>
              <w:t>I = (6/100) / 365</w:t>
            </w:r>
          </w:p>
          <w:p>
            <w:pPr>
              <w:ind w:firstLine="567"/>
              <w:jc w:val="center"/>
              <w:rPr>
                <w:rFonts w:ascii="Arial" w:hAnsi="Arial" w:cs="Arial"/>
                <w:color w:val="00000A"/>
                <w:szCs w:val="24"/>
              </w:rPr>
            </w:pPr>
          </w:p>
          <w:p>
            <w:pPr>
              <w:ind w:firstLine="567"/>
              <w:jc w:val="center"/>
              <w:rPr>
                <w:rFonts w:ascii="Arial" w:hAnsi="Arial" w:cs="Arial"/>
                <w:color w:val="00000A"/>
                <w:szCs w:val="24"/>
              </w:rPr>
            </w:pPr>
          </w:p>
        </w:tc>
        <w:tc>
          <w:tcPr>
            <w:tcW w:w="4699" w:type="dxa"/>
            <w:tcBorders>
              <w:top w:val="nil"/>
              <w:left w:val="nil"/>
              <w:bottom w:val="nil"/>
              <w:right w:val="nil"/>
              <w:tl2br w:val="nil"/>
              <w:tr2bl w:val="nil"/>
            </w:tcBorders>
            <w:tcMar>
              <w:top w:w="0" w:type="dxa"/>
              <w:left w:w="0" w:type="dxa"/>
              <w:bottom w:w="0" w:type="dxa"/>
              <w:right w:w="0" w:type="dxa"/>
            </w:tcMar>
          </w:tcPr>
          <w:p>
            <w:pPr>
              <w:ind w:firstLine="567"/>
              <w:jc w:val="center"/>
              <w:rPr>
                <w:rFonts w:ascii="Arial" w:hAnsi="Arial" w:cs="Arial"/>
                <w:color w:val="00000A"/>
                <w:szCs w:val="24"/>
              </w:rPr>
            </w:pPr>
            <w:r>
              <w:rPr>
                <w:rFonts w:ascii="Arial" w:hAnsi="Arial" w:cs="Arial"/>
                <w:color w:val="000000"/>
                <w:szCs w:val="24"/>
              </w:rPr>
              <w:t>I = 0,00016438</w:t>
            </w:r>
          </w:p>
          <w:p>
            <w:pPr>
              <w:ind w:firstLine="567"/>
              <w:jc w:val="center"/>
              <w:rPr>
                <w:rFonts w:ascii="Arial" w:hAnsi="Arial" w:cs="Arial"/>
                <w:color w:val="00000A"/>
                <w:szCs w:val="24"/>
              </w:rPr>
            </w:pPr>
            <w:r>
              <w:rPr>
                <w:rFonts w:ascii="Arial" w:hAnsi="Arial" w:cs="Arial"/>
                <w:color w:val="000000"/>
                <w:szCs w:val="24"/>
              </w:rPr>
              <w:t>TX = Percentual da taxa anual = 6%.</w:t>
            </w:r>
          </w:p>
          <w:p>
            <w:pPr>
              <w:ind w:firstLine="567"/>
              <w:jc w:val="center"/>
              <w:rPr>
                <w:rFonts w:ascii="Arial" w:hAnsi="Arial" w:cs="Arial"/>
                <w:color w:val="00000A"/>
                <w:szCs w:val="24"/>
              </w:rPr>
            </w:pPr>
          </w:p>
        </w:tc>
      </w:tr>
    </w:tbl>
    <w:p>
      <w:pPr>
        <w:widowControl w:val="0"/>
        <w:autoSpaceDE w:val="0"/>
        <w:autoSpaceDN w:val="0"/>
        <w:adjustRightInd w:val="0"/>
        <w:spacing w:after="120"/>
        <w:ind w:right="240" w:rightChars="100"/>
        <w:jc w:val="both"/>
        <w:rPr>
          <w:rFonts w:ascii="Arial" w:hAnsi="Arial"/>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27.3.</w:t>
      </w:r>
      <w:r>
        <w:rPr>
          <w:rFonts w:ascii="Arial" w:hAnsi="Arial"/>
          <w:color w:val="000000"/>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27.4.</w:t>
      </w:r>
      <w:r>
        <w:rPr>
          <w:rFonts w:ascii="Arial" w:hAnsi="Arial"/>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after="120"/>
        <w:ind w:left="720" w:leftChars="300" w:right="240" w:rightChars="100"/>
        <w:jc w:val="both"/>
        <w:rPr>
          <w:rFonts w:ascii="Arial" w:hAnsi="Arial"/>
          <w:szCs w:val="24"/>
        </w:rPr>
      </w:pPr>
      <w:r>
        <w:rPr>
          <w:rFonts w:ascii="Arial" w:hAnsi="Arial"/>
          <w:b/>
          <w:szCs w:val="24"/>
        </w:rPr>
        <w:t>27.4.1.</w:t>
      </w:r>
      <w:r>
        <w:rPr>
          <w:rFonts w:ascii="Arial" w:hAnsi="Arial"/>
          <w:szCs w:val="24"/>
        </w:rPr>
        <w:t xml:space="preserve"> Certidão Negativa de Débitos – CND, referente às contribuições previdenciárias e às de terceiros;</w:t>
      </w:r>
    </w:p>
    <w:p>
      <w:pPr>
        <w:widowControl w:val="0"/>
        <w:autoSpaceDE w:val="0"/>
        <w:autoSpaceDN w:val="0"/>
        <w:adjustRightInd w:val="0"/>
        <w:spacing w:after="120"/>
        <w:ind w:left="720" w:leftChars="300" w:right="240" w:rightChars="100"/>
        <w:jc w:val="both"/>
        <w:rPr>
          <w:rFonts w:ascii="Arial" w:hAnsi="Arial"/>
          <w:szCs w:val="24"/>
        </w:rPr>
      </w:pPr>
      <w:r>
        <w:rPr>
          <w:rFonts w:ascii="Arial" w:hAnsi="Arial"/>
          <w:b/>
          <w:szCs w:val="24"/>
        </w:rPr>
        <w:t xml:space="preserve">27.4.2. </w:t>
      </w:r>
      <w:r>
        <w:rPr>
          <w:rFonts w:ascii="Arial" w:hAnsi="Arial"/>
          <w:szCs w:val="24"/>
        </w:rPr>
        <w:t>Certificado de Regularidade de Situação do FGTS – CRF;</w:t>
      </w:r>
    </w:p>
    <w:p>
      <w:pPr>
        <w:widowControl w:val="0"/>
        <w:autoSpaceDE w:val="0"/>
        <w:autoSpaceDN w:val="0"/>
        <w:adjustRightInd w:val="0"/>
        <w:spacing w:after="120"/>
        <w:ind w:left="720" w:leftChars="300" w:right="240" w:rightChars="100"/>
        <w:jc w:val="both"/>
        <w:rPr>
          <w:rFonts w:ascii="Arial" w:hAnsi="Arial"/>
          <w:szCs w:val="24"/>
        </w:rPr>
      </w:pPr>
      <w:r>
        <w:rPr>
          <w:rFonts w:ascii="Arial" w:hAnsi="Arial"/>
          <w:b/>
          <w:szCs w:val="24"/>
        </w:rPr>
        <w:t xml:space="preserve">27.4.3. </w:t>
      </w:r>
      <w:r>
        <w:rPr>
          <w:rFonts w:ascii="Arial" w:hAnsi="Arial"/>
          <w:szCs w:val="24"/>
        </w:rPr>
        <w:t>Certidões Negativas de Débitos junto às Fazendas Federal, Estadual e do Município do domicílio sede da licitante vencedora;</w:t>
      </w:r>
    </w:p>
    <w:p>
      <w:pPr>
        <w:widowControl w:val="0"/>
        <w:autoSpaceDE w:val="0"/>
        <w:autoSpaceDN w:val="0"/>
        <w:adjustRightInd w:val="0"/>
        <w:spacing w:after="120"/>
        <w:ind w:left="722" w:leftChars="300" w:right="240" w:rightChars="100" w:hanging="2"/>
        <w:jc w:val="both"/>
        <w:rPr>
          <w:rFonts w:ascii="Arial" w:hAnsi="Arial"/>
          <w:color w:val="000000"/>
          <w:szCs w:val="24"/>
        </w:rPr>
      </w:pPr>
      <w:r>
        <w:rPr>
          <w:rFonts w:ascii="Arial" w:hAnsi="Arial"/>
          <w:b/>
          <w:szCs w:val="24"/>
        </w:rPr>
        <w:t xml:space="preserve">27.4.4. </w:t>
      </w:r>
      <w:r>
        <w:rPr>
          <w:rFonts w:ascii="Arial" w:hAnsi="Arial"/>
          <w:szCs w:val="24"/>
        </w:rPr>
        <w:t>Certidões Negativas de Débito Trabalhista – TST;</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 xml:space="preserve">27.5. </w:t>
      </w:r>
      <w:r>
        <w:rPr>
          <w:rFonts w:ascii="Arial" w:hAnsi="Arial"/>
          <w:szCs w:val="24"/>
        </w:rPr>
        <w:t xml:space="preserve">O pagamento será efetuado pela Prefeitura no prazo em até </w:t>
      </w:r>
      <w:r>
        <w:rPr>
          <w:rFonts w:ascii="Arial" w:hAnsi="Arial" w:eastAsia="Calibri"/>
          <w:szCs w:val="24"/>
        </w:rPr>
        <w:t xml:space="preserve">até </w:t>
      </w:r>
      <w:r>
        <w:rPr>
          <w:rFonts w:ascii="Arial" w:hAnsi="Arial" w:eastAsia="Calibri"/>
          <w:b/>
          <w:szCs w:val="24"/>
        </w:rPr>
        <w:t>30 (trinta) dias</w:t>
      </w:r>
      <w:r>
        <w:rPr>
          <w:rFonts w:ascii="Arial" w:hAnsi="Arial" w:eastAsia="Calibri"/>
          <w:szCs w:val="24"/>
        </w:rPr>
        <w:t xml:space="preserve"> após a entrega da nota fiscal</w:t>
      </w:r>
      <w:r>
        <w:rPr>
          <w:rFonts w:ascii="Arial" w:hAnsi="Arial"/>
          <w:szCs w:val="24"/>
        </w:rPr>
        <w:t>/fatura e dos respectivos documentos comprobatórios, conforme indicado no subitem 26.4</w:t>
      </w:r>
      <w:r>
        <w:rPr>
          <w:rFonts w:ascii="Arial" w:hAnsi="Arial"/>
          <w:b/>
          <w:szCs w:val="24"/>
        </w:rPr>
        <w:t>,</w:t>
      </w:r>
      <w:r>
        <w:rPr>
          <w:rFonts w:ascii="Arial" w:hAnsi="Arial"/>
          <w:szCs w:val="24"/>
        </w:rPr>
        <w:t xml:space="preserve"> mediante ordem bancária, emitida através do Banco do Brasil, creditada em conta corrente da Contratada;</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 xml:space="preserve">27.6. </w:t>
      </w:r>
      <w:r>
        <w:rPr>
          <w:rFonts w:ascii="Arial" w:hAnsi="Arial"/>
          <w:szCs w:val="24"/>
        </w:rPr>
        <w:t xml:space="preserve">Nenhum pagamento será efetuado a Contratada, na </w:t>
      </w:r>
      <w:r>
        <w:rPr>
          <w:rFonts w:ascii="Arial" w:hAnsi="Arial"/>
          <w:i/>
          <w:szCs w:val="24"/>
        </w:rPr>
        <w:t>pendência</w:t>
      </w:r>
      <w:r>
        <w:rPr>
          <w:rFonts w:ascii="Arial" w:hAnsi="Arial"/>
          <w:szCs w:val="24"/>
        </w:rPr>
        <w:t xml:space="preserve"> de qualquer uma das situações especificadas no item 26.4, sem que isso gere direito a alteração de preços ou compensação financeira;</w:t>
      </w:r>
    </w:p>
    <w:p>
      <w:pPr>
        <w:widowControl w:val="0"/>
        <w:autoSpaceDE w:val="0"/>
        <w:autoSpaceDN w:val="0"/>
        <w:adjustRightInd w:val="0"/>
        <w:spacing w:after="120"/>
        <w:ind w:left="720" w:leftChars="300" w:right="240" w:rightChars="100"/>
        <w:jc w:val="both"/>
        <w:rPr>
          <w:rFonts w:ascii="Arial" w:hAnsi="Arial"/>
          <w:szCs w:val="24"/>
        </w:rPr>
      </w:pPr>
      <w:r>
        <w:rPr>
          <w:rFonts w:ascii="Arial" w:hAnsi="Arial"/>
          <w:b/>
          <w:szCs w:val="24"/>
        </w:rPr>
        <w:t xml:space="preserve">27.6.1. </w:t>
      </w:r>
      <w:r>
        <w:rPr>
          <w:rFonts w:ascii="Arial" w:hAnsi="Arial"/>
          <w:szCs w:val="24"/>
        </w:rPr>
        <w:t>Nenhum pagamento isentará a Contratada das suas responsabilidades e obrigações, nem implicará aceitação definitiva dos produtos entregues;</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 xml:space="preserve">27.7. </w:t>
      </w:r>
      <w:r>
        <w:rPr>
          <w:rFonts w:ascii="Arial" w:hAnsi="Arial"/>
          <w:szCs w:val="24"/>
        </w:rPr>
        <w:t>A Prefeitura não efetuará pagamento de título descontado, ou por meio de cobrança em banco, bem como, os que forem negociados com terceiros por intermédio da operação de “</w:t>
      </w:r>
      <w:r>
        <w:rPr>
          <w:rFonts w:ascii="Arial" w:hAnsi="Arial"/>
          <w:i/>
          <w:szCs w:val="24"/>
        </w:rPr>
        <w:t>factoring</w:t>
      </w:r>
      <w:r>
        <w:rPr>
          <w:rFonts w:ascii="Arial" w:hAnsi="Arial"/>
          <w:szCs w:val="24"/>
        </w:rPr>
        <w:t>”;</w:t>
      </w:r>
    </w:p>
    <w:p>
      <w:pPr>
        <w:widowControl w:val="0"/>
        <w:autoSpaceDE w:val="0"/>
        <w:autoSpaceDN w:val="0"/>
        <w:adjustRightInd w:val="0"/>
        <w:snapToGrid w:val="0"/>
        <w:spacing w:after="120"/>
        <w:ind w:right="240" w:rightChars="100"/>
        <w:jc w:val="both"/>
        <w:rPr>
          <w:rFonts w:ascii="Arial" w:hAnsi="Arial"/>
          <w:szCs w:val="24"/>
        </w:rPr>
      </w:pPr>
      <w:r>
        <w:rPr>
          <w:rFonts w:ascii="Arial" w:hAnsi="Arial"/>
          <w:b/>
          <w:szCs w:val="24"/>
        </w:rPr>
        <w:t>27.8.</w:t>
      </w:r>
      <w:r>
        <w:rPr>
          <w:rFonts w:ascii="Arial" w:hAnsi="Arial"/>
          <w:szCs w:val="24"/>
        </w:rPr>
        <w:t xml:space="preserve"> Quando do pagamento, será efetuada a retenção tributária prevista na legislação aplicável;</w:t>
      </w:r>
    </w:p>
    <w:p>
      <w:pPr>
        <w:widowControl w:val="0"/>
        <w:autoSpaceDE w:val="0"/>
        <w:autoSpaceDN w:val="0"/>
        <w:adjustRightInd w:val="0"/>
        <w:snapToGrid w:val="0"/>
        <w:spacing w:after="120"/>
        <w:ind w:right="240" w:rightChars="100"/>
        <w:jc w:val="both"/>
        <w:rPr>
          <w:rFonts w:ascii="Arial" w:hAnsi="Arial"/>
          <w:szCs w:val="24"/>
        </w:rPr>
      </w:pPr>
      <w:r>
        <w:rPr>
          <w:rFonts w:ascii="Arial" w:hAnsi="Arial"/>
          <w:b/>
          <w:szCs w:val="24"/>
        </w:rPr>
        <w:t>27.9.</w:t>
      </w:r>
      <w:r>
        <w:rPr>
          <w:rFonts w:ascii="Arial" w:hAnsi="Arial"/>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after="120"/>
        <w:ind w:right="240" w:rightChars="100"/>
        <w:jc w:val="both"/>
        <w:rPr>
          <w:rFonts w:ascii="Arial" w:hAnsi="Arial"/>
          <w:szCs w:val="24"/>
        </w:rPr>
      </w:pPr>
      <w:r>
        <w:rPr>
          <w:rFonts w:ascii="Arial" w:hAnsi="Arial"/>
          <w:b/>
          <w:szCs w:val="24"/>
        </w:rPr>
        <w:t xml:space="preserve">27.10. </w:t>
      </w:r>
      <w:r>
        <w:rPr>
          <w:rFonts w:ascii="Arial" w:hAnsi="Arial"/>
          <w:szCs w:val="24"/>
        </w:rPr>
        <w:t>As despesas bancárias decorrentes de transferência de valores para outras praças serão de responsabilidade do Contratado;</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27.11.</w:t>
      </w:r>
      <w:r>
        <w:rPr>
          <w:rFonts w:ascii="Arial" w:hAnsi="Arial"/>
          <w:color w:val="000000"/>
          <w:szCs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27.12.</w:t>
      </w:r>
      <w:r>
        <w:rPr>
          <w:rFonts w:ascii="Arial" w:hAnsi="Arial"/>
          <w:color w:val="000000"/>
          <w:szCs w:val="24"/>
        </w:rPr>
        <w:t xml:space="preserve"> A Prefeitura Municipal, não efetuará pagamento de título descontado, ou por meio de cobrança em banco, bem como, os que forem negociados com terceiros por intermédio da operação de “factoring”;</w:t>
      </w:r>
    </w:p>
    <w:p>
      <w:pPr>
        <w:spacing w:before="120"/>
        <w:ind w:right="240" w:rightChars="100"/>
        <w:jc w:val="both"/>
        <w:rPr>
          <w:rFonts w:ascii="Arial" w:hAnsi="Arial"/>
          <w:color w:val="000000"/>
          <w:szCs w:val="24"/>
        </w:rPr>
      </w:pPr>
      <w:r>
        <w:rPr>
          <w:rFonts w:ascii="Arial" w:hAnsi="Arial"/>
          <w:b/>
          <w:color w:val="000000"/>
          <w:szCs w:val="24"/>
        </w:rPr>
        <w:t>27.13.</w:t>
      </w:r>
      <w:r>
        <w:rPr>
          <w:rFonts w:ascii="Arial" w:hAnsi="Arial"/>
          <w:color w:val="000000"/>
          <w:szCs w:val="24"/>
        </w:rPr>
        <w:t xml:space="preserve"> As despesas bancárias decorrentes de transferência de valores para outras praças serão de responsabilidade do Contratado.</w:t>
      </w:r>
    </w:p>
    <w:p>
      <w:pPr>
        <w:widowControl w:val="0"/>
        <w:autoSpaceDE w:val="0"/>
        <w:autoSpaceDN w:val="0"/>
        <w:adjustRightInd w:val="0"/>
        <w:spacing w:after="120"/>
        <w:jc w:val="both"/>
        <w:rPr>
          <w:rFonts w:ascii="Arial" w:hAnsi="Arial" w:cs="Arial"/>
          <w:b/>
          <w:szCs w:val="24"/>
        </w:rPr>
      </w:pPr>
      <w:r>
        <w:rPr>
          <w:rFonts w:ascii="Arial" w:hAnsi="Arial" w:cs="Arial"/>
          <w:sz w:val="20"/>
        </w:rPr>
        <mc:AlternateContent>
          <mc:Choice Requires="wps">
            <w:drawing>
              <wp:anchor distT="0" distB="0" distL="114300" distR="114300" simplePos="0" relativeHeight="251685888" behindDoc="0" locked="0" layoutInCell="1" allowOverlap="1">
                <wp:simplePos x="0" y="0"/>
                <wp:positionH relativeFrom="column">
                  <wp:posOffset>-92075</wp:posOffset>
                </wp:positionH>
                <wp:positionV relativeFrom="paragraph">
                  <wp:posOffset>106680</wp:posOffset>
                </wp:positionV>
                <wp:extent cx="6343015" cy="325120"/>
                <wp:effectExtent l="4445" t="4445" r="34290" b="32385"/>
                <wp:wrapNone/>
                <wp:docPr id="27" name="Retângulo 48"/>
                <wp:cNvGraphicFramePr/>
                <a:graphic xmlns:a="http://schemas.openxmlformats.org/drawingml/2006/main">
                  <a:graphicData uri="http://schemas.microsoft.com/office/word/2010/wordprocessingShape">
                    <wps:wsp>
                      <wps:cNvSpPr/>
                      <wps:spPr>
                        <a:xfrm>
                          <a:off x="0" y="0"/>
                          <a:ext cx="6343015" cy="3251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XXVIII – DO REAJUSTE DE PREÇOS</w:t>
                            </w:r>
                          </w:p>
                        </w:txbxContent>
                      </wps:txbx>
                      <wps:bodyPr wrap="square" upright="1"/>
                    </wps:wsp>
                  </a:graphicData>
                </a:graphic>
              </wp:anchor>
            </w:drawing>
          </mc:Choice>
          <mc:Fallback>
            <w:pict>
              <v:rect id="Retângulo 48" o:spid="_x0000_s1026" o:spt="1" style="position:absolute;left:0pt;margin-left:-7.25pt;margin-top:8.4pt;height:25.6pt;width:499.45pt;z-index:251685888;mso-width-relative:page;mso-height-relative:page;" fillcolor="#D8D8D8" filled="t" stroked="t" coordsize="21600,21600" o:gfxdata="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vY4NPYAAAACQEAAA8AAAAAAAAA&#10;AQAgAAAAIgAAAGRycy9kb3ducmV2LnhtbFBLAQIUABQAAAAIAIdO4kCFa9NmSgIAAMMEAAAOAAAA&#10;AAAAAAEAIAAAACcBAABkcnMvZTJvRG9jLnhtbFBLBQYAAAAABgAGAFkBAADjBQ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XXVIII – DO REAJUSTE DE PREÇOS</w:t>
                      </w:r>
                    </w:p>
                  </w:txbxContent>
                </v:textbox>
              </v:rect>
            </w:pict>
          </mc:Fallback>
        </mc:AlternateContent>
      </w:r>
    </w:p>
    <w:p>
      <w:pPr>
        <w:widowControl w:val="0"/>
        <w:autoSpaceDE w:val="0"/>
        <w:autoSpaceDN w:val="0"/>
        <w:adjustRightInd w:val="0"/>
        <w:spacing w:after="120"/>
        <w:jc w:val="both"/>
        <w:rPr>
          <w:rFonts w:ascii="Arial" w:hAnsi="Arial" w:cs="Arial"/>
          <w:b/>
          <w:szCs w:val="24"/>
        </w:rPr>
      </w:pP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28.1 </w:t>
      </w:r>
      <w:r>
        <w:rPr>
          <w:rFonts w:ascii="Arial" w:hAnsi="Arial" w:cs="Arial"/>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28.2. </w:t>
      </w:r>
      <w:r>
        <w:rPr>
          <w:rFonts w:ascii="Arial" w:hAnsi="Arial" w:cs="Arial"/>
          <w:szCs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28.3. </w:t>
      </w:r>
      <w:r>
        <w:rPr>
          <w:rFonts w:ascii="Arial" w:hAnsi="Arial" w:cs="Arial"/>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28.4. </w:t>
      </w:r>
      <w:r>
        <w:rPr>
          <w:rFonts w:ascii="Arial" w:hAnsi="Arial" w:cs="Arial"/>
          <w:szCs w:val="24"/>
        </w:rPr>
        <w:t>Os reajustes permitidos pelo artigo 65, da Lei n. 8.666/93, serão concedidos após decorrido 12 (doze) meses da vigência do contrato, por provocação do contratado, devendo cumprir obrigatoriamente os requisitos do DECRETO Nº 2.368, DE 24 DE OUTUBRO DE 2023</w:t>
      </w:r>
      <w:r>
        <w:rPr>
          <w:rStyle w:val="17"/>
          <w:rFonts w:ascii="Arial" w:hAnsi="Arial" w:cs="Arial"/>
          <w:szCs w:val="24"/>
        </w:rPr>
        <w:footnoteReference w:id="0"/>
      </w:r>
      <w:r>
        <w:rPr>
          <w:rFonts w:ascii="Arial" w:hAnsi="Arial" w:cs="Arial"/>
          <w:szCs w:val="24"/>
        </w:rPr>
        <w:t xml:space="preserve"> que deverá comprovar através de percentuais do INPC/IBGE, o reajuste pleiteado, que passarão por análise contábil de servidores designados pelo Município de Primavera do Leste;</w:t>
      </w:r>
    </w:p>
    <w:p>
      <w:pPr>
        <w:widowControl w:val="0"/>
        <w:autoSpaceDE w:val="0"/>
        <w:autoSpaceDN w:val="0"/>
        <w:adjustRightInd w:val="0"/>
        <w:spacing w:after="120"/>
        <w:ind w:left="709"/>
        <w:jc w:val="both"/>
        <w:rPr>
          <w:rFonts w:ascii="Arial" w:hAnsi="Arial" w:eastAsia="Calibri" w:cs="Arial"/>
        </w:rPr>
      </w:pPr>
      <w:r>
        <w:rPr>
          <w:rFonts w:ascii="Arial" w:hAnsi="Arial" w:cs="Arial"/>
          <w:b/>
          <w:szCs w:val="24"/>
        </w:rPr>
        <w:t xml:space="preserve">28.4.1. </w:t>
      </w:r>
      <w:r>
        <w:rPr>
          <w:rFonts w:ascii="Arial" w:hAnsi="Arial" w:eastAsia="Calibri" w:cs="Arial"/>
        </w:rPr>
        <w:t>A contratada poderá exercer seu direito de repactuação, sempre que houver uma nova convenção coletiva de trabalho que altere o subsídio da categoria constante do contrato.</w:t>
      </w:r>
    </w:p>
    <w:p>
      <w:pPr>
        <w:widowControl w:val="0"/>
        <w:autoSpaceDE w:val="0"/>
        <w:autoSpaceDN w:val="0"/>
        <w:adjustRightInd w:val="0"/>
        <w:spacing w:after="120"/>
        <w:ind w:left="709"/>
        <w:jc w:val="both"/>
        <w:rPr>
          <w:rFonts w:ascii="Arial" w:hAnsi="Arial" w:eastAsia="Calibri" w:cs="Arial"/>
        </w:rPr>
      </w:pPr>
      <w:r>
        <w:rPr>
          <w:rFonts w:ascii="Arial" w:hAnsi="Arial" w:cs="Arial"/>
          <w:b/>
          <w:szCs w:val="24"/>
        </w:rPr>
        <w:t xml:space="preserve">28.4.1.2. </w:t>
      </w:r>
      <w:r>
        <w:rPr>
          <w:rFonts w:ascii="Arial" w:hAnsi="Arial" w:eastAsia="Calibri" w:cs="Arial"/>
        </w:rPr>
        <w:t xml:space="preserve">Para a concessão da primeira repactuação deverá ser obedecido a seguinte regra: </w:t>
      </w:r>
    </w:p>
    <w:p>
      <w:pPr>
        <w:widowControl w:val="0"/>
        <w:numPr>
          <w:ilvl w:val="0"/>
          <w:numId w:val="11"/>
        </w:numPr>
        <w:autoSpaceDE w:val="0"/>
        <w:autoSpaceDN w:val="0"/>
        <w:adjustRightInd w:val="0"/>
        <w:spacing w:after="120"/>
        <w:ind w:left="1129"/>
        <w:jc w:val="both"/>
        <w:rPr>
          <w:rFonts w:ascii="Arial" w:hAnsi="Arial" w:eastAsia="Calibri" w:cs="Arial"/>
        </w:rPr>
      </w:pPr>
      <w:r>
        <w:rPr>
          <w:rFonts w:ascii="Arial" w:hAnsi="Arial" w:eastAsia="Calibri" w:cs="Arial"/>
        </w:rPr>
        <w:t xml:space="preserve">Um ano da data limite para apresentação das propostas constante do instrumento convocatório, em relação aos custos decorrentes do mercado, tais como o custo dos materiais e equipamentos necessários à execução do serviço, utilizando-se o índice inflacionário como base de ajuste; </w:t>
      </w:r>
    </w:p>
    <w:p>
      <w:pPr>
        <w:widowControl w:val="0"/>
        <w:numPr>
          <w:ilvl w:val="0"/>
          <w:numId w:val="11"/>
        </w:numPr>
        <w:autoSpaceDE w:val="0"/>
        <w:autoSpaceDN w:val="0"/>
        <w:adjustRightInd w:val="0"/>
        <w:spacing w:after="120"/>
        <w:ind w:left="1129"/>
        <w:jc w:val="both"/>
        <w:rPr>
          <w:rFonts w:ascii="Arial" w:hAnsi="Arial" w:eastAsia="Calibri" w:cs="Arial"/>
        </w:rPr>
      </w:pPr>
      <w:r>
        <w:rPr>
          <w:rFonts w:ascii="Arial" w:hAnsi="Arial" w:eastAsia="Calibri" w:cs="Arial"/>
        </w:rPr>
        <w:t xml:space="preserve">Da data do acordo, convenção ou dissídio coletivo de trabalho ou equivalente, vigente à época da apresentação da proposta, quando a variação dos custos for decorrente da mão de obra e estiver vinculada às datas-bases destes instrumentos. </w:t>
      </w:r>
    </w:p>
    <w:p>
      <w:pPr>
        <w:widowControl w:val="0"/>
        <w:numPr>
          <w:ilvl w:val="0"/>
          <w:numId w:val="11"/>
        </w:numPr>
        <w:autoSpaceDE w:val="0"/>
        <w:autoSpaceDN w:val="0"/>
        <w:adjustRightInd w:val="0"/>
        <w:spacing w:after="120"/>
        <w:ind w:left="1129"/>
        <w:jc w:val="both"/>
        <w:rPr>
          <w:rFonts w:ascii="Arial" w:hAnsi="Arial" w:eastAsia="Calibri" w:cs="Arial"/>
        </w:rPr>
      </w:pPr>
      <w:r>
        <w:rPr>
          <w:rFonts w:ascii="Arial" w:hAnsi="Arial" w:eastAsia="Calibri" w:cs="Arial"/>
        </w:rPr>
        <w:t>Nas repactuações subsequentes à primeira, a periodicidade será contada a partir da data de vigência dos valores adotados na última repactuação.</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28.5. </w:t>
      </w:r>
      <w:r>
        <w:rPr>
          <w:rFonts w:ascii="Arial" w:hAnsi="Arial" w:cs="Arial"/>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28.6. </w:t>
      </w:r>
      <w:r>
        <w:rPr>
          <w:rFonts w:ascii="Arial" w:hAnsi="Arial" w:cs="Arial"/>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ascii="Arial" w:hAnsi="Arial" w:eastAsia="Calibri" w:cs="Arial"/>
        </w:rPr>
      </w:pPr>
      <w:r>
        <w:rPr>
          <w:rFonts w:ascii="Arial" w:hAnsi="Arial" w:cs="Arial"/>
          <w:b/>
          <w:szCs w:val="24"/>
        </w:rPr>
        <w:t xml:space="preserve">28.7. </w:t>
      </w:r>
      <w:r>
        <w:rPr>
          <w:rFonts w:ascii="Arial" w:hAnsi="Arial" w:cs="Arial"/>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after="120"/>
        <w:jc w:val="both"/>
        <w:rPr>
          <w:rFonts w:ascii="Arial" w:hAnsi="Arial" w:eastAsia="Calibri" w:cs="Arial"/>
        </w:rPr>
      </w:pPr>
      <w:r>
        <w:rPr>
          <w:rFonts w:ascii="Arial" w:hAnsi="Arial" w:cs="Arial"/>
          <w:sz w:val="20"/>
        </w:rPr>
        <mc:AlternateContent>
          <mc:Choice Requires="wps">
            <w:drawing>
              <wp:anchor distT="0" distB="0" distL="114300" distR="114300" simplePos="0" relativeHeight="251686912" behindDoc="0" locked="0" layoutInCell="1" allowOverlap="1">
                <wp:simplePos x="0" y="0"/>
                <wp:positionH relativeFrom="column">
                  <wp:posOffset>-52705</wp:posOffset>
                </wp:positionH>
                <wp:positionV relativeFrom="paragraph">
                  <wp:posOffset>117475</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XXIX – DA PRESTAÇÃO DOS SERVIÇOS</w:t>
                            </w:r>
                          </w:p>
                        </w:txbxContent>
                      </wps:txbx>
                      <wps:bodyPr wrap="square" upright="1"/>
                    </wps:wsp>
                  </a:graphicData>
                </a:graphic>
              </wp:anchor>
            </w:drawing>
          </mc:Choice>
          <mc:Fallback>
            <w:pict>
              <v:rect id="Retângulo 49" o:spid="_x0000_s1026" o:spt="1" style="position:absolute;left:0pt;margin-left:-4.15pt;margin-top:9.25pt;height:23.25pt;width:492pt;z-index:251686912;mso-width-relative:page;mso-height-relative:page;" fillcolor="#D8D8D8" filled="t" stroked="t" coordsize="21600,21600" o:gfxdata="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C+i7Jgo6/sjDr5+6&#10;6aRBi01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T0sjk2AAAAAgBAAAPAAAAAAAAAAEAIAAA&#10;ACIAAABkcnMvZG93bnJldi54bWxQSwECFAAUAAAACACHTuJAcdNMi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XXIX – DA PRESTAÇÃO DOS SERVIÇOS</w:t>
                      </w:r>
                    </w:p>
                  </w:txbxContent>
                </v:textbox>
              </v:rect>
            </w:pict>
          </mc:Fallback>
        </mc:AlternateContent>
      </w:r>
    </w:p>
    <w:p>
      <w:pPr>
        <w:widowControl w:val="0"/>
        <w:autoSpaceDE w:val="0"/>
        <w:autoSpaceDN w:val="0"/>
        <w:adjustRightInd w:val="0"/>
        <w:spacing w:after="120"/>
        <w:jc w:val="both"/>
        <w:rPr>
          <w:rFonts w:ascii="Arial" w:hAnsi="Arial" w:eastAsia="Calibri" w:cs="Arial"/>
          <w:b/>
        </w:rPr>
      </w:pPr>
    </w:p>
    <w:p>
      <w:pPr>
        <w:widowControl w:val="0"/>
        <w:autoSpaceDE w:val="0"/>
        <w:autoSpaceDN w:val="0"/>
        <w:adjustRightInd w:val="0"/>
        <w:spacing w:after="120"/>
        <w:jc w:val="both"/>
        <w:rPr>
          <w:rFonts w:ascii="Arial" w:hAnsi="Arial" w:eastAsia="Calibri" w:cs="Arial"/>
        </w:rPr>
      </w:pPr>
      <w:r>
        <w:rPr>
          <w:rFonts w:ascii="Arial" w:hAnsi="Arial" w:eastAsia="Calibri" w:cs="Arial"/>
          <w:b/>
        </w:rPr>
        <w:t>29.1.</w:t>
      </w:r>
      <w:r>
        <w:rPr>
          <w:rFonts w:ascii="Arial" w:hAnsi="Arial" w:eastAsia="Calibri" w:cs="Arial"/>
        </w:rPr>
        <w:t xml:space="preserve"> A coleta e transporte de resíduos sólidos domiciliares e comerciais é o recolhimento de todos e quaisquer resíduos ou detritos apresentados regularmente nas vias e logradouros públicos, originários de estabelecimentos públicos, institucionais, comerciais e residenciais que caibam num recipiente com volume de até 100 (cem) litros ou com peso de 50 (cinquenta) quilos, por estabelecimento e posteriormente encaminhados ao o Unidade de Transbordo dos resíduos sólidos domiciliares e comerciais que fica localizado na MT 130, km 06, 07 (sete) km a esquerda mais 1.000 (mil) metros a esquerda, sendo destes 11 (onze) km de asfalto, desde que estejam acondicionados e/ou armazenados adequadamente e colocados a disposição do serviço de coleta.</w:t>
      </w:r>
    </w:p>
    <w:p>
      <w:pPr>
        <w:widowControl w:val="0"/>
        <w:autoSpaceDE w:val="0"/>
        <w:autoSpaceDN w:val="0"/>
        <w:adjustRightInd w:val="0"/>
        <w:spacing w:after="120"/>
        <w:jc w:val="both"/>
        <w:rPr>
          <w:rFonts w:ascii="Arial" w:hAnsi="Arial" w:eastAsia="Calibri" w:cs="Arial"/>
        </w:rPr>
      </w:pPr>
      <w:r>
        <w:rPr>
          <w:rFonts w:ascii="Arial" w:hAnsi="Arial" w:eastAsia="Calibri" w:cs="Arial"/>
          <w:b/>
          <w:bCs/>
        </w:rPr>
        <w:t xml:space="preserve">29.2. </w:t>
      </w:r>
      <w:r>
        <w:rPr>
          <w:rFonts w:ascii="Arial" w:hAnsi="Arial" w:eastAsia="Calibri" w:cs="Arial"/>
        </w:rPr>
        <w:t xml:space="preserve"> Enquadram-se neste item os resíduos provenientes de:</w:t>
      </w:r>
    </w:p>
    <w:p>
      <w:pPr>
        <w:widowControl w:val="0"/>
        <w:autoSpaceDE w:val="0"/>
        <w:autoSpaceDN w:val="0"/>
        <w:adjustRightInd w:val="0"/>
        <w:spacing w:after="120"/>
        <w:jc w:val="both"/>
        <w:rPr>
          <w:rFonts w:ascii="Arial" w:hAnsi="Arial" w:eastAsia="Calibri" w:cs="Arial"/>
        </w:rPr>
      </w:pPr>
      <w:r>
        <w:rPr>
          <w:rFonts w:ascii="Arial" w:hAnsi="Arial" w:eastAsia="Calibri" w:cs="Arial"/>
          <w:b/>
          <w:bCs/>
        </w:rPr>
        <w:t>29.2.1.</w:t>
      </w:r>
      <w:r>
        <w:rPr>
          <w:rFonts w:ascii="Arial" w:hAnsi="Arial" w:eastAsia="Calibri" w:cs="Arial"/>
        </w:rPr>
        <w:t xml:space="preserve"> Resíduos sólidos das unidades unifamiliares e multifamiliares em geral;</w:t>
      </w:r>
    </w:p>
    <w:p>
      <w:pPr>
        <w:widowControl w:val="0"/>
        <w:autoSpaceDE w:val="0"/>
        <w:autoSpaceDN w:val="0"/>
        <w:adjustRightInd w:val="0"/>
        <w:spacing w:after="120"/>
        <w:jc w:val="both"/>
        <w:rPr>
          <w:rFonts w:ascii="Arial" w:hAnsi="Arial" w:eastAsia="Calibri" w:cs="Arial"/>
        </w:rPr>
      </w:pPr>
      <w:r>
        <w:rPr>
          <w:rFonts w:ascii="Arial" w:hAnsi="Arial" w:eastAsia="Calibri" w:cs="Arial"/>
          <w:b/>
          <w:bCs/>
        </w:rPr>
        <w:t>29.2.2.</w:t>
      </w:r>
      <w:r>
        <w:rPr>
          <w:rFonts w:ascii="Arial" w:hAnsi="Arial" w:eastAsia="Calibri" w:cs="Arial"/>
        </w:rPr>
        <w:t xml:space="preserve"> Resíduos sólidos originários de estabelecimentos públicos, institucionais, de prestação de serviços, comerciais, industriais (Classe II-A – NBR 10.004) e de estabelecimentos de saúde públicos municipais (Classe II-A – NBR 10.004), executando se os resíduos perigosos do setor industrial e infectantes da área de saúde e congêneres;</w:t>
      </w:r>
    </w:p>
    <w:p>
      <w:pPr>
        <w:widowControl w:val="0"/>
        <w:autoSpaceDE w:val="0"/>
        <w:autoSpaceDN w:val="0"/>
        <w:adjustRightInd w:val="0"/>
        <w:spacing w:after="120"/>
        <w:jc w:val="both"/>
        <w:rPr>
          <w:rFonts w:ascii="Arial" w:hAnsi="Arial" w:eastAsia="Calibri" w:cs="Arial"/>
        </w:rPr>
      </w:pPr>
      <w:r>
        <w:rPr>
          <w:rFonts w:ascii="Arial" w:hAnsi="Arial" w:eastAsia="Calibri" w:cs="Arial"/>
          <w:b/>
          <w:bCs/>
        </w:rPr>
        <w:t>29.3.</w:t>
      </w:r>
      <w:r>
        <w:rPr>
          <w:rFonts w:ascii="Arial" w:hAnsi="Arial" w:eastAsia="Calibri" w:cs="Arial"/>
        </w:rPr>
        <w:t xml:space="preserve">  Não estão inclusos no serviço de coleta:</w:t>
      </w:r>
    </w:p>
    <w:p>
      <w:pPr>
        <w:widowControl w:val="0"/>
        <w:autoSpaceDE w:val="0"/>
        <w:autoSpaceDN w:val="0"/>
        <w:adjustRightInd w:val="0"/>
        <w:spacing w:after="120"/>
        <w:jc w:val="both"/>
        <w:rPr>
          <w:rFonts w:ascii="Arial" w:hAnsi="Arial" w:eastAsia="Calibri" w:cs="Arial"/>
        </w:rPr>
      </w:pPr>
      <w:r>
        <w:rPr>
          <w:rFonts w:ascii="Arial" w:hAnsi="Arial" w:eastAsia="Calibri" w:cs="Arial"/>
        </w:rPr>
        <w:t>- Animais mortos de pequeno, médio e grande porte;</w:t>
      </w:r>
    </w:p>
    <w:p>
      <w:pPr>
        <w:widowControl w:val="0"/>
        <w:autoSpaceDE w:val="0"/>
        <w:autoSpaceDN w:val="0"/>
        <w:adjustRightInd w:val="0"/>
        <w:spacing w:after="120"/>
        <w:jc w:val="both"/>
        <w:rPr>
          <w:rFonts w:ascii="Arial" w:hAnsi="Arial" w:eastAsia="Calibri" w:cs="Arial"/>
        </w:rPr>
      </w:pPr>
      <w:r>
        <w:rPr>
          <w:rFonts w:ascii="Arial" w:hAnsi="Arial" w:eastAsia="Calibri" w:cs="Arial"/>
        </w:rPr>
        <w:t>- Materiais radioativos;</w:t>
      </w:r>
    </w:p>
    <w:p>
      <w:pPr>
        <w:widowControl w:val="0"/>
        <w:autoSpaceDE w:val="0"/>
        <w:autoSpaceDN w:val="0"/>
        <w:adjustRightInd w:val="0"/>
        <w:spacing w:after="120"/>
        <w:jc w:val="both"/>
        <w:rPr>
          <w:rFonts w:ascii="Arial" w:hAnsi="Arial" w:eastAsia="Calibri" w:cs="Arial"/>
        </w:rPr>
      </w:pPr>
      <w:r>
        <w:rPr>
          <w:rFonts w:ascii="Arial" w:hAnsi="Arial" w:eastAsia="Calibri" w:cs="Arial"/>
        </w:rPr>
        <w:t>- Resíduos sólidos tóxicos, reativos, corrosivos, patogênicos ou inflamáveis;</w:t>
      </w:r>
    </w:p>
    <w:p>
      <w:pPr>
        <w:widowControl w:val="0"/>
        <w:autoSpaceDE w:val="0"/>
        <w:autoSpaceDN w:val="0"/>
        <w:adjustRightInd w:val="0"/>
        <w:spacing w:after="120"/>
        <w:jc w:val="both"/>
        <w:rPr>
          <w:rFonts w:ascii="Arial" w:hAnsi="Arial" w:eastAsia="Calibri" w:cs="Arial"/>
        </w:rPr>
      </w:pPr>
      <w:r>
        <w:rPr>
          <w:rFonts w:ascii="Arial" w:hAnsi="Arial" w:eastAsia="Calibri" w:cs="Arial"/>
        </w:rPr>
        <w:t>- Resíduos líquidos de toda espécie;</w:t>
      </w:r>
    </w:p>
    <w:p>
      <w:pPr>
        <w:widowControl w:val="0"/>
        <w:autoSpaceDE w:val="0"/>
        <w:autoSpaceDN w:val="0"/>
        <w:adjustRightInd w:val="0"/>
        <w:spacing w:after="120"/>
        <w:jc w:val="both"/>
        <w:rPr>
          <w:rFonts w:ascii="Arial" w:hAnsi="Arial" w:eastAsia="Calibri" w:cs="Arial"/>
        </w:rPr>
      </w:pPr>
      <w:r>
        <w:rPr>
          <w:rFonts w:ascii="Arial" w:hAnsi="Arial" w:eastAsia="Calibri" w:cs="Arial"/>
        </w:rPr>
        <w:t>- Restos de móveis, inclusive toda linha de eletrodomésticos e eletroeletrônicos ou similares;</w:t>
      </w:r>
    </w:p>
    <w:p>
      <w:pPr>
        <w:widowControl w:val="0"/>
        <w:autoSpaceDE w:val="0"/>
        <w:autoSpaceDN w:val="0"/>
        <w:adjustRightInd w:val="0"/>
        <w:spacing w:after="120"/>
        <w:jc w:val="both"/>
        <w:rPr>
          <w:rFonts w:ascii="Arial" w:hAnsi="Arial" w:eastAsia="Calibri" w:cs="Arial"/>
        </w:rPr>
      </w:pPr>
      <w:r>
        <w:rPr>
          <w:rFonts w:ascii="Arial" w:hAnsi="Arial" w:eastAsia="Calibri" w:cs="Arial"/>
        </w:rPr>
        <w:t>- Restos, pedaços e peças de madeira;</w:t>
      </w:r>
    </w:p>
    <w:p>
      <w:pPr>
        <w:widowControl w:val="0"/>
        <w:autoSpaceDE w:val="0"/>
        <w:autoSpaceDN w:val="0"/>
        <w:adjustRightInd w:val="0"/>
        <w:spacing w:after="120"/>
        <w:jc w:val="both"/>
        <w:rPr>
          <w:rFonts w:ascii="Arial" w:hAnsi="Arial" w:eastAsia="Calibri" w:cs="Arial"/>
        </w:rPr>
      </w:pPr>
      <w:r>
        <w:rPr>
          <w:rFonts w:ascii="Arial" w:hAnsi="Arial" w:eastAsia="Calibri" w:cs="Arial"/>
        </w:rPr>
        <w:t>- Troncos, galhos e outros resíduos gerados na poda de árvores e manutenção de jardins;</w:t>
      </w:r>
    </w:p>
    <w:p>
      <w:pPr>
        <w:widowControl w:val="0"/>
        <w:autoSpaceDE w:val="0"/>
        <w:autoSpaceDN w:val="0"/>
        <w:adjustRightInd w:val="0"/>
        <w:spacing w:after="120"/>
        <w:jc w:val="both"/>
        <w:rPr>
          <w:rFonts w:ascii="Arial" w:hAnsi="Arial" w:eastAsia="Calibri" w:cs="Arial"/>
        </w:rPr>
      </w:pPr>
      <w:r>
        <w:rPr>
          <w:rFonts w:ascii="Arial" w:hAnsi="Arial" w:eastAsia="Calibri" w:cs="Arial"/>
        </w:rPr>
        <w:t>- Resíduos gerados nas atividades da construção civil;</w:t>
      </w:r>
    </w:p>
    <w:p>
      <w:pPr>
        <w:widowControl w:val="0"/>
        <w:autoSpaceDE w:val="0"/>
        <w:autoSpaceDN w:val="0"/>
        <w:adjustRightInd w:val="0"/>
        <w:spacing w:after="120"/>
        <w:jc w:val="both"/>
        <w:rPr>
          <w:rFonts w:ascii="Arial" w:hAnsi="Arial" w:eastAsia="Calibri" w:cs="Arial"/>
        </w:rPr>
      </w:pPr>
      <w:r>
        <w:rPr>
          <w:rFonts w:ascii="Arial" w:hAnsi="Arial" w:eastAsia="Calibri" w:cs="Arial"/>
        </w:rPr>
        <w:t>- Resíduos de Serviços de Saúde (RSS);</w:t>
      </w:r>
    </w:p>
    <w:p>
      <w:pPr>
        <w:widowControl w:val="0"/>
        <w:autoSpaceDE w:val="0"/>
        <w:autoSpaceDN w:val="0"/>
        <w:adjustRightInd w:val="0"/>
        <w:spacing w:after="120"/>
        <w:jc w:val="both"/>
        <w:rPr>
          <w:rFonts w:ascii="Arial" w:hAnsi="Arial" w:eastAsia="Calibri" w:cs="Arial"/>
        </w:rPr>
      </w:pPr>
      <w:r>
        <w:rPr>
          <w:rFonts w:ascii="Arial" w:hAnsi="Arial" w:eastAsia="Calibri" w:cs="Arial"/>
        </w:rPr>
        <w:t>- Resíduos Industriais (Classe I).</w:t>
      </w:r>
    </w:p>
    <w:p>
      <w:pPr>
        <w:widowControl w:val="0"/>
        <w:autoSpaceDE w:val="0"/>
        <w:autoSpaceDN w:val="0"/>
        <w:adjustRightInd w:val="0"/>
        <w:spacing w:after="120"/>
        <w:jc w:val="both"/>
        <w:rPr>
          <w:rFonts w:ascii="Arial" w:hAnsi="Arial" w:eastAsia="Calibri" w:cs="Arial"/>
        </w:rPr>
      </w:pPr>
      <w:r>
        <w:rPr>
          <w:rFonts w:ascii="Arial" w:hAnsi="Arial" w:cs="Arial"/>
          <w:sz w:val="20"/>
        </w:rPr>
        <mc:AlternateContent>
          <mc:Choice Requires="wps">
            <w:drawing>
              <wp:anchor distT="0" distB="0" distL="114300" distR="114300" simplePos="0" relativeHeight="251673600" behindDoc="0" locked="0" layoutInCell="1" allowOverlap="1">
                <wp:simplePos x="0" y="0"/>
                <wp:positionH relativeFrom="column">
                  <wp:posOffset>-37465</wp:posOffset>
                </wp:positionH>
                <wp:positionV relativeFrom="paragraph">
                  <wp:posOffset>99695</wp:posOffset>
                </wp:positionV>
                <wp:extent cx="6248400" cy="322580"/>
                <wp:effectExtent l="4445" t="4445" r="33655" b="34925"/>
                <wp:wrapNone/>
                <wp:docPr id="15" name="Retângulo 20"/>
                <wp:cNvGraphicFramePr/>
                <a:graphic xmlns:a="http://schemas.openxmlformats.org/drawingml/2006/main">
                  <a:graphicData uri="http://schemas.microsoft.com/office/word/2010/wordprocessingShape">
                    <wps:wsp>
                      <wps:cNvSpPr/>
                      <wps:spPr>
                        <a:xfrm>
                          <a:off x="0" y="0"/>
                          <a:ext cx="6248400" cy="32258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XXX – DAS SANÇÕES</w:t>
                            </w:r>
                          </w:p>
                        </w:txbxContent>
                      </wps:txbx>
                      <wps:bodyPr wrap="square" upright="1"/>
                    </wps:wsp>
                  </a:graphicData>
                </a:graphic>
              </wp:anchor>
            </w:drawing>
          </mc:Choice>
          <mc:Fallback>
            <w:pict>
              <v:rect id="Retângulo 20" o:spid="_x0000_s1026" o:spt="1" style="position:absolute;left:0pt;margin-left:-2.95pt;margin-top:7.85pt;height:25.4pt;width:492pt;z-index:251673600;mso-width-relative:page;mso-height-relative:page;" fillcolor="#D8D8D8" filled="t" stroked="t" coordsize="21600,21600" o:gfxdata="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2KMYLYAAAACAEAAA8AAAAAAAAAAQAg&#10;AAAAIgAAAGRycy9kb3ducmV2LnhtbFBLAQIUABQAAAAIAIdO4kCZNWWzRwIAAMMEAAAOAAAAAAAA&#10;AAEAIAAAACcBAABkcnMvZTJvRG9jLnhtbFBLBQYAAAAABgAGAFkBAADgBQ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XXX – DAS SANÇÕES</w:t>
                      </w:r>
                    </w:p>
                  </w:txbxContent>
                </v:textbox>
              </v:rect>
            </w:pict>
          </mc:Fallback>
        </mc:AlternateContent>
      </w:r>
    </w:p>
    <w:p>
      <w:pPr>
        <w:pStyle w:val="2"/>
        <w:keepNext w:val="0"/>
        <w:widowControl w:val="0"/>
        <w:tabs>
          <w:tab w:val="left" w:pos="567"/>
          <w:tab w:val="left" w:pos="1134"/>
        </w:tabs>
        <w:spacing w:before="0" w:after="120"/>
        <w:ind w:left="0"/>
        <w:jc w:val="both"/>
        <w:rPr>
          <w:rFonts w:cs="Arial"/>
          <w:sz w:val="20"/>
        </w:rPr>
      </w:pPr>
    </w:p>
    <w:p>
      <w:pPr>
        <w:rPr>
          <w:rFonts w:ascii="Arial" w:hAnsi="Arial" w:cs="Arial"/>
          <w:sz w:val="20"/>
        </w:rPr>
      </w:pP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w:t>
      </w:r>
      <w:r>
        <w:rPr>
          <w:rFonts w:ascii="Arial" w:hAnsi="Arial" w:cs="Arial"/>
          <w:bCs/>
          <w:color w:val="000000"/>
          <w:szCs w:val="24"/>
        </w:rPr>
        <w:t xml:space="preserve"> </w:t>
      </w:r>
      <w:r>
        <w:rPr>
          <w:rFonts w:ascii="Arial" w:hAnsi="Arial" w:cs="Arial"/>
          <w:color w:val="000000"/>
          <w:szCs w:val="24"/>
        </w:rPr>
        <w:t>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30.1.1.</w:t>
      </w:r>
      <w:r>
        <w:rPr>
          <w:rFonts w:ascii="Arial" w:hAnsi="Arial" w:cs="Arial"/>
          <w:color w:val="000000"/>
          <w:szCs w:val="24"/>
        </w:rPr>
        <w:t xml:space="preserve"> Por atraso injustificado na execução do objeto:</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30.1.1.1</w:t>
      </w:r>
      <w:r>
        <w:rPr>
          <w:rFonts w:ascii="Arial" w:hAnsi="Arial" w:cs="Arial"/>
          <w:bCs/>
          <w:color w:val="000000"/>
          <w:szCs w:val="24"/>
        </w:rPr>
        <w:t>.</w:t>
      </w:r>
      <w:r>
        <w:rPr>
          <w:rFonts w:ascii="Arial" w:hAnsi="Arial" w:cs="Arial"/>
          <w:color w:val="000000"/>
          <w:szCs w:val="24"/>
        </w:rPr>
        <w:t xml:space="preserve"> Atraso em até de 50% além do tempo previsto para entrega ou execução, multa diária de 0,25% (vinte e cinco centésimos por cento);</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30.1.1.2.</w:t>
      </w:r>
      <w:r>
        <w:rPr>
          <w:rFonts w:ascii="Arial" w:hAnsi="Arial" w:cs="Arial"/>
          <w:color w:val="000000"/>
          <w:szCs w:val="24"/>
        </w:rPr>
        <w:t xml:space="preserve"> Atraso superior a 50%, multa diária de 0,50% (cinquenta centésimos por cento) sobre o total dos dias em atraso, sem prejuízo das demais cominações legais;</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30.1.1.3.</w:t>
      </w:r>
      <w:r>
        <w:rPr>
          <w:rFonts w:ascii="Arial" w:hAnsi="Arial" w:cs="Arial"/>
          <w:color w:val="000000"/>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30.1.2.</w:t>
      </w:r>
      <w:r>
        <w:rPr>
          <w:rFonts w:ascii="Arial" w:hAnsi="Arial" w:cs="Arial"/>
          <w:color w:val="000000"/>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30.1.2.1.</w:t>
      </w:r>
      <w:r>
        <w:rPr>
          <w:rFonts w:ascii="Arial" w:hAnsi="Arial" w:cs="Arial"/>
          <w:b/>
          <w:bCs/>
          <w:color w:val="000000"/>
          <w:szCs w:val="24"/>
        </w:rPr>
        <w:tab/>
      </w:r>
      <w:r>
        <w:rPr>
          <w:rFonts w:ascii="Arial" w:hAnsi="Arial" w:cs="Arial"/>
          <w:color w:val="000000"/>
          <w:szCs w:val="24"/>
        </w:rPr>
        <w:t>advertência;</w:t>
      </w:r>
    </w:p>
    <w:p>
      <w:pPr>
        <w:widowControl w:val="0"/>
        <w:tabs>
          <w:tab w:val="left" w:pos="993"/>
        </w:tabs>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30.1.2.2.</w:t>
      </w:r>
      <w:r>
        <w:rPr>
          <w:rFonts w:ascii="Arial" w:hAnsi="Arial" w:cs="Arial"/>
          <w:bCs/>
          <w:color w:val="000000"/>
          <w:szCs w:val="24"/>
        </w:rPr>
        <w:tab/>
      </w:r>
      <w:r>
        <w:rPr>
          <w:rFonts w:ascii="Arial" w:hAnsi="Arial" w:cs="Arial"/>
          <w:color w:val="000000"/>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30.1.2.3.</w:t>
      </w:r>
      <w:r>
        <w:rPr>
          <w:rFonts w:ascii="Arial" w:hAnsi="Arial" w:cs="Arial"/>
          <w:bCs/>
          <w:color w:val="000000"/>
          <w:szCs w:val="24"/>
        </w:rPr>
        <w:tab/>
      </w:r>
      <w:r>
        <w:rPr>
          <w:rFonts w:ascii="Arial" w:hAnsi="Arial" w:cs="Arial"/>
          <w:color w:val="000000"/>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ind w:right="240" w:rightChars="100"/>
        <w:jc w:val="both"/>
        <w:rPr>
          <w:rFonts w:ascii="Arial" w:hAnsi="Arial" w:cs="Arial"/>
        </w:rPr>
      </w:pPr>
      <w:r>
        <w:rPr>
          <w:rFonts w:ascii="Arial" w:hAnsi="Arial" w:cs="Arial"/>
          <w:b/>
        </w:rPr>
        <w:t>30.1.2.4.</w:t>
      </w:r>
      <w:r>
        <w:rPr>
          <w:rFonts w:ascii="Arial" w:hAnsi="Arial" w:cs="Arial"/>
          <w:b/>
        </w:rPr>
        <w:tab/>
      </w:r>
      <w:r>
        <w:rPr>
          <w:rFonts w:ascii="Arial" w:hAnsi="Arial" w:cs="Arial"/>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30.2.</w:t>
      </w:r>
      <w:r>
        <w:rPr>
          <w:rFonts w:ascii="Arial" w:hAnsi="Arial" w:cs="Arial"/>
          <w:bCs/>
          <w:color w:val="000000"/>
          <w:szCs w:val="24"/>
        </w:rPr>
        <w:t xml:space="preserve"> </w:t>
      </w:r>
      <w:r>
        <w:rPr>
          <w:rFonts w:ascii="Arial" w:hAnsi="Arial" w:cs="Arial"/>
          <w:color w:val="000000"/>
          <w:szCs w:val="24"/>
        </w:rPr>
        <w:t xml:space="preserve">As multas serão descontadas dos créditos da empresa detentora da ata ou cobradas administrativa ou judicialmente; </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30.3.</w:t>
      </w:r>
      <w:r>
        <w:rPr>
          <w:rFonts w:ascii="Arial" w:hAnsi="Arial" w:cs="Arial"/>
          <w:bCs/>
          <w:color w:val="000000"/>
          <w:szCs w:val="24"/>
        </w:rPr>
        <w:t xml:space="preserve"> </w:t>
      </w:r>
      <w:r>
        <w:rPr>
          <w:rFonts w:ascii="Arial" w:hAnsi="Arial" w:cs="Arial"/>
          <w:color w:val="000000"/>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30.4.</w:t>
      </w:r>
      <w:r>
        <w:rPr>
          <w:rFonts w:ascii="Arial" w:hAnsi="Arial" w:cs="Arial"/>
          <w:bCs/>
          <w:color w:val="000000"/>
          <w:szCs w:val="24"/>
        </w:rPr>
        <w:t xml:space="preserve"> </w:t>
      </w:r>
      <w:r>
        <w:rPr>
          <w:rFonts w:ascii="Arial" w:hAnsi="Arial" w:cs="Arial"/>
          <w:color w:val="000000"/>
          <w:szCs w:val="24"/>
        </w:rPr>
        <w:t xml:space="preserve">As penalidades são independentes e a aplicação de uma não exclui a das demais, quando cabíveis; </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30.5.</w:t>
      </w:r>
      <w:r>
        <w:rPr>
          <w:rFonts w:ascii="Arial" w:hAnsi="Arial" w:cs="Arial"/>
          <w:bCs/>
          <w:color w:val="000000"/>
          <w:szCs w:val="24"/>
        </w:rPr>
        <w:t xml:space="preserve"> </w:t>
      </w:r>
      <w:r>
        <w:rPr>
          <w:rFonts w:ascii="Arial" w:hAnsi="Arial" w:cs="Arial"/>
          <w:color w:val="000000"/>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30.5.1.</w:t>
      </w:r>
      <w:r>
        <w:rPr>
          <w:rFonts w:ascii="Arial" w:hAnsi="Arial" w:cs="Arial"/>
          <w:bCs/>
          <w:color w:val="000000"/>
          <w:szCs w:val="24"/>
        </w:rPr>
        <w:t xml:space="preserve"> </w:t>
      </w:r>
      <w:r>
        <w:rPr>
          <w:rFonts w:ascii="Arial" w:hAnsi="Arial" w:cs="Arial"/>
          <w:color w:val="000000"/>
          <w:szCs w:val="24"/>
        </w:rPr>
        <w:t>Desclassificação ou inabilitação caso o procedimento se encontre em fase de julgamento;</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30.5.2.</w:t>
      </w:r>
      <w:r>
        <w:rPr>
          <w:rFonts w:ascii="Arial" w:hAnsi="Arial" w:cs="Arial"/>
          <w:color w:val="000000"/>
          <w:szCs w:val="24"/>
        </w:rPr>
        <w:t xml:space="preserve"> Cancelamento da ata de registro de preços, se esta já estiver assinada, procedendo-se a paralisação do fornecimento;</w:t>
      </w:r>
    </w:p>
    <w:p>
      <w:pPr>
        <w:widowControl w:val="0"/>
        <w:autoSpaceDE w:val="0"/>
        <w:autoSpaceDN w:val="0"/>
        <w:adjustRightInd w:val="0"/>
        <w:spacing w:after="120"/>
        <w:ind w:right="240" w:rightChars="100"/>
        <w:jc w:val="both"/>
        <w:rPr>
          <w:rFonts w:ascii="Arial" w:hAnsi="Arial" w:cs="Arial"/>
          <w:color w:val="000000"/>
          <w:szCs w:val="24"/>
        </w:rPr>
      </w:pPr>
      <w:r>
        <w:rPr>
          <w:rFonts w:ascii="Arial" w:hAnsi="Arial" w:cs="Arial"/>
          <w:b/>
          <w:bCs/>
          <w:color w:val="000000"/>
          <w:szCs w:val="24"/>
        </w:rPr>
        <w:t>30.6.</w:t>
      </w:r>
      <w:r>
        <w:rPr>
          <w:rFonts w:ascii="Arial" w:hAnsi="Arial" w:cs="Arial"/>
          <w:bCs/>
          <w:color w:val="000000"/>
          <w:szCs w:val="24"/>
        </w:rPr>
        <w:t xml:space="preserve"> </w:t>
      </w:r>
      <w:r>
        <w:rPr>
          <w:rFonts w:ascii="Arial" w:hAnsi="Arial" w:cs="Arial"/>
          <w:color w:val="000000"/>
          <w:szCs w:val="24"/>
        </w:rPr>
        <w:t>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ind w:right="240" w:rightChars="100"/>
        <w:jc w:val="both"/>
        <w:rPr>
          <w:rFonts w:ascii="Arial" w:hAnsi="Arial" w:cs="Arial"/>
        </w:rPr>
      </w:pPr>
      <w:r>
        <w:rPr>
          <w:rFonts w:ascii="Arial" w:hAnsi="Arial" w:cs="Arial"/>
          <w:b/>
        </w:rPr>
        <w:t>30.7.</w:t>
      </w:r>
      <w:r>
        <w:rPr>
          <w:rFonts w:ascii="Arial" w:hAnsi="Arial" w:cs="Arial"/>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pStyle w:val="103"/>
        <w:widowControl w:val="0"/>
        <w:tabs>
          <w:tab w:val="left" w:pos="567"/>
          <w:tab w:val="left" w:pos="993"/>
          <w:tab w:val="left" w:pos="1276"/>
        </w:tabs>
        <w:spacing w:after="120"/>
        <w:ind w:left="0"/>
        <w:jc w:val="both"/>
        <w:rPr>
          <w:rFonts w:ascii="Arial" w:hAnsi="Arial" w:eastAsia="Calibri" w:cs="Arial"/>
          <w:color w:val="000000"/>
        </w:rPr>
      </w:pPr>
    </w:p>
    <w:p>
      <w:pPr>
        <w:pStyle w:val="2"/>
        <w:keepNext w:val="0"/>
        <w:widowControl w:val="0"/>
        <w:tabs>
          <w:tab w:val="left" w:pos="567"/>
          <w:tab w:val="left" w:pos="1134"/>
        </w:tabs>
        <w:spacing w:before="0" w:after="120"/>
        <w:ind w:left="0"/>
        <w:jc w:val="both"/>
        <w:rPr>
          <w:rFonts w:cs="Arial"/>
          <w:color w:val="000000"/>
        </w:rPr>
      </w:pPr>
      <w:r>
        <w:rPr>
          <w:rFonts w:cs="Arial"/>
          <w:sz w:val="20"/>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XXXI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4624;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oaJzHYAAAACQEAAA8AAAAAAAAAAQAgAAAA&#10;IgAAAGRycy9kb3ducmV2LnhtbFBLAQIUABQAAAAIAIdO4kAHMTI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XXXI – DOS ESCLARECIMENTOS E DA IMPUGNAÇÃO AO EDITAL</w:t>
                      </w:r>
                    </w:p>
                  </w:txbxContent>
                </v:textbox>
              </v:rect>
            </w:pict>
          </mc:Fallback>
        </mc:AlternateContent>
      </w:r>
    </w:p>
    <w:p>
      <w:pPr>
        <w:spacing w:before="120" w:after="120"/>
        <w:jc w:val="both"/>
        <w:rPr>
          <w:rFonts w:ascii="Arial" w:hAnsi="Arial" w:cs="Arial"/>
          <w:color w:val="000000"/>
          <w:szCs w:val="24"/>
        </w:rPr>
      </w:pPr>
      <w:r>
        <w:rPr>
          <w:rFonts w:ascii="Arial" w:hAnsi="Arial" w:cs="Arial"/>
          <w:b/>
          <w:szCs w:val="24"/>
        </w:rPr>
        <w:t xml:space="preserve">31.1 </w:t>
      </w:r>
      <w:r>
        <w:rPr>
          <w:rFonts w:ascii="Arial" w:hAnsi="Arial" w:cs="Arial"/>
          <w:szCs w:val="24"/>
        </w:rPr>
        <w:t xml:space="preserve">Até </w:t>
      </w:r>
      <w:r>
        <w:rPr>
          <w:rFonts w:ascii="Arial" w:hAnsi="Arial" w:cs="Arial"/>
          <w:color w:val="000000"/>
          <w:szCs w:val="24"/>
        </w:rPr>
        <w:t>03 (três) dias úteis antes da data designada para a abertura da sessão pública, qualquer pessoa poderá impugnar este Edital;</w:t>
      </w:r>
    </w:p>
    <w:p>
      <w:pPr>
        <w:spacing w:before="120" w:after="120"/>
        <w:jc w:val="both"/>
        <w:rPr>
          <w:rFonts w:ascii="Arial" w:hAnsi="Arial" w:cs="Arial"/>
          <w:color w:val="000000"/>
          <w:szCs w:val="24"/>
        </w:rPr>
      </w:pPr>
      <w:r>
        <w:rPr>
          <w:rFonts w:ascii="Arial" w:hAnsi="Arial" w:cs="Arial"/>
          <w:b/>
          <w:color w:val="000000"/>
          <w:szCs w:val="24"/>
        </w:rPr>
        <w:t xml:space="preserve">31.2. </w:t>
      </w:r>
      <w:r>
        <w:rPr>
          <w:rFonts w:ascii="Arial" w:hAnsi="Arial" w:cs="Arial"/>
          <w:color w:val="000000"/>
          <w:szCs w:val="24"/>
        </w:rPr>
        <w:t>A impugnação poderá ser realizada por forma eletrônica,  pelo site LICITANET, ou por petição dirigida ou protocolada no procotolo central localizado na sede da Prefeitura Municipal de Primavera do Leste.</w:t>
      </w:r>
    </w:p>
    <w:p>
      <w:pPr>
        <w:spacing w:before="120" w:after="120"/>
        <w:jc w:val="both"/>
        <w:rPr>
          <w:rFonts w:ascii="Arial" w:hAnsi="Arial" w:cs="Arial"/>
          <w:color w:val="000000"/>
          <w:szCs w:val="24"/>
        </w:rPr>
      </w:pPr>
      <w:r>
        <w:rPr>
          <w:rFonts w:ascii="Arial" w:hAnsi="Arial" w:cs="Arial"/>
          <w:b/>
          <w:color w:val="000000"/>
          <w:szCs w:val="24"/>
        </w:rPr>
        <w:t xml:space="preserve">31.3 </w:t>
      </w:r>
      <w:r>
        <w:rPr>
          <w:rFonts w:ascii="Arial" w:hAnsi="Arial" w:cs="Arial"/>
          <w:color w:val="000000"/>
          <w:szCs w:val="24"/>
        </w:rPr>
        <w:t>Caberá ao Pregoeiro decidir sobre a impugnação no prazo de até quarenta e oito horas.</w:t>
      </w:r>
    </w:p>
    <w:p>
      <w:pPr>
        <w:spacing w:before="120" w:after="120"/>
        <w:jc w:val="both"/>
        <w:rPr>
          <w:rFonts w:ascii="Arial" w:hAnsi="Arial" w:cs="Arial"/>
          <w:color w:val="000000"/>
          <w:szCs w:val="24"/>
        </w:rPr>
      </w:pPr>
      <w:r>
        <w:rPr>
          <w:rFonts w:ascii="Arial" w:hAnsi="Arial" w:cs="Arial"/>
          <w:b/>
          <w:color w:val="000000"/>
          <w:szCs w:val="24"/>
        </w:rPr>
        <w:t xml:space="preserve">31.4 </w:t>
      </w:r>
      <w:r>
        <w:rPr>
          <w:rFonts w:ascii="Arial" w:hAnsi="Arial" w:cs="Arial"/>
          <w:color w:val="000000"/>
          <w:szCs w:val="24"/>
        </w:rPr>
        <w:t>Acolhida a impugnação, será definida e publicada nova data para a realização do certame.</w:t>
      </w:r>
    </w:p>
    <w:p>
      <w:pPr>
        <w:spacing w:before="120" w:after="120"/>
        <w:jc w:val="both"/>
        <w:rPr>
          <w:rFonts w:ascii="Arial" w:hAnsi="Arial" w:cs="Arial"/>
          <w:color w:val="000000"/>
          <w:szCs w:val="24"/>
        </w:rPr>
      </w:pPr>
      <w:r>
        <w:rPr>
          <w:rFonts w:ascii="Arial" w:hAnsi="Arial" w:cs="Arial"/>
          <w:b/>
          <w:color w:val="000000"/>
          <w:szCs w:val="24"/>
        </w:rPr>
        <w:t xml:space="preserve">31.5. </w:t>
      </w:r>
      <w:r>
        <w:rPr>
          <w:rFonts w:ascii="Arial" w:hAnsi="Arial" w:cs="Arial"/>
          <w:color w:val="000000"/>
          <w:szCs w:val="24"/>
        </w:rPr>
        <w:t>Os pedidos de esclarecimentos referentes a este processo licitatório deverão ser enviados ao Pregoeiro, até 03 (três) dias úteis anteriores à data designada para abertura da sessão pública, exclusivamente por forma eletrônica, pelo site LICITANET, ou por petição dirigida ou protocolada no procotolo central localizado na sede da Prefeitura Municipal de Primavera do Leste.</w:t>
      </w:r>
    </w:p>
    <w:p>
      <w:pPr>
        <w:spacing w:before="120" w:after="120"/>
        <w:jc w:val="both"/>
        <w:rPr>
          <w:rFonts w:ascii="Arial" w:hAnsi="Arial" w:cs="Arial"/>
          <w:color w:val="000000"/>
          <w:szCs w:val="24"/>
        </w:rPr>
      </w:pPr>
      <w:r>
        <w:rPr>
          <w:rFonts w:ascii="Arial" w:hAnsi="Arial" w:cs="Arial"/>
          <w:b/>
          <w:color w:val="000000"/>
          <w:szCs w:val="24"/>
        </w:rPr>
        <w:t xml:space="preserve">31.6. </w:t>
      </w:r>
      <w:r>
        <w:rPr>
          <w:rFonts w:ascii="Arial" w:hAnsi="Arial" w:cs="Arial"/>
          <w:color w:val="000000"/>
          <w:szCs w:val="24"/>
        </w:rPr>
        <w:t>As impugnações e pedidos de esclarecimentos não suspendem os prazos previstos no certame.</w:t>
      </w:r>
    </w:p>
    <w:p>
      <w:pPr>
        <w:spacing w:before="120" w:after="120"/>
        <w:jc w:val="both"/>
        <w:rPr>
          <w:rFonts w:ascii="Arial" w:hAnsi="Arial" w:cs="Arial"/>
          <w:color w:val="000000"/>
          <w:szCs w:val="24"/>
        </w:rPr>
      </w:pPr>
      <w:r>
        <w:rPr>
          <w:rFonts w:ascii="Arial" w:hAnsi="Arial" w:cs="Arial"/>
          <w:b/>
          <w:color w:val="000000"/>
          <w:szCs w:val="24"/>
        </w:rPr>
        <w:t xml:space="preserve">31.7. </w:t>
      </w:r>
      <w:r>
        <w:rPr>
          <w:rFonts w:ascii="Arial" w:hAnsi="Arial" w:cs="Arial"/>
          <w:color w:val="000000"/>
          <w:szCs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widowControl w:val="0"/>
        <w:autoSpaceDE w:val="0"/>
        <w:autoSpaceDN w:val="0"/>
        <w:adjustRightInd w:val="0"/>
        <w:jc w:val="both"/>
        <w:rPr>
          <w:rFonts w:ascii="Arial" w:hAnsi="Arial" w:eastAsia="Calibri" w:cs="Arial"/>
        </w:rPr>
      </w:pPr>
      <w:r>
        <w:rPr>
          <w:rFonts w:ascii="Arial" w:hAnsi="Arial" w:cs="Arial"/>
          <w:sz w:val="20"/>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XXXII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5648;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vcQU/YAAAACAEA&#10;AA8AAAAAAAAAAQAgAAAAIgAAAGRycy9kb3ducmV2LnhtbFBLAQIUABQAAAAIAIdO4kAWBIPrUwIA&#10;ANo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XXXII – DISPOSIÇÕES FINAIS</w:t>
                      </w:r>
                    </w:p>
                  </w:txbxContent>
                </v:textbox>
              </v:rect>
            </w:pict>
          </mc:Fallback>
        </mc:AlternateContent>
      </w:r>
    </w:p>
    <w:p>
      <w:pPr>
        <w:spacing w:before="120" w:after="120"/>
        <w:jc w:val="both"/>
        <w:rPr>
          <w:rFonts w:ascii="Arial" w:hAnsi="Arial" w:eastAsia="Calibri" w:cs="Arial"/>
          <w:color w:val="000000"/>
        </w:rPr>
      </w:pPr>
      <w:r>
        <w:rPr>
          <w:rFonts w:ascii="Arial" w:hAnsi="Arial" w:eastAsia="Calibri" w:cs="Arial"/>
          <w:b/>
          <w:color w:val="000000"/>
        </w:rPr>
        <w:t xml:space="preserve">32.1. </w:t>
      </w:r>
      <w:r>
        <w:rPr>
          <w:rFonts w:ascii="Arial" w:hAnsi="Arial" w:eastAsia="Calibri" w:cs="Arial"/>
          <w:color w:val="000000"/>
        </w:rPr>
        <w:t>Da sessão pública do Pregão divulgar-se-á Ata no sistema eletrônico.</w:t>
      </w:r>
    </w:p>
    <w:p>
      <w:pPr>
        <w:spacing w:before="120" w:after="120"/>
        <w:jc w:val="both"/>
        <w:rPr>
          <w:rFonts w:ascii="Arial" w:hAnsi="Arial" w:eastAsia="Calibri" w:cs="Arial"/>
          <w:color w:val="000000"/>
        </w:rPr>
      </w:pPr>
      <w:r>
        <w:rPr>
          <w:rFonts w:ascii="Arial" w:hAnsi="Arial" w:eastAsia="Calibri" w:cs="Arial"/>
          <w:b/>
          <w:color w:val="000000"/>
        </w:rPr>
        <w:t xml:space="preserve">32.2. </w:t>
      </w:r>
      <w:r>
        <w:rPr>
          <w:rFonts w:ascii="Arial" w:hAnsi="Arial" w:eastAsia="Calibri"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spacing w:before="120" w:after="120"/>
        <w:jc w:val="both"/>
        <w:rPr>
          <w:rFonts w:ascii="Arial" w:hAnsi="Arial" w:eastAsia="Calibri" w:cs="Arial"/>
          <w:color w:val="000000"/>
        </w:rPr>
      </w:pPr>
      <w:r>
        <w:rPr>
          <w:rFonts w:ascii="Arial" w:hAnsi="Arial" w:eastAsia="Calibri" w:cs="Arial"/>
          <w:b/>
          <w:color w:val="000000"/>
        </w:rPr>
        <w:t xml:space="preserve">32.3. </w:t>
      </w:r>
      <w:r>
        <w:rPr>
          <w:rFonts w:ascii="Arial" w:hAnsi="Arial" w:eastAsia="Calibri" w:cs="Arial"/>
          <w:color w:val="000000"/>
        </w:rPr>
        <w:t>Todas as referências de tempo no Edital, no aviso e durante a sessão pública observarão o horário de Brasília – DF.</w:t>
      </w:r>
    </w:p>
    <w:p>
      <w:pPr>
        <w:spacing w:before="120" w:after="120"/>
        <w:jc w:val="both"/>
        <w:rPr>
          <w:rFonts w:ascii="Arial" w:hAnsi="Arial" w:eastAsia="Calibri" w:cs="Arial"/>
          <w:color w:val="000000"/>
        </w:rPr>
      </w:pPr>
      <w:r>
        <w:rPr>
          <w:rFonts w:ascii="Arial" w:hAnsi="Arial" w:eastAsia="Calibri" w:cs="Arial"/>
          <w:b/>
          <w:color w:val="000000"/>
        </w:rPr>
        <w:t xml:space="preserve">32.4. </w:t>
      </w:r>
      <w:r>
        <w:rPr>
          <w:rFonts w:ascii="Arial" w:hAnsi="Arial" w:eastAsia="Calibri" w:cs="Arial"/>
          <w:color w:val="000000"/>
        </w:rPr>
        <w:t>O licitante será responsável por todas as transações que forem efetuadas em seu nome no sistema eletrônico, assumindo como firmes e verdadeiras suas propostas e lances.</w:t>
      </w:r>
    </w:p>
    <w:p>
      <w:pPr>
        <w:spacing w:before="120" w:after="120"/>
        <w:jc w:val="both"/>
        <w:rPr>
          <w:rFonts w:ascii="Arial" w:hAnsi="Arial" w:eastAsia="Calibri" w:cs="Arial"/>
          <w:color w:val="000000"/>
        </w:rPr>
      </w:pPr>
      <w:r>
        <w:rPr>
          <w:rFonts w:ascii="Arial" w:hAnsi="Arial" w:eastAsia="Calibri" w:cs="Arial"/>
          <w:b/>
          <w:color w:val="000000"/>
        </w:rPr>
        <w:t xml:space="preserve">32.5. </w:t>
      </w:r>
      <w:r>
        <w:rPr>
          <w:rFonts w:ascii="Arial" w:hAnsi="Arial" w:eastAsia="Calibri" w:cs="Arial"/>
          <w:color w:val="00000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spacing w:before="120" w:after="120"/>
        <w:jc w:val="both"/>
        <w:rPr>
          <w:rFonts w:ascii="Arial" w:hAnsi="Arial" w:eastAsia="Calibri" w:cs="Arial"/>
          <w:color w:val="000000"/>
        </w:rPr>
      </w:pPr>
      <w:r>
        <w:rPr>
          <w:rFonts w:ascii="Arial" w:hAnsi="Arial" w:eastAsia="Calibri" w:cs="Arial"/>
          <w:b/>
          <w:color w:val="000000"/>
        </w:rPr>
        <w:t xml:space="preserve">32.6. </w:t>
      </w:r>
      <w:r>
        <w:rPr>
          <w:rFonts w:ascii="Arial" w:hAnsi="Arial" w:eastAsia="Calibri" w:cs="Arial"/>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spacing w:before="120" w:after="120"/>
        <w:jc w:val="both"/>
        <w:rPr>
          <w:rFonts w:ascii="Arial" w:hAnsi="Arial" w:eastAsia="Calibri" w:cs="Arial"/>
          <w:color w:val="000000"/>
        </w:rPr>
      </w:pPr>
      <w:r>
        <w:rPr>
          <w:rFonts w:ascii="Arial" w:hAnsi="Arial" w:eastAsia="Calibri" w:cs="Arial"/>
          <w:b/>
          <w:color w:val="000000"/>
        </w:rPr>
        <w:t xml:space="preserve">32.7. </w:t>
      </w:r>
      <w:r>
        <w:rPr>
          <w:rFonts w:ascii="Arial" w:hAnsi="Arial" w:eastAsia="Calibri" w:cs="Arial"/>
          <w:color w:val="000000"/>
        </w:rPr>
        <w:t>A homologação do resultado desta licitação não implicará direito à contratação.</w:t>
      </w:r>
    </w:p>
    <w:p>
      <w:pPr>
        <w:spacing w:before="120" w:after="120"/>
        <w:jc w:val="both"/>
        <w:rPr>
          <w:rFonts w:ascii="Arial" w:hAnsi="Arial" w:eastAsia="Calibri" w:cs="Arial"/>
          <w:color w:val="000000"/>
        </w:rPr>
      </w:pPr>
      <w:r>
        <w:rPr>
          <w:rFonts w:ascii="Arial" w:hAnsi="Arial" w:eastAsia="Calibri" w:cs="Arial"/>
          <w:b/>
          <w:color w:val="000000"/>
        </w:rPr>
        <w:t xml:space="preserve">32.8. </w:t>
      </w:r>
      <w:r>
        <w:rPr>
          <w:rFonts w:ascii="Arial" w:hAnsi="Arial" w:eastAsia="Calibri"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spacing w:before="120" w:after="120"/>
        <w:jc w:val="both"/>
        <w:rPr>
          <w:rFonts w:ascii="Arial" w:hAnsi="Arial" w:eastAsia="Calibri" w:cs="Arial"/>
          <w:color w:val="000000"/>
        </w:rPr>
      </w:pPr>
      <w:r>
        <w:rPr>
          <w:rFonts w:ascii="Arial" w:hAnsi="Arial" w:eastAsia="Calibri" w:cs="Arial"/>
          <w:b/>
          <w:color w:val="000000"/>
        </w:rPr>
        <w:t xml:space="preserve">32.9. </w:t>
      </w:r>
      <w:r>
        <w:rPr>
          <w:rFonts w:ascii="Arial" w:hAnsi="Arial" w:eastAsia="Calibri"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spacing w:before="120" w:after="120"/>
        <w:jc w:val="both"/>
        <w:rPr>
          <w:rFonts w:ascii="Arial" w:hAnsi="Arial" w:eastAsia="Calibri" w:cs="Arial"/>
          <w:color w:val="000000"/>
        </w:rPr>
      </w:pPr>
      <w:r>
        <w:rPr>
          <w:rFonts w:ascii="Arial" w:hAnsi="Arial" w:eastAsia="Calibri" w:cs="Arial"/>
          <w:b/>
          <w:color w:val="000000"/>
        </w:rPr>
        <w:t xml:space="preserve">32.10. </w:t>
      </w:r>
      <w:r>
        <w:rPr>
          <w:rFonts w:ascii="Arial" w:hAnsi="Arial" w:eastAsia="Calibri" w:cs="Arial"/>
          <w:color w:val="000000"/>
        </w:rPr>
        <w:t>Na contagem dos prazos estabelecidos neste Edital e seus Anexos, excluir-se-á o dia do início e incluir-se-á o do vencimento. Só se iniciam e vencem os prazos em dias de expediente na Administração.</w:t>
      </w:r>
    </w:p>
    <w:p>
      <w:pPr>
        <w:spacing w:before="120" w:after="120"/>
        <w:jc w:val="both"/>
        <w:rPr>
          <w:rFonts w:ascii="Arial" w:hAnsi="Arial" w:eastAsia="Calibri" w:cs="Arial"/>
          <w:color w:val="000000"/>
        </w:rPr>
      </w:pPr>
      <w:r>
        <w:rPr>
          <w:rFonts w:ascii="Arial" w:hAnsi="Arial" w:eastAsia="Calibri" w:cs="Arial"/>
          <w:b/>
          <w:color w:val="000000"/>
        </w:rPr>
        <w:t xml:space="preserve">32.11. </w:t>
      </w:r>
      <w:r>
        <w:rPr>
          <w:rFonts w:ascii="Arial" w:hAnsi="Arial" w:eastAsia="Calibri" w:cs="Arial"/>
          <w:color w:val="000000"/>
        </w:rPr>
        <w:t>O desatendimento de exigências formais não essenciais não importará o afastamento do licitante, desde que seja possível o aproveitamento do ato, observados os princípios da isonomia e do interesse público.</w:t>
      </w:r>
    </w:p>
    <w:p>
      <w:pPr>
        <w:spacing w:before="120" w:after="120"/>
        <w:jc w:val="both"/>
        <w:rPr>
          <w:rFonts w:ascii="Arial" w:hAnsi="Arial" w:eastAsia="Calibri" w:cs="Arial"/>
          <w:color w:val="000000"/>
        </w:rPr>
      </w:pPr>
      <w:r>
        <w:rPr>
          <w:rFonts w:ascii="Arial" w:hAnsi="Arial" w:eastAsia="Calibri" w:cs="Arial"/>
          <w:b/>
          <w:color w:val="000000"/>
        </w:rPr>
        <w:t xml:space="preserve">32.12. </w:t>
      </w:r>
      <w:r>
        <w:rPr>
          <w:rFonts w:ascii="Arial" w:hAnsi="Arial" w:eastAsia="Calibri" w:cs="Arial"/>
          <w:color w:val="000000"/>
        </w:rPr>
        <w:t>Em caso de divergência entre disposições deste Edital e de seus anexos ou demais peças que compõem o processo, prevalecerá as deste Edital.</w:t>
      </w:r>
    </w:p>
    <w:p>
      <w:pPr>
        <w:spacing w:before="120" w:after="120"/>
        <w:jc w:val="both"/>
        <w:rPr>
          <w:rFonts w:ascii="Arial" w:hAnsi="Arial" w:eastAsia="Calibri" w:cs="Arial"/>
          <w:color w:val="000000"/>
        </w:rPr>
      </w:pPr>
      <w:r>
        <w:rPr>
          <w:rFonts w:ascii="Arial" w:hAnsi="Arial" w:cs="Arial"/>
          <w:b/>
          <w:color w:val="000000"/>
          <w:szCs w:val="24"/>
        </w:rPr>
        <w:t xml:space="preserve">32.13. </w:t>
      </w:r>
      <w:r>
        <w:rPr>
          <w:rFonts w:ascii="Arial" w:hAnsi="Arial" w:cs="Arial"/>
          <w:color w:val="000000"/>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spacing w:before="120" w:after="120"/>
        <w:jc w:val="both"/>
        <w:rPr>
          <w:rFonts w:ascii="Arial" w:hAnsi="Arial" w:eastAsia="Calibri" w:cs="Arial"/>
          <w:color w:val="000000"/>
        </w:rPr>
      </w:pPr>
      <w:r>
        <w:rPr>
          <w:rFonts w:ascii="Arial" w:hAnsi="Arial" w:eastAsia="Calibri" w:cs="Arial"/>
          <w:b/>
          <w:color w:val="000000"/>
        </w:rPr>
        <w:t xml:space="preserve">32.14. </w:t>
      </w:r>
      <w:r>
        <w:rPr>
          <w:rFonts w:ascii="Arial" w:hAnsi="Arial" w:eastAsia="Calibri" w:cs="Arial"/>
          <w:color w:val="000000"/>
        </w:rPr>
        <w:t xml:space="preserve">O Edital está disponibilizado, na íntegra, no endereço eletrônico </w:t>
      </w:r>
      <w:r>
        <w:fldChar w:fldCharType="begin"/>
      </w:r>
      <w:r>
        <w:instrText xml:space="preserve"> HYPERLINK "http://primaveradoleste.mt.gov.br/editais.html" </w:instrText>
      </w:r>
      <w:r>
        <w:fldChar w:fldCharType="separate"/>
      </w:r>
      <w:r>
        <w:rPr>
          <w:rStyle w:val="18"/>
          <w:rFonts w:ascii="Arial" w:hAnsi="Arial" w:eastAsia="Calibri" w:cs="Arial"/>
        </w:rPr>
        <w:t>http://primaveradoleste.mt.gov.br/editais.html</w:t>
      </w:r>
      <w:r>
        <w:rPr>
          <w:rStyle w:val="18"/>
          <w:rFonts w:ascii="Arial" w:hAnsi="Arial" w:eastAsia="Calibri" w:cs="Arial"/>
        </w:rPr>
        <w:fldChar w:fldCharType="end"/>
      </w:r>
      <w:r>
        <w:rPr>
          <w:rFonts w:ascii="Arial" w:hAnsi="Arial" w:eastAsia="Calibri" w:cs="Arial"/>
        </w:rPr>
        <w:t>.</w:t>
      </w:r>
    </w:p>
    <w:p>
      <w:pPr>
        <w:spacing w:before="120" w:after="120"/>
        <w:jc w:val="both"/>
        <w:rPr>
          <w:rFonts w:ascii="Arial" w:hAnsi="Arial" w:eastAsia="Calibri" w:cs="Arial"/>
          <w:color w:val="000000"/>
        </w:rPr>
      </w:pPr>
      <w:r>
        <w:rPr>
          <w:rFonts w:ascii="Arial" w:hAnsi="Arial" w:eastAsia="Calibri" w:cs="Arial"/>
          <w:b/>
          <w:color w:val="000000"/>
        </w:rPr>
        <w:t xml:space="preserve">32.15. </w:t>
      </w:r>
      <w:r>
        <w:rPr>
          <w:rFonts w:ascii="Arial" w:hAnsi="Arial" w:eastAsia="Calibri" w:cs="Arial"/>
          <w:color w:val="000000"/>
        </w:rPr>
        <w:t>Integram este Edital, para todos os fins e efeitos, os seguintes anexos:</w:t>
      </w:r>
    </w:p>
    <w:p>
      <w:pPr>
        <w:pStyle w:val="103"/>
        <w:widowControl w:val="0"/>
        <w:tabs>
          <w:tab w:val="left" w:pos="-1276"/>
          <w:tab w:val="left" w:pos="-567"/>
          <w:tab w:val="left" w:pos="709"/>
          <w:tab w:val="left" w:pos="993"/>
        </w:tabs>
        <w:spacing w:after="120"/>
        <w:ind w:left="0"/>
        <w:jc w:val="both"/>
        <w:rPr>
          <w:rFonts w:ascii="Arial" w:hAnsi="Arial" w:eastAsia="Calibri" w:cs="Arial"/>
        </w:rPr>
      </w:pPr>
      <w:r>
        <w:rPr>
          <w:rFonts w:ascii="Arial" w:hAnsi="Arial" w:eastAsia="Calibri" w:cs="Arial"/>
          <w:b/>
        </w:rPr>
        <w:t>Anexo I</w:t>
      </w:r>
      <w:r>
        <w:rPr>
          <w:rFonts w:ascii="Arial" w:hAnsi="Arial" w:eastAsia="Calibri" w:cs="Arial"/>
        </w:rPr>
        <w:t xml:space="preserve"> - Termo de Referência;</w:t>
      </w:r>
    </w:p>
    <w:p>
      <w:pPr>
        <w:pStyle w:val="103"/>
        <w:widowControl w:val="0"/>
        <w:tabs>
          <w:tab w:val="left" w:pos="709"/>
          <w:tab w:val="left" w:pos="993"/>
          <w:tab w:val="left" w:pos="1276"/>
          <w:tab w:val="left" w:pos="1418"/>
          <w:tab w:val="left" w:pos="2268"/>
        </w:tabs>
        <w:spacing w:after="120"/>
        <w:ind w:left="0"/>
        <w:jc w:val="both"/>
        <w:rPr>
          <w:rFonts w:ascii="Arial" w:hAnsi="Arial" w:eastAsia="Calibri" w:cs="Arial"/>
        </w:rPr>
      </w:pPr>
      <w:r>
        <w:rPr>
          <w:rFonts w:ascii="Arial" w:hAnsi="Arial" w:eastAsia="Calibri" w:cs="Arial"/>
          <w:b/>
        </w:rPr>
        <w:t>Anexo I.A</w:t>
      </w:r>
      <w:r>
        <w:rPr>
          <w:rFonts w:ascii="Arial" w:hAnsi="Arial" w:eastAsia="Calibri" w:cs="Arial"/>
        </w:rPr>
        <w:t xml:space="preserve">  – Modelo de Planilha de composição dos custos com mão-de-obra;</w:t>
      </w:r>
    </w:p>
    <w:p>
      <w:pPr>
        <w:pStyle w:val="103"/>
        <w:widowControl w:val="0"/>
        <w:tabs>
          <w:tab w:val="left" w:pos="709"/>
          <w:tab w:val="left" w:pos="993"/>
          <w:tab w:val="left" w:pos="1276"/>
          <w:tab w:val="left" w:pos="1418"/>
          <w:tab w:val="left" w:pos="2268"/>
        </w:tabs>
        <w:spacing w:after="120"/>
        <w:ind w:left="0"/>
        <w:jc w:val="both"/>
        <w:rPr>
          <w:rFonts w:ascii="Arial" w:hAnsi="Arial" w:eastAsia="Calibri" w:cs="Arial"/>
          <w:b/>
        </w:rPr>
      </w:pPr>
      <w:r>
        <w:rPr>
          <w:rFonts w:ascii="Arial" w:hAnsi="Arial" w:eastAsia="Calibri" w:cs="Arial"/>
          <w:b/>
        </w:rPr>
        <w:t xml:space="preserve">Anexo I.B </w:t>
      </w:r>
      <w:r>
        <w:rPr>
          <w:rFonts w:ascii="Arial" w:hAnsi="Arial" w:eastAsia="Calibri" w:cs="Arial"/>
        </w:rPr>
        <w:t>– Modelo de planilha para composição dos custos com veículos e equipamentos;</w:t>
      </w:r>
    </w:p>
    <w:p>
      <w:pPr>
        <w:pStyle w:val="103"/>
        <w:widowControl w:val="0"/>
        <w:tabs>
          <w:tab w:val="left" w:pos="709"/>
          <w:tab w:val="left" w:pos="993"/>
          <w:tab w:val="left" w:pos="1276"/>
          <w:tab w:val="left" w:pos="1418"/>
          <w:tab w:val="left" w:pos="2268"/>
        </w:tabs>
        <w:spacing w:after="120"/>
        <w:ind w:left="0"/>
        <w:jc w:val="both"/>
        <w:rPr>
          <w:rFonts w:ascii="Arial" w:hAnsi="Arial" w:eastAsia="Calibri" w:cs="Arial"/>
        </w:rPr>
      </w:pPr>
      <w:r>
        <w:rPr>
          <w:rFonts w:ascii="Arial" w:hAnsi="Arial" w:eastAsia="Calibri" w:cs="Arial"/>
          <w:b/>
        </w:rPr>
        <w:t xml:space="preserve">Anexo II </w:t>
      </w:r>
      <w:r>
        <w:rPr>
          <w:rFonts w:ascii="Arial" w:hAnsi="Arial" w:eastAsia="Calibri" w:cs="Arial"/>
        </w:rPr>
        <w:t>– Modelo de Proposta de Preços;</w:t>
      </w:r>
    </w:p>
    <w:p>
      <w:pPr>
        <w:pStyle w:val="103"/>
        <w:widowControl w:val="0"/>
        <w:tabs>
          <w:tab w:val="left" w:pos="709"/>
          <w:tab w:val="left" w:pos="993"/>
          <w:tab w:val="left" w:pos="1276"/>
          <w:tab w:val="left" w:pos="1418"/>
          <w:tab w:val="left" w:pos="2268"/>
        </w:tabs>
        <w:spacing w:after="120"/>
        <w:ind w:left="0"/>
        <w:jc w:val="both"/>
        <w:rPr>
          <w:rFonts w:ascii="Arial" w:hAnsi="Arial" w:eastAsia="Calibri" w:cs="Arial"/>
        </w:rPr>
      </w:pPr>
      <w:r>
        <w:rPr>
          <w:rFonts w:ascii="Arial" w:hAnsi="Arial" w:eastAsia="Calibri" w:cs="Arial"/>
          <w:b/>
        </w:rPr>
        <w:t>Anexo III</w:t>
      </w:r>
      <w:r>
        <w:rPr>
          <w:rFonts w:ascii="Arial" w:hAnsi="Arial" w:eastAsia="Calibri" w:cs="Arial"/>
        </w:rPr>
        <w:t xml:space="preserve"> – Modelo Declaração Requisitos Legais;</w:t>
      </w:r>
    </w:p>
    <w:p>
      <w:pPr>
        <w:pStyle w:val="103"/>
        <w:widowControl w:val="0"/>
        <w:tabs>
          <w:tab w:val="left" w:pos="709"/>
          <w:tab w:val="left" w:pos="993"/>
          <w:tab w:val="left" w:pos="1276"/>
          <w:tab w:val="left" w:pos="1418"/>
          <w:tab w:val="left" w:pos="2268"/>
        </w:tabs>
        <w:spacing w:after="120"/>
        <w:ind w:left="0"/>
        <w:jc w:val="both"/>
        <w:rPr>
          <w:rFonts w:ascii="Arial" w:hAnsi="Arial" w:eastAsia="Calibri" w:cs="Arial"/>
        </w:rPr>
      </w:pPr>
      <w:r>
        <w:rPr>
          <w:rFonts w:ascii="Arial" w:hAnsi="Arial" w:eastAsia="Calibri" w:cs="Arial"/>
          <w:b/>
        </w:rPr>
        <w:t xml:space="preserve">Anexo IV </w:t>
      </w:r>
      <w:r>
        <w:rPr>
          <w:rFonts w:ascii="Arial" w:hAnsi="Arial" w:eastAsia="Calibri" w:cs="Arial"/>
        </w:rPr>
        <w:t>– Modelo Declaração Superveniência de Fatos Impeditivos;</w:t>
      </w:r>
    </w:p>
    <w:p>
      <w:pPr>
        <w:pStyle w:val="103"/>
        <w:widowControl w:val="0"/>
        <w:tabs>
          <w:tab w:val="left" w:pos="709"/>
          <w:tab w:val="left" w:pos="993"/>
          <w:tab w:val="left" w:pos="1276"/>
          <w:tab w:val="left" w:pos="1418"/>
          <w:tab w:val="left" w:pos="2268"/>
        </w:tabs>
        <w:spacing w:after="120"/>
        <w:ind w:left="0"/>
        <w:jc w:val="both"/>
        <w:rPr>
          <w:rFonts w:ascii="Arial" w:hAnsi="Arial" w:eastAsia="Calibri" w:cs="Arial"/>
        </w:rPr>
      </w:pPr>
      <w:r>
        <w:rPr>
          <w:rFonts w:ascii="Arial" w:hAnsi="Arial" w:eastAsia="Calibri" w:cs="Arial"/>
          <w:b/>
        </w:rPr>
        <w:t xml:space="preserve">Anexo V </w:t>
      </w:r>
      <w:r>
        <w:rPr>
          <w:rFonts w:ascii="Arial" w:hAnsi="Arial" w:eastAsia="Calibri" w:cs="Arial"/>
        </w:rPr>
        <w:t>– Requerimento Tratamento Diferenciado ME/EPP;</w:t>
      </w:r>
    </w:p>
    <w:p>
      <w:pPr>
        <w:pStyle w:val="103"/>
        <w:widowControl w:val="0"/>
        <w:tabs>
          <w:tab w:val="left" w:pos="709"/>
          <w:tab w:val="left" w:pos="993"/>
          <w:tab w:val="left" w:pos="1276"/>
          <w:tab w:val="left" w:pos="1418"/>
          <w:tab w:val="left" w:pos="1560"/>
          <w:tab w:val="left" w:pos="2268"/>
          <w:tab w:val="left" w:pos="2410"/>
        </w:tabs>
        <w:spacing w:after="120"/>
        <w:ind w:left="0"/>
        <w:jc w:val="both"/>
        <w:rPr>
          <w:rFonts w:ascii="Arial" w:hAnsi="Arial" w:eastAsia="Calibri" w:cs="Arial"/>
        </w:rPr>
      </w:pPr>
      <w:r>
        <w:rPr>
          <w:rFonts w:ascii="Arial" w:hAnsi="Arial" w:eastAsia="Calibri" w:cs="Arial"/>
          <w:b/>
        </w:rPr>
        <w:t>Anexo VI</w:t>
      </w:r>
      <w:r>
        <w:rPr>
          <w:rFonts w:ascii="Arial" w:hAnsi="Arial" w:eastAsia="Calibri" w:cs="Arial"/>
        </w:rPr>
        <w:t xml:space="preserve"> – Modelo Atestado (Declaração) Capacidade Técnica; </w:t>
      </w:r>
    </w:p>
    <w:p>
      <w:pPr>
        <w:pStyle w:val="103"/>
        <w:widowControl w:val="0"/>
        <w:tabs>
          <w:tab w:val="left" w:pos="709"/>
          <w:tab w:val="left" w:pos="993"/>
          <w:tab w:val="left" w:pos="1276"/>
          <w:tab w:val="left" w:pos="1418"/>
          <w:tab w:val="left" w:pos="1560"/>
          <w:tab w:val="left" w:pos="2268"/>
          <w:tab w:val="left" w:pos="2410"/>
        </w:tabs>
        <w:spacing w:after="120"/>
        <w:ind w:left="0"/>
        <w:jc w:val="both"/>
        <w:rPr>
          <w:rFonts w:ascii="Arial" w:hAnsi="Arial" w:eastAsia="Calibri" w:cs="Arial"/>
        </w:rPr>
      </w:pPr>
      <w:r>
        <w:rPr>
          <w:rFonts w:ascii="Arial" w:hAnsi="Arial" w:eastAsia="Calibri" w:cs="Arial"/>
          <w:b/>
        </w:rPr>
        <w:t xml:space="preserve">Anexo  VII </w:t>
      </w:r>
      <w:r>
        <w:rPr>
          <w:rFonts w:ascii="Arial" w:hAnsi="Arial" w:eastAsia="Calibri" w:cs="Arial"/>
        </w:rPr>
        <w:t>- Minuta de Visita</w:t>
      </w:r>
    </w:p>
    <w:p>
      <w:pPr>
        <w:pStyle w:val="103"/>
        <w:widowControl w:val="0"/>
        <w:tabs>
          <w:tab w:val="left" w:pos="709"/>
          <w:tab w:val="left" w:pos="993"/>
          <w:tab w:val="left" w:pos="1276"/>
          <w:tab w:val="left" w:pos="1418"/>
          <w:tab w:val="left" w:pos="1560"/>
          <w:tab w:val="left" w:pos="2268"/>
          <w:tab w:val="left" w:pos="2410"/>
        </w:tabs>
        <w:spacing w:after="120"/>
        <w:ind w:left="0"/>
        <w:jc w:val="both"/>
        <w:rPr>
          <w:rFonts w:ascii="Arial" w:hAnsi="Arial" w:eastAsia="Calibri" w:cs="Arial"/>
        </w:rPr>
      </w:pPr>
      <w:r>
        <w:rPr>
          <w:rFonts w:ascii="Arial" w:hAnsi="Arial" w:eastAsia="Calibri" w:cs="Arial"/>
          <w:b/>
        </w:rPr>
        <w:t xml:space="preserve">Anexo VIII </w:t>
      </w:r>
      <w:r>
        <w:rPr>
          <w:rFonts w:ascii="Arial" w:hAnsi="Arial" w:eastAsia="Calibri" w:cs="Arial"/>
        </w:rPr>
        <w:t>– Minuta da ATA de Registro de Preços.</w:t>
      </w:r>
    </w:p>
    <w:p>
      <w:pPr>
        <w:pStyle w:val="103"/>
        <w:widowControl w:val="0"/>
        <w:tabs>
          <w:tab w:val="left" w:pos="709"/>
          <w:tab w:val="left" w:pos="993"/>
          <w:tab w:val="left" w:pos="1276"/>
          <w:tab w:val="left" w:pos="1418"/>
          <w:tab w:val="left" w:pos="1560"/>
          <w:tab w:val="left" w:pos="2268"/>
          <w:tab w:val="left" w:pos="2410"/>
        </w:tabs>
        <w:spacing w:after="120"/>
        <w:ind w:left="0"/>
        <w:jc w:val="both"/>
        <w:rPr>
          <w:rFonts w:ascii="Arial" w:hAnsi="Arial" w:eastAsia="Calibri" w:cs="Arial"/>
        </w:rPr>
      </w:pPr>
      <w:r>
        <w:rPr>
          <w:rFonts w:ascii="Arial" w:hAnsi="Arial" w:eastAsia="Calibri" w:cs="Arial"/>
          <w:b/>
        </w:rPr>
        <w:t xml:space="preserve">Anexo IX </w:t>
      </w:r>
      <w:r>
        <w:rPr>
          <w:rFonts w:ascii="Arial" w:hAnsi="Arial" w:eastAsia="Calibri" w:cs="Arial"/>
        </w:rPr>
        <w:t>– Minuta do Contrato.</w:t>
      </w:r>
    </w:p>
    <w:p>
      <w:pPr>
        <w:pStyle w:val="103"/>
        <w:widowControl w:val="0"/>
        <w:tabs>
          <w:tab w:val="left" w:pos="709"/>
          <w:tab w:val="left" w:pos="993"/>
          <w:tab w:val="left" w:pos="1276"/>
          <w:tab w:val="left" w:pos="1418"/>
          <w:tab w:val="left" w:pos="1560"/>
          <w:tab w:val="left" w:pos="2268"/>
          <w:tab w:val="left" w:pos="2410"/>
        </w:tabs>
        <w:spacing w:after="120"/>
        <w:ind w:left="0"/>
        <w:jc w:val="both"/>
        <w:rPr>
          <w:rFonts w:ascii="Arial" w:hAnsi="Arial" w:eastAsia="Calibri" w:cs="Arial"/>
        </w:rPr>
      </w:pPr>
    </w:p>
    <w:p>
      <w:pPr>
        <w:pStyle w:val="2"/>
        <w:keepNext w:val="0"/>
        <w:widowControl w:val="0"/>
        <w:tabs>
          <w:tab w:val="left" w:pos="1134"/>
        </w:tabs>
        <w:spacing w:before="0" w:after="120"/>
        <w:ind w:left="0"/>
        <w:jc w:val="both"/>
        <w:rPr>
          <w:rFonts w:cs="Arial"/>
          <w:color w:val="000000"/>
        </w:rPr>
      </w:pPr>
      <w:r>
        <w:rPr>
          <w:rFonts w:cs="Arial"/>
          <w:sz w:val="20"/>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eastAsia="Calibri"/>
                                <w:b/>
                              </w:rPr>
                            </w:pPr>
                            <w:r>
                              <w:rPr>
                                <w:rFonts w:ascii="Arial" w:hAnsi="Arial" w:eastAsia="Calibri"/>
                                <w:b/>
                              </w:rPr>
                              <w:t>SEÇÃO XXIV – DO FORO</w:t>
                            </w:r>
                          </w:p>
                        </w:txbxContent>
                      </wps:txbx>
                      <wps:bodyPr wrap="square" upright="1"/>
                    </wps:wsp>
                  </a:graphicData>
                </a:graphic>
              </wp:anchor>
            </w:drawing>
          </mc:Choice>
          <mc:Fallback>
            <w:pict>
              <v:rect id="Retângulo 26" o:spid="_x0000_s1026" o:spt="1" style="position:absolute;left:0pt;margin-left:-2.55pt;margin-top:-8.45pt;height:23.25pt;width:492pt;z-index:251676672;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QEZZ2AAAAAkBAAAPAAAAAAAAAAEAIAAA&#10;ACIAAABkcnMvZG93bnJldi54bWxQSwECFAAUAAAACACHTuJAmwCnr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jc w:val="center"/>
                        <w:rPr>
                          <w:rFonts w:ascii="Arial" w:hAnsi="Arial" w:eastAsia="Calibri"/>
                          <w:b/>
                        </w:rPr>
                      </w:pPr>
                      <w:r>
                        <w:rPr>
                          <w:rFonts w:ascii="Arial" w:hAnsi="Arial" w:eastAsia="Calibri"/>
                          <w:b/>
                        </w:rPr>
                        <w:t>SEÇÃO XXIV – DO FORO</w:t>
                      </w:r>
                    </w:p>
                  </w:txbxContent>
                </v:textbox>
              </v:rect>
            </w:pict>
          </mc:Fallback>
        </mc:AlternateContent>
      </w:r>
    </w:p>
    <w:p>
      <w:pPr>
        <w:pStyle w:val="103"/>
        <w:widowControl w:val="0"/>
        <w:tabs>
          <w:tab w:val="left" w:pos="142"/>
        </w:tabs>
        <w:spacing w:after="120"/>
        <w:ind w:left="0"/>
        <w:jc w:val="both"/>
        <w:rPr>
          <w:rFonts w:ascii="Arial" w:hAnsi="Arial" w:eastAsia="Calibri" w:cs="Arial"/>
          <w:color w:val="000000"/>
        </w:rPr>
      </w:pPr>
      <w:r>
        <w:rPr>
          <w:rFonts w:ascii="Arial" w:hAnsi="Arial" w:eastAsia="Calibri" w:cs="Arial"/>
          <w:b/>
          <w:color w:val="000000"/>
        </w:rPr>
        <w:t>34.1.</w:t>
      </w:r>
      <w:r>
        <w:rPr>
          <w:rFonts w:ascii="Arial" w:hAnsi="Arial" w:eastAsia="Calibri" w:cs="Arial"/>
          <w:color w:val="000000"/>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03"/>
        <w:widowControl w:val="0"/>
        <w:tabs>
          <w:tab w:val="left" w:pos="142"/>
        </w:tabs>
        <w:spacing w:after="120"/>
        <w:ind w:left="0"/>
        <w:jc w:val="both"/>
        <w:rPr>
          <w:rFonts w:ascii="Arial" w:hAnsi="Arial" w:eastAsia="Calibri" w:cs="Arial"/>
          <w:color w:val="000000"/>
        </w:rPr>
      </w:pPr>
    </w:p>
    <w:p>
      <w:pPr>
        <w:widowControl w:val="0"/>
        <w:ind w:right="-1"/>
        <w:jc w:val="right"/>
        <w:outlineLvl w:val="0"/>
        <w:rPr>
          <w:rFonts w:ascii="Arial" w:hAnsi="Arial" w:cs="Arial"/>
          <w:color w:val="000000"/>
          <w:szCs w:val="24"/>
        </w:rPr>
      </w:pPr>
      <w:r>
        <w:rPr>
          <w:rFonts w:ascii="Arial" w:hAnsi="Arial" w:cs="Arial"/>
          <w:color w:val="000000"/>
          <w:szCs w:val="24"/>
        </w:rPr>
        <w:t>Primavera do Leste - MT, 10 de janeiro de 2024</w:t>
      </w:r>
    </w:p>
    <w:p>
      <w:pPr>
        <w:widowControl w:val="0"/>
        <w:ind w:right="-1"/>
        <w:jc w:val="right"/>
        <w:outlineLvl w:val="0"/>
        <w:rPr>
          <w:rFonts w:ascii="Arial" w:hAnsi="Arial" w:cs="Arial"/>
          <w:color w:val="000000"/>
          <w:szCs w:val="24"/>
        </w:rPr>
      </w:pPr>
    </w:p>
    <w:p>
      <w:pPr>
        <w:widowControl w:val="0"/>
        <w:ind w:right="-1"/>
        <w:jc w:val="right"/>
        <w:outlineLvl w:val="0"/>
        <w:rPr>
          <w:rFonts w:ascii="Arial" w:hAnsi="Arial" w:cs="Arial"/>
          <w:color w:val="000000"/>
          <w:szCs w:val="24"/>
        </w:rPr>
      </w:pPr>
    </w:p>
    <w:p>
      <w:pPr>
        <w:widowControl w:val="0"/>
        <w:ind w:right="-1"/>
        <w:jc w:val="right"/>
        <w:outlineLvl w:val="0"/>
        <w:rPr>
          <w:rFonts w:ascii="Arial" w:hAnsi="Arial" w:cs="Arial"/>
          <w:color w:val="000000"/>
          <w:szCs w:val="24"/>
        </w:rPr>
      </w:pPr>
    </w:p>
    <w:p>
      <w:pPr>
        <w:widowControl w:val="0"/>
        <w:ind w:right="-1"/>
        <w:jc w:val="right"/>
        <w:outlineLvl w:val="0"/>
        <w:rPr>
          <w:rFonts w:ascii="Arial" w:hAnsi="Arial" w:cs="Arial"/>
          <w:color w:val="000000"/>
          <w:szCs w:val="24"/>
        </w:rPr>
      </w:pPr>
    </w:p>
    <w:p>
      <w:pPr>
        <w:widowControl w:val="0"/>
        <w:ind w:right="-1"/>
        <w:jc w:val="right"/>
        <w:outlineLvl w:val="0"/>
        <w:rPr>
          <w:rFonts w:ascii="Arial" w:hAnsi="Arial" w:cs="Arial"/>
          <w:color w:val="000000"/>
          <w:szCs w:val="24"/>
        </w:rPr>
      </w:pPr>
    </w:p>
    <w:p>
      <w:pPr>
        <w:jc w:val="center"/>
        <w:rPr>
          <w:rFonts w:ascii="Arial" w:hAnsi="Arial" w:cs="Arial"/>
          <w:szCs w:val="24"/>
        </w:rPr>
      </w:pPr>
      <w:r>
        <w:rPr>
          <w:rFonts w:ascii="Arial" w:hAnsi="Arial" w:cs="Arial"/>
          <w:szCs w:val="24"/>
        </w:rPr>
        <w:t>Adriano Conceição de Paula</w:t>
      </w:r>
    </w:p>
    <w:p>
      <w:pPr>
        <w:jc w:val="center"/>
        <w:rPr>
          <w:rFonts w:ascii="Arial" w:hAnsi="Arial" w:cs="Arial"/>
          <w:b/>
          <w:bCs/>
          <w:szCs w:val="24"/>
        </w:rPr>
      </w:pPr>
      <w:r>
        <w:rPr>
          <w:rFonts w:ascii="Arial" w:hAnsi="Arial" w:cs="Arial"/>
          <w:b/>
          <w:bCs/>
          <w:szCs w:val="24"/>
        </w:rPr>
        <w:t>Superintendente de Licitação</w:t>
      </w:r>
    </w:p>
    <w:p>
      <w:pPr>
        <w:jc w:val="center"/>
        <w:rPr>
          <w:rFonts w:ascii="Arial" w:hAnsi="Arial" w:cs="Arial"/>
          <w:b/>
          <w:bCs/>
          <w:szCs w:val="24"/>
        </w:rPr>
      </w:pPr>
      <w:r>
        <w:rPr>
          <w:rFonts w:ascii="Arial" w:hAnsi="Arial" w:cs="Arial"/>
          <w:b/>
          <w:bCs/>
          <w:szCs w:val="24"/>
        </w:rPr>
        <w:t>Portaria nº 0613/2023</w:t>
      </w:r>
    </w:p>
    <w:p>
      <w:pPr>
        <w:spacing w:after="120"/>
        <w:jc w:val="both"/>
        <w:rPr>
          <w:rFonts w:ascii="Arial" w:hAnsi="Arial" w:cs="Arial"/>
          <w:bCs/>
          <w:color w:val="000000"/>
          <w:szCs w:val="24"/>
        </w:rPr>
      </w:pPr>
    </w:p>
    <w:p>
      <w:pPr>
        <w:widowControl w:val="0"/>
        <w:ind w:left="-340" w:right="240" w:rightChars="100"/>
        <w:jc w:val="center"/>
        <w:rPr>
          <w:rFonts w:ascii="Arial" w:hAnsi="Arial" w:cs="Arial"/>
          <w:sz w:val="22"/>
          <w:szCs w:val="24"/>
        </w:rPr>
      </w:pPr>
    </w:p>
    <w:p>
      <w:pPr>
        <w:ind w:left="993"/>
        <w:rPr>
          <w:rFonts w:ascii="Arial" w:hAnsi="Arial" w:cs="Arial"/>
          <w:color w:val="000000"/>
          <w:sz w:val="22"/>
          <w:szCs w:val="22"/>
        </w:rPr>
      </w:pPr>
    </w:p>
    <w:p>
      <w:pPr>
        <w:widowControl w:val="0"/>
        <w:jc w:val="center"/>
        <w:rPr>
          <w:rFonts w:ascii="Arial" w:hAnsi="Arial" w:cs="Arial"/>
          <w:b/>
          <w:bCs/>
          <w:szCs w:val="24"/>
        </w:rPr>
      </w:pPr>
      <w:r>
        <w:rPr>
          <w:rFonts w:ascii="Arial" w:hAnsi="Arial" w:cs="Arial"/>
          <w:b/>
          <w:bCs/>
          <w:szCs w:val="24"/>
        </w:rPr>
        <w:t>Antonio Francisco Batista Filho</w:t>
      </w:r>
    </w:p>
    <w:p>
      <w:pPr>
        <w:widowControl w:val="0"/>
        <w:jc w:val="center"/>
        <w:rPr>
          <w:rFonts w:ascii="Arial" w:hAnsi="Arial" w:cs="Arial"/>
          <w:b/>
          <w:bCs/>
          <w:szCs w:val="24"/>
        </w:rPr>
      </w:pPr>
      <w:r>
        <w:rPr>
          <w:rFonts w:ascii="Arial" w:hAnsi="Arial" w:cs="Arial"/>
          <w:b/>
          <w:bCs/>
          <w:szCs w:val="24"/>
        </w:rPr>
        <w:t>Secretário Municipal de Agriculltura e Meio Ambiente</w:t>
      </w:r>
    </w:p>
    <w:p>
      <w:pPr>
        <w:widowControl w:val="0"/>
        <w:jc w:val="center"/>
        <w:rPr>
          <w:rFonts w:ascii="Arial" w:hAnsi="Arial" w:cs="Arial"/>
          <w:szCs w:val="24"/>
        </w:rPr>
      </w:pPr>
      <w:r>
        <w:rPr>
          <w:rFonts w:ascii="Arial" w:hAnsi="Arial" w:cs="Arial"/>
          <w:szCs w:val="24"/>
        </w:rPr>
        <w:t>Portaria nº 655/2021</w:t>
      </w:r>
    </w:p>
    <w:p>
      <w:pPr>
        <w:widowControl w:val="0"/>
        <w:spacing w:before="120" w:after="120"/>
        <w:ind w:left="-480" w:leftChars="-200"/>
        <w:jc w:val="center"/>
        <w:rPr>
          <w:rFonts w:ascii="Arial" w:hAnsi="Arial" w:eastAsia="Calibri" w:cs="Arial"/>
          <w:bCs/>
          <w:color w:val="000000"/>
        </w:rPr>
      </w:pPr>
    </w:p>
    <w:p>
      <w:pPr>
        <w:widowControl w:val="0"/>
        <w:spacing w:before="120" w:after="120"/>
        <w:jc w:val="center"/>
        <w:rPr>
          <w:rFonts w:ascii="Arial" w:hAnsi="Arial" w:eastAsia="Calibri" w:cs="Arial"/>
          <w:b/>
          <w:color w:val="000000"/>
        </w:rPr>
      </w:pPr>
    </w:p>
    <w:p>
      <w:pPr>
        <w:widowControl w:val="0"/>
        <w:spacing w:before="120" w:after="120"/>
        <w:jc w:val="center"/>
        <w:rPr>
          <w:rFonts w:ascii="Arial" w:hAnsi="Arial" w:eastAsia="Calibri" w:cs="Arial"/>
          <w:b/>
          <w:color w:val="000000"/>
        </w:rPr>
      </w:pPr>
    </w:p>
    <w:p>
      <w:pPr>
        <w:widowControl w:val="0"/>
        <w:spacing w:before="120" w:after="120"/>
        <w:jc w:val="both"/>
        <w:rPr>
          <w:rFonts w:ascii="Arial" w:hAnsi="Arial" w:eastAsia="Calibri" w:cs="Arial"/>
          <w:b/>
          <w:color w:val="000000"/>
        </w:rPr>
      </w:pPr>
    </w:p>
    <w:p>
      <w:pPr>
        <w:widowControl w:val="0"/>
        <w:spacing w:before="120" w:after="120"/>
        <w:jc w:val="both"/>
        <w:rPr>
          <w:rFonts w:ascii="Arial" w:hAnsi="Arial" w:eastAsia="Calibri" w:cs="Arial"/>
          <w:b/>
          <w:color w:val="000000"/>
        </w:rPr>
      </w:pPr>
    </w:p>
    <w:p>
      <w:pPr>
        <w:widowControl w:val="0"/>
        <w:spacing w:before="120" w:after="120"/>
        <w:jc w:val="both"/>
        <w:rPr>
          <w:rFonts w:ascii="Arial" w:hAnsi="Arial" w:eastAsia="Calibri" w:cs="Arial"/>
          <w:b/>
          <w:color w:val="000000"/>
        </w:rPr>
      </w:pPr>
    </w:p>
    <w:p>
      <w:pPr>
        <w:widowControl w:val="0"/>
        <w:spacing w:before="120" w:after="120"/>
        <w:jc w:val="both"/>
        <w:rPr>
          <w:rFonts w:ascii="Arial" w:hAnsi="Arial" w:eastAsia="Calibri" w:cs="Arial"/>
          <w:b/>
          <w:color w:val="000000"/>
        </w:rPr>
      </w:pPr>
    </w:p>
    <w:p>
      <w:pPr>
        <w:widowControl w:val="0"/>
        <w:spacing w:before="120" w:after="120"/>
        <w:jc w:val="both"/>
        <w:rPr>
          <w:rFonts w:ascii="Arial" w:hAnsi="Arial" w:eastAsia="Calibri" w:cs="Arial"/>
          <w:b/>
          <w:color w:val="000000"/>
        </w:rPr>
      </w:pPr>
    </w:p>
    <w:p>
      <w:pPr>
        <w:widowControl w:val="0"/>
        <w:spacing w:before="120" w:after="120"/>
        <w:jc w:val="both"/>
        <w:rPr>
          <w:rFonts w:ascii="Arial" w:hAnsi="Arial" w:eastAsia="Calibri" w:cs="Arial"/>
          <w:b/>
          <w:color w:val="000000"/>
        </w:rPr>
      </w:pPr>
    </w:p>
    <w:p>
      <w:pPr>
        <w:widowControl w:val="0"/>
        <w:spacing w:before="120" w:after="120"/>
        <w:jc w:val="both"/>
        <w:rPr>
          <w:rFonts w:ascii="Arial" w:hAnsi="Arial" w:eastAsia="Calibri" w:cs="Arial"/>
          <w:b/>
          <w:color w:val="000000"/>
        </w:rPr>
      </w:pPr>
    </w:p>
    <w:p>
      <w:pPr>
        <w:widowControl w:val="0"/>
        <w:spacing w:before="120" w:after="120"/>
        <w:jc w:val="center"/>
        <w:rPr>
          <w:rFonts w:ascii="Arial" w:hAnsi="Arial" w:eastAsia="Calibri" w:cs="Arial"/>
          <w:b/>
          <w:color w:val="FF0000"/>
        </w:rPr>
      </w:pPr>
      <w:r>
        <w:rPr>
          <w:rFonts w:ascii="Arial" w:hAnsi="Arial" w:eastAsia="Calibri" w:cs="Arial"/>
          <w:b/>
          <w:color w:val="000000"/>
        </w:rPr>
        <w:t xml:space="preserve">PREGÃO ELETRÔNICO </w:t>
      </w:r>
      <w:r>
        <w:rPr>
          <w:rFonts w:ascii="Arial" w:hAnsi="Arial" w:eastAsia="Calibri" w:cs="Arial"/>
          <w:b/>
        </w:rPr>
        <w:t>Nº 141/2023</w:t>
      </w:r>
    </w:p>
    <w:p>
      <w:pPr>
        <w:widowControl w:val="0"/>
        <w:spacing w:before="120" w:after="120"/>
        <w:jc w:val="center"/>
        <w:rPr>
          <w:rFonts w:ascii="Arial" w:hAnsi="Arial"/>
          <w:b/>
          <w:sz w:val="28"/>
          <w:szCs w:val="24"/>
        </w:rPr>
      </w:pPr>
      <w:r>
        <w:rPr>
          <w:rFonts w:ascii="Arial" w:hAnsi="Arial" w:eastAsia="Calibri" w:cs="Arial"/>
          <w:b/>
          <w:color w:val="000000"/>
        </w:rPr>
        <w:t>ANEXO I</w:t>
      </w:r>
    </w:p>
    <w:p>
      <w:pPr>
        <w:widowControl w:val="0"/>
        <w:autoSpaceDE w:val="0"/>
        <w:autoSpaceDN w:val="0"/>
        <w:adjustRightInd w:val="0"/>
        <w:jc w:val="center"/>
        <w:rPr>
          <w:rFonts w:ascii="Arial" w:hAnsi="Arial"/>
          <w:b/>
          <w:color w:val="FF0000"/>
          <w:sz w:val="28"/>
          <w:szCs w:val="24"/>
        </w:rPr>
      </w:pPr>
    </w:p>
    <w:p>
      <w:pPr>
        <w:widowControl w:val="0"/>
        <w:autoSpaceDE w:val="0"/>
        <w:autoSpaceDN w:val="0"/>
        <w:adjustRightInd w:val="0"/>
        <w:jc w:val="center"/>
        <w:rPr>
          <w:rFonts w:ascii="Arial" w:hAnsi="Arial"/>
          <w:b/>
          <w:sz w:val="28"/>
          <w:szCs w:val="24"/>
        </w:rPr>
      </w:pPr>
      <w:r>
        <w:rPr>
          <w:sz w:val="20"/>
          <w:szCs w:val="24"/>
        </w:rPr>
        <mc:AlternateContent>
          <mc:Choice Requires="wps">
            <w:drawing>
              <wp:anchor distT="0" distB="0" distL="114300" distR="114300" simplePos="0" relativeHeight="251695104" behindDoc="0" locked="0" layoutInCell="1" allowOverlap="1">
                <wp:simplePos x="0" y="0"/>
                <wp:positionH relativeFrom="column">
                  <wp:posOffset>-66040</wp:posOffset>
                </wp:positionH>
                <wp:positionV relativeFrom="paragraph">
                  <wp:posOffset>-25400</wp:posOffset>
                </wp:positionV>
                <wp:extent cx="6172200" cy="295275"/>
                <wp:effectExtent l="4445" t="4445" r="33655" b="43180"/>
                <wp:wrapNone/>
                <wp:docPr id="30" name="Retângulo 3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autoSpaceDE w:val="0"/>
                              <w:autoSpaceDN w:val="0"/>
                              <w:adjustRightInd w:val="0"/>
                              <w:jc w:val="center"/>
                              <w:rPr>
                                <w:rFonts w:ascii="Arial" w:hAnsi="Arial"/>
                                <w:b/>
                                <w:sz w:val="26"/>
                                <w:szCs w:val="26"/>
                              </w:rPr>
                            </w:pPr>
                            <w:r>
                              <w:rPr>
                                <w:rFonts w:ascii="Arial" w:hAnsi="Arial"/>
                                <w:b/>
                                <w:sz w:val="26"/>
                                <w:szCs w:val="26"/>
                              </w:rPr>
                              <w:t>TERMO DE REFERÊNCIA Nº 148/2023</w:t>
                            </w:r>
                          </w:p>
                          <w:p/>
                        </w:txbxContent>
                      </wps:txbx>
                      <wps:bodyPr upright="1"/>
                    </wps:wsp>
                  </a:graphicData>
                </a:graphic>
              </wp:anchor>
            </w:drawing>
          </mc:Choice>
          <mc:Fallback>
            <w:pict>
              <v:rect id="_x0000_s1026" o:spid="_x0000_s1026" o:spt="1" style="position:absolute;left:0pt;margin-left:-5.2pt;margin-top:-2pt;height:23.25pt;width:486pt;z-index:251695104;mso-width-relative:page;mso-height-relative:page;" fillcolor="#D8D8D8" filled="t" stroked="t" coordsize="21600,21600" o:gfxdata="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iDNgdgAAAAJAQAADwAAAAAAAAABACAAAAAiAAAAZHJzL2Rv&#10;d25yZXYueG1sUEsBAhQAFAAAAAgAh07iQPACHTw6AgAAtQQAAA4AAAAAAAAAAQAgAAAAJwEAAGRy&#10;cy9lMm9Eb2MueG1sUEsFBgAAAAAGAAYAWQEAANMFAAAAAA==&#10;">
                <v:fill on="t" focussize="0,0"/>
                <v:stroke color="#000000" joinstyle="miter"/>
                <v:imagedata o:title=""/>
                <o:lock v:ext="edit" aspectratio="f"/>
                <v:shadow on="t" color="#808080" offset="2pt,2pt" origin="0f,0f" matrix="65536f,0f,0f,65536f"/>
                <v:textbox>
                  <w:txbxContent>
                    <w:p>
                      <w:pPr>
                        <w:widowControl w:val="0"/>
                        <w:autoSpaceDE w:val="0"/>
                        <w:autoSpaceDN w:val="0"/>
                        <w:adjustRightInd w:val="0"/>
                        <w:jc w:val="center"/>
                        <w:rPr>
                          <w:rFonts w:ascii="Arial" w:hAnsi="Arial"/>
                          <w:b/>
                          <w:sz w:val="26"/>
                          <w:szCs w:val="26"/>
                        </w:rPr>
                      </w:pPr>
                      <w:r>
                        <w:rPr>
                          <w:rFonts w:ascii="Arial" w:hAnsi="Arial"/>
                          <w:b/>
                          <w:sz w:val="26"/>
                          <w:szCs w:val="26"/>
                        </w:rPr>
                        <w:t>TERMO DE REFERÊNCIA Nº 148/2023</w:t>
                      </w:r>
                    </w:p>
                    <w:p/>
                  </w:txbxContent>
                </v:textbox>
              </v:rect>
            </w:pict>
          </mc:Fallback>
        </mc:AlternateContent>
      </w:r>
    </w:p>
    <w:p>
      <w:pPr>
        <w:widowControl w:val="0"/>
        <w:autoSpaceDE w:val="0"/>
        <w:autoSpaceDN w:val="0"/>
        <w:adjustRightInd w:val="0"/>
        <w:jc w:val="center"/>
        <w:rPr>
          <w:rFonts w:ascii="Arial" w:hAnsi="Arial"/>
          <w:b/>
          <w:color w:val="FF0000"/>
          <w:sz w:val="28"/>
          <w:szCs w:val="24"/>
        </w:rPr>
      </w:pPr>
    </w:p>
    <w:p>
      <w:pPr>
        <w:ind w:right="38" w:rightChars="16"/>
        <w:jc w:val="both"/>
        <w:rPr>
          <w:rFonts w:ascii="Arial" w:hAnsi="Arial" w:cs="Arial"/>
          <w:b/>
          <w:szCs w:val="24"/>
        </w:rPr>
      </w:pPr>
      <w:r>
        <w:rPr>
          <w:rFonts w:ascii="Arial" w:hAnsi="Arial" w:cs="Arial"/>
          <w:b/>
          <w:szCs w:val="24"/>
        </w:rPr>
        <w:t>1. CLÁUSULA PRIMEIRA: DO OBJETO</w:t>
      </w:r>
    </w:p>
    <w:p>
      <w:pPr>
        <w:adjustRightInd w:val="0"/>
        <w:ind w:right="38" w:rightChars="16"/>
        <w:jc w:val="both"/>
        <w:rPr>
          <w:rFonts w:ascii="Arial" w:hAnsi="Arial" w:cs="Arial"/>
          <w:szCs w:val="24"/>
        </w:rPr>
      </w:pPr>
      <w:r>
        <w:rPr>
          <w:rFonts w:ascii="Arial" w:hAnsi="Arial" w:cs="Arial"/>
          <w:b/>
          <w:bCs/>
          <w:szCs w:val="24"/>
        </w:rPr>
        <w:t>1.1.</w:t>
      </w:r>
      <w:r>
        <w:rPr>
          <w:rFonts w:ascii="Arial" w:hAnsi="Arial" w:cs="Arial"/>
          <w:szCs w:val="24"/>
        </w:rPr>
        <w:t xml:space="preserve"> Processo licitatório, a ser realizado pelo sistema de Registro de Preços, para </w:t>
      </w:r>
      <w:r>
        <w:rPr>
          <w:rFonts w:ascii="Arial" w:hAnsi="Arial" w:cs="Arial"/>
          <w:szCs w:val="24"/>
          <w:lang w:eastAsia="zh-CN"/>
        </w:rPr>
        <w:t xml:space="preserve">futura e eventual </w:t>
      </w:r>
      <w:r>
        <w:rPr>
          <w:rFonts w:ascii="Arial" w:hAnsi="Arial" w:cs="Arial"/>
          <w:szCs w:val="24"/>
        </w:rPr>
        <w:t xml:space="preserve">contratação de empresa especializada na </w:t>
      </w:r>
      <w:r>
        <w:rPr>
          <w:rFonts w:ascii="Arial" w:hAnsi="Arial" w:cs="Arial"/>
          <w:szCs w:val="24"/>
          <w:lang w:eastAsia="zh-CN"/>
        </w:rPr>
        <w:t>Prestação de Serviços de Coleta e Transporte de Resíduos Sólidos Domiciliares e Comerciais do Município, Coleta Seletiva de Materiais Recicláveis, transporte e destinação final ambientalmente adequada dos resíduos recicláveis e implantação e coordenação da unidade de triagem de Primavera do Leste MT.</w:t>
      </w:r>
    </w:p>
    <w:p>
      <w:pPr>
        <w:adjustRightInd w:val="0"/>
        <w:ind w:right="38" w:rightChars="16"/>
        <w:jc w:val="both"/>
        <w:rPr>
          <w:rFonts w:ascii="Arial" w:hAnsi="Arial" w:cs="Arial"/>
          <w:szCs w:val="24"/>
        </w:rPr>
      </w:pPr>
    </w:p>
    <w:p>
      <w:pPr>
        <w:ind w:right="38" w:rightChars="16"/>
        <w:jc w:val="both"/>
        <w:rPr>
          <w:rFonts w:ascii="Arial" w:hAnsi="Arial" w:cs="Arial"/>
          <w:b/>
          <w:szCs w:val="24"/>
        </w:rPr>
      </w:pPr>
      <w:r>
        <w:rPr>
          <w:rFonts w:ascii="Arial" w:hAnsi="Arial" w:cs="Arial"/>
          <w:b/>
          <w:szCs w:val="24"/>
        </w:rPr>
        <w:t>2. CLÁUSULA SEGUNDA: DA JUSTIFICATIVA</w:t>
      </w:r>
    </w:p>
    <w:p>
      <w:pPr>
        <w:ind w:right="38" w:rightChars="16"/>
        <w:jc w:val="both"/>
        <w:rPr>
          <w:rFonts w:ascii="Arial" w:hAnsi="Arial" w:cs="Arial"/>
          <w:szCs w:val="24"/>
        </w:rPr>
      </w:pPr>
      <w:r>
        <w:rPr>
          <w:rFonts w:ascii="Arial" w:hAnsi="Arial" w:cs="Arial"/>
          <w:b/>
          <w:bCs/>
          <w:szCs w:val="24"/>
        </w:rPr>
        <w:t xml:space="preserve">2.1. </w:t>
      </w:r>
      <w:r>
        <w:rPr>
          <w:rFonts w:ascii="Arial" w:hAnsi="Arial" w:cs="Arial"/>
          <w:szCs w:val="24"/>
        </w:rPr>
        <w:t xml:space="preserve">A terceirização das prestações desses serviços se faz necessária devido à limitação do município no numero de contratações de pessoal pela Administração Pública Municipal, conforme previsto em Lei. Essa limitação torna a terceirização uma forma eficaz de suprir a necessidade de equipamentos e pessoal especializado para o desempenho das funções neste setor. Além disso, os resíduos sólidos urbanos resultantes da coleta e transporte, que são objetos deste documento, são depositados no “ATERRO MUNICIPAL”, local devidamente monitorado e controlado pelo Município, garantindo a gestão adequada desses resíduos. </w:t>
      </w:r>
    </w:p>
    <w:p>
      <w:pPr>
        <w:ind w:right="38" w:rightChars="16"/>
        <w:jc w:val="both"/>
        <w:rPr>
          <w:rFonts w:ascii="Arial" w:hAnsi="Arial" w:cs="Arial"/>
          <w:szCs w:val="24"/>
        </w:rPr>
      </w:pPr>
      <w:r>
        <w:rPr>
          <w:rFonts w:ascii="Arial" w:hAnsi="Arial" w:cs="Arial"/>
          <w:b/>
          <w:bCs/>
          <w:szCs w:val="24"/>
        </w:rPr>
        <w:t>2.2</w:t>
      </w:r>
      <w:r>
        <w:rPr>
          <w:rFonts w:ascii="Arial" w:hAnsi="Arial" w:cs="Arial"/>
          <w:szCs w:val="24"/>
        </w:rPr>
        <w:t>. Considerando o impacto no gasto de pessoal para manter a prestação total deste serviço, o qual já foi motivo de apontamento pelo Ministério Público, bem como a necessidade de manter uma gestão financeiramente eficiente, a terceirização se torna a opção mais econômica. Diante dessa realidade, não restou outra opção à Administração Municipal senão terceirizar parte dos serviços de limpeza, visando diminuir os gastos com pessoal e cumprir as exigências do Ministério Público.</w:t>
      </w:r>
    </w:p>
    <w:p>
      <w:pPr>
        <w:ind w:right="38" w:rightChars="16"/>
        <w:jc w:val="both"/>
        <w:rPr>
          <w:rFonts w:ascii="Arial" w:hAnsi="Arial" w:cs="Arial"/>
          <w:szCs w:val="24"/>
        </w:rPr>
      </w:pPr>
      <w:r>
        <w:rPr>
          <w:rFonts w:ascii="Arial" w:hAnsi="Arial" w:cs="Arial"/>
          <w:b/>
          <w:bCs/>
          <w:szCs w:val="24"/>
        </w:rPr>
        <w:t>2.3.</w:t>
      </w:r>
      <w:r>
        <w:rPr>
          <w:rFonts w:ascii="Arial" w:hAnsi="Arial" w:cs="Arial"/>
          <w:szCs w:val="24"/>
        </w:rPr>
        <w:t xml:space="preserve"> Além disso, essa medida busca evitar o acúmulo de lixo nas vias públicas municipais, garantindo a manutenção das condições de higiene e saúde dos munícipes. Sendo assim, a terceirização contribui para o descarte ambientalmente correto dos resíduos gerados, promovendo uma gestão sustentável e responsável dos resíduos sólidos urbanos, alinhando-se com as diretrizes ambientais e de saúde pública.</w:t>
      </w:r>
    </w:p>
    <w:p>
      <w:pPr>
        <w:ind w:right="38" w:rightChars="16"/>
        <w:jc w:val="both"/>
        <w:rPr>
          <w:rFonts w:ascii="Arial" w:hAnsi="Arial" w:cs="Arial"/>
          <w:szCs w:val="24"/>
        </w:rPr>
      </w:pPr>
      <w:r>
        <w:rPr>
          <w:rFonts w:ascii="Arial" w:hAnsi="Arial" w:cs="Arial"/>
          <w:b/>
          <w:bCs/>
          <w:szCs w:val="24"/>
        </w:rPr>
        <w:t xml:space="preserve">2.4. </w:t>
      </w:r>
      <w:r>
        <w:rPr>
          <w:rFonts w:ascii="Arial" w:hAnsi="Arial" w:cs="Arial"/>
          <w:szCs w:val="24"/>
        </w:rPr>
        <w:t>Prestação dos serviços, são elas: DOS SERVIÇOS A SEREM PRESTADOS</w:t>
      </w:r>
    </w:p>
    <w:p>
      <w:pPr>
        <w:ind w:right="38" w:rightChars="16"/>
        <w:jc w:val="both"/>
        <w:rPr>
          <w:rFonts w:ascii="Arial" w:hAnsi="Arial" w:cs="Arial"/>
          <w:szCs w:val="24"/>
        </w:rPr>
      </w:pPr>
      <w:r>
        <w:rPr>
          <w:rFonts w:ascii="Arial" w:hAnsi="Arial" w:cs="Arial"/>
          <w:szCs w:val="24"/>
        </w:rPr>
        <w:t>-  Coleta e transporte dos resíduos sólidos domiciliares e comerciais do município de Primavera do Leste/MT.</w:t>
      </w:r>
    </w:p>
    <w:p>
      <w:pPr>
        <w:ind w:right="38" w:rightChars="16"/>
        <w:jc w:val="both"/>
        <w:rPr>
          <w:rFonts w:ascii="Arial" w:hAnsi="Arial" w:cs="Arial"/>
          <w:szCs w:val="24"/>
        </w:rPr>
      </w:pPr>
      <w:r>
        <w:rPr>
          <w:rFonts w:ascii="Arial" w:hAnsi="Arial" w:cs="Arial"/>
          <w:szCs w:val="24"/>
        </w:rPr>
        <w:t>-  Coleta Seletiva de Materiais Recicláveis.</w:t>
      </w:r>
    </w:p>
    <w:p>
      <w:pPr>
        <w:ind w:right="38" w:rightChars="16"/>
        <w:jc w:val="both"/>
        <w:rPr>
          <w:rFonts w:ascii="Arial" w:hAnsi="Arial" w:cs="Arial"/>
          <w:szCs w:val="24"/>
        </w:rPr>
      </w:pPr>
      <w:r>
        <w:rPr>
          <w:rFonts w:ascii="Arial" w:hAnsi="Arial" w:cs="Arial"/>
          <w:szCs w:val="24"/>
        </w:rPr>
        <w:t>- Coleta, transporte e destinação final ambientalmente adequada dos Resíduos da Construção Civil gerados pela municipalidade.</w:t>
      </w:r>
    </w:p>
    <w:p>
      <w:pPr>
        <w:ind w:right="38" w:rightChars="16"/>
        <w:jc w:val="both"/>
        <w:rPr>
          <w:rFonts w:ascii="Arial" w:hAnsi="Arial" w:cs="Arial"/>
          <w:szCs w:val="24"/>
        </w:rPr>
      </w:pPr>
      <w:r>
        <w:rPr>
          <w:rFonts w:ascii="Arial" w:hAnsi="Arial" w:cs="Arial"/>
          <w:szCs w:val="24"/>
        </w:rPr>
        <w:t>- Coleta, transporte e destinação final ambientalmente adequada dos rejeitos provenientes da segregação dos resíduos recicláveis.</w:t>
      </w:r>
    </w:p>
    <w:p>
      <w:pPr>
        <w:ind w:right="38" w:rightChars="16"/>
        <w:jc w:val="both"/>
        <w:rPr>
          <w:rFonts w:ascii="Arial" w:hAnsi="Arial" w:cs="Arial"/>
          <w:szCs w:val="24"/>
        </w:rPr>
      </w:pPr>
      <w:r>
        <w:rPr>
          <w:rFonts w:ascii="Arial" w:hAnsi="Arial" w:cs="Arial"/>
          <w:szCs w:val="24"/>
        </w:rPr>
        <w:t>-  Implantação e coordenação da operação da Unidade de Triagem de Resíduos de Primavera do Leste/MT.</w:t>
      </w:r>
    </w:p>
    <w:p>
      <w:pPr>
        <w:ind w:right="38" w:rightChars="16"/>
        <w:jc w:val="both"/>
        <w:rPr>
          <w:rFonts w:ascii="Arial" w:hAnsi="Arial" w:cs="Arial"/>
          <w:szCs w:val="24"/>
        </w:rPr>
      </w:pPr>
    </w:p>
    <w:p>
      <w:pPr>
        <w:numPr>
          <w:ilvl w:val="0"/>
          <w:numId w:val="12"/>
        </w:numPr>
        <w:ind w:right="38" w:rightChars="16"/>
        <w:jc w:val="both"/>
        <w:rPr>
          <w:rFonts w:ascii="Arial" w:hAnsi="Arial" w:cs="Arial"/>
          <w:b/>
          <w:szCs w:val="24"/>
        </w:rPr>
      </w:pPr>
      <w:r>
        <w:rPr>
          <w:rFonts w:ascii="Arial" w:hAnsi="Arial" w:cs="Arial"/>
          <w:b/>
          <w:szCs w:val="24"/>
        </w:rPr>
        <w:t>CLÁUSULA TERCEIRA: DAS ESPECIFICAÇÕES</w:t>
      </w:r>
    </w:p>
    <w:p>
      <w:pPr>
        <w:numPr>
          <w:ilvl w:val="1"/>
          <w:numId w:val="12"/>
        </w:numPr>
        <w:ind w:right="38" w:rightChars="16"/>
        <w:jc w:val="both"/>
        <w:rPr>
          <w:rFonts w:ascii="Arial" w:hAnsi="Arial" w:cs="Arial"/>
          <w:bCs/>
          <w:szCs w:val="24"/>
        </w:rPr>
      </w:pPr>
      <w:r>
        <w:rPr>
          <w:rFonts w:ascii="Arial" w:hAnsi="Arial" w:cs="Arial"/>
          <w:bCs/>
          <w:szCs w:val="24"/>
        </w:rPr>
        <w:t>As descrições de cada produto, preços máximos admitidos e quantidades encontram-se abaixo desse instrumento.</w:t>
      </w:r>
    </w:p>
    <w:p>
      <w:pPr>
        <w:ind w:right="38" w:rightChars="16"/>
        <w:jc w:val="both"/>
        <w:rPr>
          <w:rFonts w:ascii="Arial" w:hAnsi="Arial" w:cs="Arial"/>
          <w:b/>
          <w:szCs w:val="24"/>
        </w:rPr>
      </w:pPr>
    </w:p>
    <w:p>
      <w:pPr>
        <w:jc w:val="center"/>
        <w:rPr>
          <w:rFonts w:ascii="Calibri" w:hAnsi="Calibri" w:eastAsia="Times New Roman" w:cs="Calibri"/>
          <w:b/>
          <w:bCs/>
          <w:color w:val="000000"/>
          <w:sz w:val="20"/>
        </w:rPr>
        <w:sectPr>
          <w:headerReference r:id="rId4" w:type="default"/>
          <w:pgSz w:w="11907" w:h="16840"/>
          <w:pgMar w:top="1814" w:right="567" w:bottom="851" w:left="1701" w:header="284" w:footer="283" w:gutter="0"/>
          <w:cols w:space="720" w:num="1"/>
        </w:sectPr>
      </w:pPr>
    </w:p>
    <w:tbl>
      <w:tblPr>
        <w:tblStyle w:val="12"/>
        <w:tblW w:w="5305" w:type="pct"/>
        <w:tblInd w:w="0" w:type="dxa"/>
        <w:tblLayout w:type="fixed"/>
        <w:tblCellMar>
          <w:top w:w="0" w:type="dxa"/>
          <w:left w:w="70" w:type="dxa"/>
          <w:bottom w:w="0" w:type="dxa"/>
          <w:right w:w="70" w:type="dxa"/>
        </w:tblCellMar>
      </w:tblPr>
      <w:tblGrid>
        <w:gridCol w:w="567"/>
        <w:gridCol w:w="2610"/>
        <w:gridCol w:w="765"/>
        <w:gridCol w:w="975"/>
        <w:gridCol w:w="1275"/>
        <w:gridCol w:w="1680"/>
        <w:gridCol w:w="1531"/>
        <w:gridCol w:w="1319"/>
        <w:gridCol w:w="1695"/>
        <w:gridCol w:w="2773"/>
      </w:tblGrid>
      <w:tr>
        <w:tblPrEx>
          <w:tblCellMar>
            <w:top w:w="0" w:type="dxa"/>
            <w:left w:w="70" w:type="dxa"/>
            <w:bottom w:w="0" w:type="dxa"/>
            <w:right w:w="70" w:type="dxa"/>
          </w:tblCellMar>
        </w:tblPrEx>
        <w:trPr>
          <w:trHeight w:val="567" w:hRule="atLeast"/>
        </w:trPr>
        <w:tc>
          <w:tcPr>
            <w:tcW w:w="186" w:type="pct"/>
            <w:vMerge w:val="restart"/>
            <w:tcBorders>
              <w:top w:val="single" w:color="auto" w:sz="8" w:space="0"/>
              <w:left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Item</w:t>
            </w:r>
          </w:p>
        </w:tc>
        <w:tc>
          <w:tcPr>
            <w:tcW w:w="859" w:type="pct"/>
            <w:vMerge w:val="restart"/>
            <w:tcBorders>
              <w:top w:val="single" w:color="auto" w:sz="8" w:space="0"/>
              <w:left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Produto</w:t>
            </w:r>
          </w:p>
        </w:tc>
        <w:tc>
          <w:tcPr>
            <w:tcW w:w="1545" w:type="pct"/>
            <w:gridSpan w:val="4"/>
            <w:tcBorders>
              <w:top w:val="single" w:color="auto" w:sz="8" w:space="0"/>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hint="default" w:ascii="Calibri" w:hAnsi="Calibri" w:eastAsia="Times New Roman" w:cs="Calibri"/>
                <w:b/>
                <w:bCs/>
                <w:color w:val="000000"/>
                <w:sz w:val="20"/>
                <w:lang w:val="en-US" w:eastAsia="pt-BR" w:bidi="ar-SA"/>
              </w:rPr>
            </w:pPr>
            <w:r>
              <w:rPr>
                <w:rFonts w:hint="default" w:ascii="Calibri" w:hAnsi="Calibri" w:eastAsia="Times New Roman" w:cs="Calibri"/>
                <w:b/>
                <w:bCs/>
                <w:color w:val="000000"/>
                <w:sz w:val="20"/>
                <w:lang w:val="en-US" w:eastAsia="pt-BR" w:bidi="ar-SA"/>
              </w:rPr>
              <w:t>VALORES E QUANTITATIVOS MENSAIS</w:t>
            </w:r>
          </w:p>
        </w:tc>
        <w:tc>
          <w:tcPr>
            <w:tcW w:w="2408" w:type="pct"/>
            <w:gridSpan w:val="4"/>
            <w:tcBorders>
              <w:top w:val="single" w:color="auto" w:sz="8" w:space="0"/>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hint="default" w:ascii="Calibri" w:hAnsi="Calibri" w:eastAsia="Times New Roman" w:cs="Calibri"/>
                <w:b/>
                <w:bCs/>
                <w:color w:val="000000"/>
                <w:sz w:val="20"/>
                <w:lang w:val="pt-BR"/>
              </w:rPr>
            </w:pPr>
            <w:r>
              <w:rPr>
                <w:rFonts w:hint="default" w:ascii="Calibri" w:hAnsi="Calibri" w:eastAsia="Times New Roman" w:cs="Calibri"/>
                <w:b/>
                <w:bCs/>
                <w:color w:val="000000"/>
                <w:sz w:val="20"/>
                <w:lang w:val="en-US" w:eastAsia="pt-BR" w:bidi="ar-SA"/>
              </w:rPr>
              <w:t>VALORES E QUANTITATIVOS GLOBAL - (12 MESES)</w:t>
            </w:r>
            <w:r>
              <w:rPr>
                <w:rFonts w:hint="default" w:ascii="Calibri" w:hAnsi="Calibri" w:eastAsia="Times New Roman" w:cs="Calibri"/>
                <w:b/>
                <w:bCs/>
                <w:color w:val="000000"/>
                <w:sz w:val="20"/>
                <w:lang w:val="pt-BR"/>
              </w:rPr>
              <w:t xml:space="preserve"> </w:t>
            </w:r>
          </w:p>
        </w:tc>
      </w:tr>
      <w:tr>
        <w:tblPrEx>
          <w:tblCellMar>
            <w:top w:w="0" w:type="dxa"/>
            <w:left w:w="70" w:type="dxa"/>
            <w:bottom w:w="0" w:type="dxa"/>
            <w:right w:w="70" w:type="dxa"/>
          </w:tblCellMar>
        </w:tblPrEx>
        <w:trPr>
          <w:trHeight w:val="567" w:hRule="atLeast"/>
        </w:trPr>
        <w:tc>
          <w:tcPr>
            <w:tcW w:w="186" w:type="pct"/>
            <w:vMerge w:val="continue"/>
            <w:tcBorders>
              <w:left w:val="single" w:color="auto" w:sz="8" w:space="0"/>
              <w:bottom w:val="single" w:color="auto" w:sz="8" w:space="0"/>
              <w:right w:val="single" w:color="auto" w:sz="8" w:space="0"/>
            </w:tcBorders>
            <w:shd w:val="clear" w:color="000000" w:fill="8DB4E3"/>
            <w:noWrap/>
            <w:vAlign w:val="center"/>
          </w:tcPr>
          <w:p>
            <w:pPr>
              <w:jc w:val="center"/>
              <w:rPr>
                <w:rFonts w:ascii="Calibri" w:hAnsi="Calibri" w:eastAsia="Times New Roman" w:cs="Calibri"/>
                <w:color w:val="000000"/>
                <w:sz w:val="20"/>
              </w:rPr>
            </w:pPr>
          </w:p>
        </w:tc>
        <w:tc>
          <w:tcPr>
            <w:tcW w:w="859" w:type="pct"/>
            <w:vMerge w:val="continue"/>
            <w:tcBorders>
              <w:left w:val="single" w:color="auto" w:sz="8" w:space="0"/>
              <w:bottom w:val="single" w:color="auto" w:sz="8" w:space="0"/>
              <w:right w:val="single" w:color="auto" w:sz="8" w:space="0"/>
            </w:tcBorders>
            <w:shd w:val="clear" w:color="000000" w:fill="C5D9F1"/>
            <w:noWrap/>
            <w:vAlign w:val="center"/>
          </w:tcPr>
          <w:p>
            <w:pPr>
              <w:jc w:val="center"/>
              <w:rPr>
                <w:rFonts w:ascii="Calibri" w:hAnsi="Calibri" w:eastAsia="Times New Roman" w:cs="Calibri"/>
                <w:color w:val="000000"/>
                <w:sz w:val="20"/>
              </w:rPr>
            </w:pPr>
          </w:p>
        </w:tc>
        <w:tc>
          <w:tcPr>
            <w:tcW w:w="251"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Quant</w:t>
            </w:r>
          </w:p>
        </w:tc>
        <w:tc>
          <w:tcPr>
            <w:tcW w:w="320"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Unidade</w:t>
            </w:r>
          </w:p>
        </w:tc>
        <w:tc>
          <w:tcPr>
            <w:tcW w:w="419"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R$ Unit</w:t>
            </w:r>
          </w:p>
        </w:tc>
        <w:tc>
          <w:tcPr>
            <w:tcW w:w="552"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R$ Total</w:t>
            </w:r>
          </w:p>
        </w:tc>
        <w:tc>
          <w:tcPr>
            <w:tcW w:w="503"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lang w:val="pt-BR" w:eastAsia="pt-BR" w:bidi="ar-SA"/>
              </w:rPr>
            </w:pPr>
            <w:r>
              <w:rPr>
                <w:rFonts w:ascii="Calibri" w:hAnsi="Calibri" w:eastAsia="Times New Roman" w:cs="Calibri"/>
                <w:color w:val="000000"/>
                <w:sz w:val="20"/>
              </w:rPr>
              <w:t>Quant</w:t>
            </w:r>
          </w:p>
        </w:tc>
        <w:tc>
          <w:tcPr>
            <w:tcW w:w="434"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lang w:val="pt-BR" w:eastAsia="pt-BR" w:bidi="ar-SA"/>
              </w:rPr>
            </w:pPr>
            <w:r>
              <w:rPr>
                <w:rFonts w:ascii="Calibri" w:hAnsi="Calibri" w:eastAsia="Times New Roman" w:cs="Calibri"/>
                <w:color w:val="000000"/>
                <w:sz w:val="20"/>
              </w:rPr>
              <w:t>Unidade</w:t>
            </w:r>
          </w:p>
        </w:tc>
        <w:tc>
          <w:tcPr>
            <w:tcW w:w="557"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lang w:val="pt-BR" w:eastAsia="pt-BR" w:bidi="ar-SA"/>
              </w:rPr>
            </w:pPr>
            <w:r>
              <w:rPr>
                <w:rFonts w:ascii="Calibri" w:hAnsi="Calibri" w:eastAsia="Times New Roman" w:cs="Calibri"/>
                <w:color w:val="000000"/>
                <w:sz w:val="20"/>
              </w:rPr>
              <w:t>R$ Unit</w:t>
            </w:r>
          </w:p>
        </w:tc>
        <w:tc>
          <w:tcPr>
            <w:tcW w:w="912" w:type="pct"/>
            <w:tcBorders>
              <w:top w:val="nil"/>
              <w:left w:val="nil"/>
              <w:bottom w:val="single" w:color="auto" w:sz="8" w:space="0"/>
              <w:right w:val="single" w:color="auto" w:sz="8" w:space="0"/>
            </w:tcBorders>
            <w:shd w:val="clear" w:color="auto" w:fill="548DD4" w:themeFill="text2" w:themeFillTint="99"/>
            <w:noWrap/>
            <w:vAlign w:val="center"/>
          </w:tcPr>
          <w:p>
            <w:pPr>
              <w:jc w:val="center"/>
              <w:rPr>
                <w:rFonts w:ascii="Calibri" w:hAnsi="Calibri" w:eastAsia="Times New Roman" w:cs="Calibri"/>
                <w:color w:val="000000"/>
                <w:sz w:val="20"/>
                <w:lang w:val="pt-BR" w:eastAsia="pt-BR" w:bidi="ar-SA"/>
              </w:rPr>
            </w:pPr>
            <w:r>
              <w:rPr>
                <w:rFonts w:ascii="Calibri" w:hAnsi="Calibri" w:eastAsia="Times New Roman" w:cs="Calibri"/>
                <w:color w:val="000000"/>
                <w:sz w:val="20"/>
              </w:rPr>
              <w:t>R$ Total</w:t>
            </w:r>
          </w:p>
        </w:tc>
      </w:tr>
      <w:tr>
        <w:tblPrEx>
          <w:tblCellMar>
            <w:top w:w="0" w:type="dxa"/>
            <w:left w:w="70" w:type="dxa"/>
            <w:bottom w:w="0" w:type="dxa"/>
            <w:right w:w="70" w:type="dxa"/>
          </w:tblCellMar>
        </w:tblPrEx>
        <w:trPr>
          <w:trHeight w:val="329"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1</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63697 -CAIXA BROOKS</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8</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R$ 2.300,00</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R$ 18.400,00</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96</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ascii="Calibri" w:hAnsi="Calibri" w:eastAsia="Times New Roman" w:cs="Calibri"/>
                <w:b w:val="0"/>
                <w:bCs w:val="0"/>
                <w:color w:val="000000"/>
                <w:sz w:val="20"/>
              </w:rPr>
              <w:t>R$ 2.300,00</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R$ 220.800,00</w:t>
            </w:r>
          </w:p>
        </w:tc>
      </w:tr>
      <w:tr>
        <w:tblPrEx>
          <w:tblCellMar>
            <w:top w:w="0" w:type="dxa"/>
            <w:left w:w="70" w:type="dxa"/>
            <w:bottom w:w="0" w:type="dxa"/>
            <w:right w:w="70" w:type="dxa"/>
          </w:tblCellMar>
        </w:tblPrEx>
        <w:trPr>
          <w:trHeight w:val="314"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2</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63694 - CAMINHÃO ACOMODADOR 15M3</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3</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R$ 52.502,60</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R$ 157.507,80</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36</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ascii="Calibri" w:hAnsi="Calibri" w:eastAsia="Times New Roman" w:cs="Calibri"/>
                <w:b w:val="0"/>
                <w:bCs w:val="0"/>
                <w:color w:val="000000"/>
                <w:sz w:val="20"/>
              </w:rPr>
              <w:t>R$ 52.502,60</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1.890.093,6</w:t>
            </w:r>
          </w:p>
        </w:tc>
      </w:tr>
      <w:tr>
        <w:tblPrEx>
          <w:tblCellMar>
            <w:top w:w="0" w:type="dxa"/>
            <w:left w:w="70" w:type="dxa"/>
            <w:bottom w:w="0" w:type="dxa"/>
            <w:right w:w="70" w:type="dxa"/>
          </w:tblCellMar>
        </w:tblPrEx>
        <w:trPr>
          <w:trHeight w:val="284"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3</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63693 - CAMINHÃO COMPACTADOR 15M3</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8</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R$ 71.879,38</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R$ 575.035,04</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96</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ascii="Calibri" w:hAnsi="Calibri" w:eastAsia="Times New Roman" w:cs="Calibri"/>
                <w:b w:val="0"/>
                <w:bCs w:val="0"/>
                <w:color w:val="000000"/>
                <w:sz w:val="20"/>
              </w:rPr>
              <w:t>R$ 71.879,38</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6.900.420,48</w:t>
            </w:r>
          </w:p>
        </w:tc>
      </w:tr>
      <w:tr>
        <w:tblPrEx>
          <w:tblCellMar>
            <w:top w:w="0" w:type="dxa"/>
            <w:left w:w="70" w:type="dxa"/>
            <w:bottom w:w="0" w:type="dxa"/>
            <w:right w:w="70" w:type="dxa"/>
          </w:tblCellMar>
        </w:tblPrEx>
        <w:trPr>
          <w:trHeight w:val="209"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4</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 xml:space="preserve">63769 - COLETOR DE LIXO (DIURNO) </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39</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R$ 6.258,79</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R$ 244.092,81</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468</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ascii="Calibri" w:hAnsi="Calibri" w:eastAsia="Times New Roman" w:cs="Calibri"/>
                <w:b w:val="0"/>
                <w:bCs w:val="0"/>
                <w:color w:val="000000"/>
                <w:sz w:val="20"/>
              </w:rPr>
              <w:t>R$ 6.258,</w:t>
            </w:r>
            <w:bookmarkStart w:id="2" w:name="_GoBack"/>
            <w:bookmarkEnd w:id="2"/>
            <w:r>
              <w:rPr>
                <w:rFonts w:ascii="Calibri" w:hAnsi="Calibri" w:eastAsia="Times New Roman" w:cs="Calibri"/>
                <w:b w:val="0"/>
                <w:bCs w:val="0"/>
                <w:color w:val="000000"/>
                <w:sz w:val="20"/>
              </w:rPr>
              <w:t>79</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2.929.113,72</w:t>
            </w:r>
          </w:p>
        </w:tc>
      </w:tr>
      <w:tr>
        <w:tblPrEx>
          <w:tblCellMar>
            <w:top w:w="0" w:type="dxa"/>
            <w:left w:w="70" w:type="dxa"/>
            <w:bottom w:w="0" w:type="dxa"/>
            <w:right w:w="70" w:type="dxa"/>
          </w:tblCellMar>
        </w:tblPrEx>
        <w:trPr>
          <w:trHeight w:val="389"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5</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 xml:space="preserve">63770 - COLETOR DE LIXO (NOTURNO) </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12</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R$ 6.864,87</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R$ 82.378,44</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144</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ascii="Calibri" w:hAnsi="Calibri" w:eastAsia="Times New Roman" w:cs="Calibri"/>
                <w:b w:val="0"/>
                <w:bCs w:val="0"/>
                <w:color w:val="000000"/>
                <w:sz w:val="20"/>
              </w:rPr>
              <w:t>R$ 6.864,87</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988.541,28</w:t>
            </w:r>
          </w:p>
        </w:tc>
      </w:tr>
      <w:tr>
        <w:tblPrEx>
          <w:tblCellMar>
            <w:top w:w="0" w:type="dxa"/>
            <w:left w:w="70" w:type="dxa"/>
            <w:bottom w:w="0" w:type="dxa"/>
            <w:right w:w="70" w:type="dxa"/>
          </w:tblCellMar>
        </w:tblPrEx>
        <w:trPr>
          <w:trHeight w:val="269"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6</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 xml:space="preserve">63765 - COORDENADOR DE COLETA SR. /UTR </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2</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R$ 15.752,16</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R$ 31.504,32</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24</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R$ 15.752,16</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378.051,84</w:t>
            </w:r>
          </w:p>
        </w:tc>
      </w:tr>
      <w:tr>
        <w:tblPrEx>
          <w:tblCellMar>
            <w:top w:w="0" w:type="dxa"/>
            <w:left w:w="70" w:type="dxa"/>
            <w:bottom w:w="0" w:type="dxa"/>
            <w:right w:w="70" w:type="dxa"/>
          </w:tblCellMar>
        </w:tblPrEx>
        <w:trPr>
          <w:trHeight w:val="794"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7</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 xml:space="preserve">63772 - DESTINAÇÃO FINAL DOS REJEITOS PROVENIENTES DA TRIAGEM DOS  RESÍDUOS SECOS (RECICLÁVEIS) - CLASSE II A </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20</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hint="default" w:ascii="Calibri" w:hAnsi="Calibri" w:eastAsia="Times New Roman" w:cs="Calibri"/>
                <w:b w:val="0"/>
                <w:bCs w:val="0"/>
                <w:color w:val="000000"/>
                <w:sz w:val="20"/>
                <w:lang w:val="pt-BR"/>
              </w:rPr>
            </w:pPr>
            <w:r>
              <w:rPr>
                <w:rFonts w:ascii="Calibri" w:hAnsi="Calibri" w:eastAsia="Times New Roman" w:cs="Calibri"/>
                <w:b w:val="0"/>
                <w:bCs w:val="0"/>
                <w:color w:val="000000"/>
                <w:sz w:val="20"/>
              </w:rPr>
              <w:t>T</w:t>
            </w:r>
            <w:r>
              <w:rPr>
                <w:rFonts w:hint="default" w:ascii="Calibri" w:hAnsi="Calibri" w:eastAsia="Times New Roman" w:cs="Calibri"/>
                <w:b w:val="0"/>
                <w:bCs w:val="0"/>
                <w:color w:val="000000"/>
                <w:sz w:val="20"/>
                <w:lang w:val="pt-BR"/>
              </w:rPr>
              <w:t>ON</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R$ 249,25</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R$ 4.985,00</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240</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T</w:t>
            </w:r>
            <w:r>
              <w:rPr>
                <w:rFonts w:hint="default" w:ascii="Calibri" w:hAnsi="Calibri" w:eastAsia="Times New Roman" w:cs="Calibri"/>
                <w:b w:val="0"/>
                <w:bCs w:val="0"/>
                <w:color w:val="000000"/>
                <w:sz w:val="20"/>
                <w:lang w:val="pt-BR"/>
              </w:rPr>
              <w:t>ON</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R$ 249,25</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59.820</w:t>
            </w:r>
            <w:r>
              <w:rPr>
                <w:rFonts w:hint="default" w:ascii="Calibri" w:hAnsi="Calibri" w:eastAsia="Times New Roman"/>
                <w:b w:val="0"/>
                <w:bCs w:val="0"/>
                <w:color w:val="000000"/>
                <w:sz w:val="20"/>
                <w:lang w:val="pt-BR"/>
              </w:rPr>
              <w:t>,00</w:t>
            </w:r>
          </w:p>
        </w:tc>
      </w:tr>
      <w:tr>
        <w:tblPrEx>
          <w:tblCellMar>
            <w:top w:w="0" w:type="dxa"/>
            <w:left w:w="70" w:type="dxa"/>
            <w:bottom w:w="0" w:type="dxa"/>
            <w:right w:w="70" w:type="dxa"/>
          </w:tblCellMar>
        </w:tblPrEx>
        <w:trPr>
          <w:trHeight w:val="359"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8</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63771 - DESTINAÇÃO FINAL DOS RESÍDUOS DA CONSTRUÇÃO CIVIL - CLASSE  II B</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85</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hint="default" w:ascii="Calibri" w:hAnsi="Calibri" w:eastAsia="Times New Roman" w:cs="Calibri"/>
                <w:b w:val="0"/>
                <w:bCs w:val="0"/>
                <w:color w:val="000000"/>
                <w:sz w:val="20"/>
                <w:lang w:val="pt-BR"/>
              </w:rPr>
            </w:pPr>
            <w:r>
              <w:rPr>
                <w:rFonts w:ascii="Calibri" w:hAnsi="Calibri" w:eastAsia="Times New Roman" w:cs="Calibri"/>
                <w:b w:val="0"/>
                <w:bCs w:val="0"/>
                <w:color w:val="000000"/>
                <w:sz w:val="20"/>
              </w:rPr>
              <w:t>T</w:t>
            </w:r>
            <w:r>
              <w:rPr>
                <w:rFonts w:hint="default" w:ascii="Calibri" w:hAnsi="Calibri" w:eastAsia="Times New Roman" w:cs="Calibri"/>
                <w:b w:val="0"/>
                <w:bCs w:val="0"/>
                <w:color w:val="000000"/>
                <w:sz w:val="20"/>
                <w:lang w:val="pt-BR"/>
              </w:rPr>
              <w:t>ON</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R$ 161,75</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R$ 13.748,75</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1.020</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T</w:t>
            </w:r>
            <w:r>
              <w:rPr>
                <w:rFonts w:hint="default" w:ascii="Calibri" w:hAnsi="Calibri" w:eastAsia="Times New Roman" w:cs="Calibri"/>
                <w:b w:val="0"/>
                <w:bCs w:val="0"/>
                <w:color w:val="000000"/>
                <w:sz w:val="20"/>
                <w:lang w:val="pt-BR"/>
              </w:rPr>
              <w:t>ON</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R$ 161,75</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164.985</w:t>
            </w:r>
          </w:p>
        </w:tc>
      </w:tr>
      <w:tr>
        <w:tblPrEx>
          <w:tblCellMar>
            <w:top w:w="0" w:type="dxa"/>
            <w:left w:w="70" w:type="dxa"/>
            <w:bottom w:w="0" w:type="dxa"/>
            <w:right w:w="70" w:type="dxa"/>
          </w:tblCellMar>
        </w:tblPrEx>
        <w:trPr>
          <w:trHeight w:val="344"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9</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 xml:space="preserve">63695 - LOCAÇÃO DE CAMINHÃO POLIGUINDASTE </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2</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R$ 47.860,21</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R$ 95.720,42</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24</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R$ 47.860,21</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lang w:val="pt-BR"/>
              </w:rPr>
              <w:t xml:space="preserve">R$ </w:t>
            </w:r>
            <w:r>
              <w:rPr>
                <w:rFonts w:hint="default" w:ascii="Calibri" w:hAnsi="Calibri" w:eastAsia="Times New Roman"/>
                <w:b w:val="0"/>
                <w:bCs w:val="0"/>
                <w:color w:val="000000"/>
                <w:sz w:val="20"/>
              </w:rPr>
              <w:t>1.148.645,04</w:t>
            </w:r>
          </w:p>
        </w:tc>
      </w:tr>
      <w:tr>
        <w:tblPrEx>
          <w:tblCellMar>
            <w:top w:w="0" w:type="dxa"/>
            <w:left w:w="70" w:type="dxa"/>
            <w:bottom w:w="0" w:type="dxa"/>
            <w:right w:w="70" w:type="dxa"/>
          </w:tblCellMar>
        </w:tblPrEx>
        <w:trPr>
          <w:trHeight w:val="344"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10</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 xml:space="preserve">63768 - MOTORISTA DE COLETA LIXO COM CAMINHÃO (NOTURNO)  </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3</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R$ 8.697,23</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R$ 26.091,69</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36</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R$ 8.697,23</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rPr>
              <w:t>313.100,28</w:t>
            </w:r>
          </w:p>
        </w:tc>
      </w:tr>
      <w:tr>
        <w:tblPrEx>
          <w:tblCellMar>
            <w:top w:w="0" w:type="dxa"/>
            <w:left w:w="70" w:type="dxa"/>
            <w:bottom w:w="0" w:type="dxa"/>
            <w:right w:w="70" w:type="dxa"/>
          </w:tblCellMar>
        </w:tblPrEx>
        <w:trPr>
          <w:trHeight w:val="404"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hint="default" w:ascii="Calibri" w:hAnsi="Calibri" w:eastAsia="Times New Roman" w:cs="Calibri"/>
                <w:color w:val="000000"/>
                <w:sz w:val="20"/>
                <w:lang w:val="pt-BR"/>
              </w:rPr>
              <w:t>11</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63767 - MOTORISTA DE COLETA LIXO COM CAMINHÃO COMPACTADOR (DIURNO)</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11</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R$ 8.091,14</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R$ 89.002,54</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132</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R$ 8.091,14</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hint="default" w:ascii="Calibri" w:hAnsi="Calibri" w:eastAsia="Times New Roman"/>
                <w:b w:val="0"/>
                <w:bCs w:val="0"/>
                <w:color w:val="000000"/>
                <w:sz w:val="20"/>
              </w:rPr>
              <w:t>1.068.030,48</w:t>
            </w:r>
          </w:p>
        </w:tc>
      </w:tr>
      <w:tr>
        <w:tblPrEx>
          <w:tblCellMar>
            <w:top w:w="0" w:type="dxa"/>
            <w:left w:w="70" w:type="dxa"/>
            <w:bottom w:w="0" w:type="dxa"/>
            <w:right w:w="70" w:type="dxa"/>
          </w:tblCellMar>
        </w:tblPrEx>
        <w:trPr>
          <w:trHeight w:val="389"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hint="default" w:ascii="Calibri" w:hAnsi="Calibri" w:eastAsia="Times New Roman" w:cs="Calibri"/>
                <w:color w:val="000000"/>
                <w:sz w:val="20"/>
                <w:lang w:val="pt-BR"/>
              </w:rPr>
            </w:pPr>
            <w:r>
              <w:rPr>
                <w:rFonts w:hint="default" w:ascii="Calibri" w:hAnsi="Calibri" w:eastAsia="Times New Roman" w:cs="Calibri"/>
                <w:color w:val="000000"/>
                <w:sz w:val="20"/>
                <w:lang w:val="pt-BR"/>
              </w:rPr>
              <w:t>12</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63766 - SUPERVISOR DE LIMPEZA PUBLICA</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1</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R$ 10.776,00</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R$ 10.776,00</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12</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R$ 10.776,00</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b w:val="0"/>
                <w:bCs w:val="0"/>
                <w:color w:val="000000"/>
                <w:sz w:val="20"/>
              </w:rPr>
              <w:t>129.312</w:t>
            </w:r>
            <w:r>
              <w:rPr>
                <w:rFonts w:hint="default" w:ascii="Calibri" w:hAnsi="Calibri" w:eastAsia="Times New Roman"/>
                <w:b w:val="0"/>
                <w:bCs w:val="0"/>
                <w:color w:val="000000"/>
                <w:sz w:val="20"/>
                <w:lang w:val="pt-BR"/>
              </w:rPr>
              <w:t>,00</w:t>
            </w:r>
          </w:p>
        </w:tc>
      </w:tr>
      <w:tr>
        <w:tblPrEx>
          <w:tblCellMar>
            <w:top w:w="0" w:type="dxa"/>
            <w:left w:w="70" w:type="dxa"/>
            <w:bottom w:w="0" w:type="dxa"/>
            <w:right w:w="70" w:type="dxa"/>
          </w:tblCellMar>
        </w:tblPrEx>
        <w:trPr>
          <w:trHeight w:val="269" w:hRule="atLeast"/>
        </w:trPr>
        <w:tc>
          <w:tcPr>
            <w:tcW w:w="186" w:type="pct"/>
            <w:tcBorders>
              <w:top w:val="nil"/>
              <w:left w:val="single" w:color="auto" w:sz="8" w:space="0"/>
              <w:bottom w:val="single" w:color="auto" w:sz="8" w:space="0"/>
              <w:right w:val="single" w:color="auto" w:sz="8" w:space="0"/>
            </w:tcBorders>
            <w:shd w:val="clear" w:color="000000" w:fill="548DD4" w:themeFill="text2" w:themeFillTint="99"/>
            <w:noWrap/>
            <w:vAlign w:val="center"/>
          </w:tcPr>
          <w:p>
            <w:pPr>
              <w:jc w:val="center"/>
              <w:rPr>
                <w:rFonts w:ascii="Calibri" w:hAnsi="Calibri" w:eastAsia="Times New Roman" w:cs="Calibri"/>
                <w:color w:val="000000"/>
                <w:sz w:val="20"/>
              </w:rPr>
            </w:pPr>
            <w:r>
              <w:rPr>
                <w:rFonts w:ascii="Calibri" w:hAnsi="Calibri" w:eastAsia="Times New Roman" w:cs="Calibri"/>
                <w:color w:val="000000"/>
                <w:sz w:val="20"/>
              </w:rPr>
              <w:t>13</w:t>
            </w:r>
          </w:p>
        </w:tc>
        <w:tc>
          <w:tcPr>
            <w:tcW w:w="859" w:type="pct"/>
            <w:tcBorders>
              <w:top w:val="nil"/>
              <w:left w:val="nil"/>
              <w:bottom w:val="single" w:color="auto" w:sz="8" w:space="0"/>
              <w:right w:val="single" w:color="auto" w:sz="8" w:space="0"/>
            </w:tcBorders>
            <w:shd w:val="clear" w:color="auto" w:fill="auto"/>
            <w:vAlign w:val="center"/>
          </w:tcPr>
          <w:p>
            <w:pPr>
              <w:jc w:val="both"/>
              <w:rPr>
                <w:rFonts w:ascii="Calibri" w:hAnsi="Calibri" w:eastAsia="Times New Roman" w:cs="Calibri"/>
                <w:b w:val="0"/>
                <w:bCs w:val="0"/>
                <w:color w:val="000000"/>
                <w:sz w:val="18"/>
                <w:szCs w:val="18"/>
              </w:rPr>
            </w:pPr>
            <w:r>
              <w:rPr>
                <w:rFonts w:ascii="Calibri" w:hAnsi="Calibri" w:eastAsia="Times New Roman" w:cs="Calibri"/>
                <w:b w:val="0"/>
                <w:bCs w:val="0"/>
                <w:color w:val="000000"/>
                <w:sz w:val="18"/>
                <w:szCs w:val="18"/>
              </w:rPr>
              <w:t>63696 -VEICULO DE APOIO</w:t>
            </w:r>
          </w:p>
        </w:tc>
        <w:tc>
          <w:tcPr>
            <w:tcW w:w="251"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1</w:t>
            </w:r>
          </w:p>
        </w:tc>
        <w:tc>
          <w:tcPr>
            <w:tcW w:w="320"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SERV</w:t>
            </w:r>
          </w:p>
        </w:tc>
        <w:tc>
          <w:tcPr>
            <w:tcW w:w="419"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R$ 8.525,30</w:t>
            </w:r>
          </w:p>
        </w:tc>
        <w:tc>
          <w:tcPr>
            <w:tcW w:w="552" w:type="pct"/>
            <w:tcBorders>
              <w:top w:val="nil"/>
              <w:left w:val="nil"/>
              <w:bottom w:val="single" w:color="auto" w:sz="8" w:space="0"/>
              <w:right w:val="single" w:color="auto" w:sz="8" w:space="0"/>
            </w:tcBorders>
            <w:shd w:val="clear" w:color="auto" w:fill="auto"/>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R$ 8.525,30</w:t>
            </w:r>
          </w:p>
        </w:tc>
        <w:tc>
          <w:tcPr>
            <w:tcW w:w="503"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cs="Calibri"/>
                <w:b w:val="0"/>
                <w:bCs w:val="0"/>
                <w:color w:val="000000"/>
                <w:sz w:val="20"/>
                <w:lang w:val="pt-BR"/>
              </w:rPr>
              <w:t>12</w:t>
            </w:r>
          </w:p>
        </w:tc>
        <w:tc>
          <w:tcPr>
            <w:tcW w:w="434"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lang w:val="pt-BR" w:eastAsia="pt-BR" w:bidi="ar-SA"/>
              </w:rPr>
            </w:pPr>
            <w:r>
              <w:rPr>
                <w:rFonts w:ascii="Calibri" w:hAnsi="Calibri" w:eastAsia="Times New Roman" w:cs="Calibri"/>
                <w:b w:val="0"/>
                <w:bCs w:val="0"/>
                <w:color w:val="000000"/>
                <w:sz w:val="20"/>
              </w:rPr>
              <w:t>SERV</w:t>
            </w:r>
          </w:p>
        </w:tc>
        <w:tc>
          <w:tcPr>
            <w:tcW w:w="1695" w:type="dxa"/>
            <w:tcBorders>
              <w:top w:val="nil"/>
              <w:left w:val="nil"/>
              <w:bottom w:val="single" w:color="auto" w:sz="8" w:space="0"/>
              <w:right w:val="single" w:color="auto" w:sz="8" w:space="0"/>
            </w:tcBorders>
            <w:shd w:val="clear" w:color="000000" w:fill="C7DAF1" w:themeFill="text2" w:themeFillTint="32"/>
            <w:noWrap/>
            <w:vAlign w:val="center"/>
          </w:tcPr>
          <w:p>
            <w:pPr>
              <w:jc w:val="center"/>
              <w:rPr>
                <w:rFonts w:ascii="Calibri" w:hAnsi="Calibri" w:eastAsia="Times New Roman" w:cs="Calibri"/>
                <w:b w:val="0"/>
                <w:bCs w:val="0"/>
                <w:color w:val="000000"/>
                <w:sz w:val="20"/>
              </w:rPr>
            </w:pPr>
            <w:r>
              <w:rPr>
                <w:rFonts w:ascii="Calibri" w:hAnsi="Calibri" w:eastAsia="Times New Roman" w:cs="Calibri"/>
                <w:b w:val="0"/>
                <w:bCs w:val="0"/>
                <w:color w:val="000000"/>
                <w:sz w:val="20"/>
              </w:rPr>
              <w:t>R$ 8.525,30</w:t>
            </w:r>
          </w:p>
        </w:tc>
        <w:tc>
          <w:tcPr>
            <w:tcW w:w="912" w:type="pct"/>
            <w:tcBorders>
              <w:top w:val="nil"/>
              <w:left w:val="nil"/>
              <w:bottom w:val="single" w:color="auto" w:sz="8" w:space="0"/>
              <w:right w:val="single" w:color="auto" w:sz="8" w:space="0"/>
            </w:tcBorders>
            <w:shd w:val="clear" w:color="000000" w:fill="C7DAF1" w:themeFill="text2" w:themeFillTint="32"/>
            <w:noWrap/>
            <w:vAlign w:val="center"/>
          </w:tcPr>
          <w:p>
            <w:pPr>
              <w:jc w:val="center"/>
              <w:rPr>
                <w:rFonts w:hint="default" w:ascii="Calibri" w:hAnsi="Calibri" w:eastAsia="Times New Roman" w:cs="Calibri"/>
                <w:b w:val="0"/>
                <w:bCs w:val="0"/>
                <w:color w:val="000000"/>
                <w:sz w:val="20"/>
                <w:lang w:val="pt-BR"/>
              </w:rPr>
            </w:pPr>
            <w:r>
              <w:rPr>
                <w:rFonts w:hint="default" w:ascii="Calibri" w:hAnsi="Calibri" w:eastAsia="Times New Roman"/>
                <w:b w:val="0"/>
                <w:bCs w:val="0"/>
                <w:color w:val="000000"/>
                <w:sz w:val="20"/>
              </w:rPr>
              <w:t>102.303,6</w:t>
            </w:r>
            <w:r>
              <w:rPr>
                <w:rFonts w:hint="default" w:ascii="Calibri" w:hAnsi="Calibri" w:eastAsia="Times New Roman"/>
                <w:b w:val="0"/>
                <w:bCs w:val="0"/>
                <w:color w:val="000000"/>
                <w:sz w:val="20"/>
                <w:lang w:val="pt-BR"/>
              </w:rPr>
              <w:t>0</w:t>
            </w:r>
          </w:p>
        </w:tc>
      </w:tr>
      <w:tr>
        <w:tblPrEx>
          <w:tblCellMar>
            <w:top w:w="0" w:type="dxa"/>
            <w:left w:w="70" w:type="dxa"/>
            <w:bottom w:w="0" w:type="dxa"/>
            <w:right w:w="70" w:type="dxa"/>
          </w:tblCellMar>
        </w:tblPrEx>
        <w:trPr>
          <w:trHeight w:val="567" w:hRule="atLeast"/>
        </w:trPr>
        <w:tc>
          <w:tcPr>
            <w:tcW w:w="2591" w:type="pct"/>
            <w:gridSpan w:val="6"/>
            <w:tcBorders>
              <w:top w:val="single" w:color="auto" w:sz="8" w:space="0"/>
              <w:left w:val="single" w:color="auto" w:sz="8" w:space="0"/>
              <w:bottom w:val="single" w:color="auto" w:sz="8" w:space="0"/>
              <w:right w:val="single" w:color="auto" w:sz="8" w:space="0"/>
            </w:tcBorders>
            <w:shd w:val="clear" w:color="000000" w:fill="548DD4" w:themeFill="text2" w:themeFillTint="99"/>
            <w:noWrap/>
            <w:vAlign w:val="center"/>
          </w:tcPr>
          <w:p>
            <w:pPr>
              <w:jc w:val="right"/>
              <w:rPr>
                <w:rFonts w:ascii="Calibri" w:hAnsi="Calibri" w:eastAsia="Times New Roman" w:cs="Calibri"/>
                <w:b/>
                <w:bCs/>
                <w:color w:val="000000"/>
                <w:sz w:val="20"/>
              </w:rPr>
            </w:pPr>
            <w:r>
              <w:rPr>
                <w:rFonts w:ascii="Calibri" w:hAnsi="Calibri" w:eastAsia="Times New Roman" w:cs="Calibri"/>
                <w:b/>
                <w:bCs/>
                <w:color w:val="000000"/>
                <w:sz w:val="20"/>
              </w:rPr>
              <w:t xml:space="preserve">   VALOR   TOTAL   </w:t>
            </w:r>
            <w:r>
              <w:rPr>
                <w:rFonts w:hint="default" w:ascii="Calibri" w:hAnsi="Calibri" w:eastAsia="Times New Roman" w:cs="Calibri"/>
                <w:b/>
                <w:bCs/>
                <w:color w:val="000000"/>
                <w:sz w:val="20"/>
                <w:lang w:val="pt-BR"/>
              </w:rPr>
              <w:t>MENSAL</w:t>
            </w:r>
            <w:r>
              <w:rPr>
                <w:rFonts w:ascii="Calibri" w:hAnsi="Calibri" w:eastAsia="Times New Roman" w:cs="Calibri"/>
                <w:b/>
                <w:bCs/>
                <w:color w:val="000000"/>
                <w:sz w:val="20"/>
              </w:rPr>
              <w:t xml:space="preserve">       </w:t>
            </w:r>
            <w:r>
              <w:rPr>
                <w:rFonts w:ascii="Calibri" w:hAnsi="Calibri" w:eastAsia="Times New Roman" w:cs="Calibri"/>
                <w:color w:val="000000"/>
                <w:sz w:val="20"/>
              </w:rPr>
              <w:t xml:space="preserve">       </w:t>
            </w:r>
            <w:r>
              <w:rPr>
                <w:rFonts w:ascii="Calibri" w:hAnsi="Calibri" w:eastAsia="Times New Roman" w:cs="Calibri"/>
                <w:b/>
                <w:bCs/>
                <w:color w:val="000000"/>
                <w:sz w:val="20"/>
              </w:rPr>
              <w:t>R$    1.357.768,11</w:t>
            </w:r>
          </w:p>
        </w:tc>
        <w:tc>
          <w:tcPr>
            <w:tcW w:w="2408" w:type="pct"/>
            <w:gridSpan w:val="4"/>
            <w:tcBorders>
              <w:top w:val="single" w:color="auto" w:sz="8" w:space="0"/>
              <w:left w:val="single" w:color="auto" w:sz="8" w:space="0"/>
              <w:bottom w:val="single" w:color="auto" w:sz="8" w:space="0"/>
              <w:right w:val="single" w:color="auto" w:sz="8" w:space="0"/>
            </w:tcBorders>
            <w:shd w:val="clear" w:color="000000" w:fill="548DD4" w:themeFill="text2" w:themeFillTint="99"/>
            <w:noWrap/>
            <w:vAlign w:val="center"/>
          </w:tcPr>
          <w:p>
            <w:pPr>
              <w:jc w:val="right"/>
              <w:rPr>
                <w:rFonts w:ascii="Calibri" w:hAnsi="Calibri" w:eastAsia="Times New Roman" w:cs="Calibri"/>
                <w:b/>
                <w:bCs/>
                <w:color w:val="000000"/>
                <w:sz w:val="20"/>
              </w:rPr>
            </w:pPr>
            <w:r>
              <w:rPr>
                <w:rFonts w:ascii="Calibri" w:hAnsi="Calibri" w:eastAsia="Times New Roman" w:cs="Calibri"/>
                <w:b/>
                <w:bCs/>
                <w:color w:val="000000"/>
                <w:sz w:val="20"/>
              </w:rPr>
              <w:t xml:space="preserve"> VALOR TOTAL ANUAL            R$  16.293.217,32</w:t>
            </w:r>
          </w:p>
        </w:tc>
      </w:tr>
    </w:tbl>
    <w:p>
      <w:pPr>
        <w:ind w:right="38" w:rightChars="16"/>
        <w:jc w:val="both"/>
        <w:rPr>
          <w:rFonts w:ascii="Arial" w:hAnsi="Arial" w:cs="Arial"/>
          <w:b/>
          <w:szCs w:val="24"/>
        </w:rPr>
        <w:sectPr>
          <w:pgSz w:w="16840" w:h="11907" w:orient="landscape"/>
          <w:pgMar w:top="1701" w:right="1814" w:bottom="567" w:left="851" w:header="284" w:footer="283" w:gutter="0"/>
          <w:paperSrc/>
          <w:cols w:space="0" w:num="1"/>
          <w:rtlGutter w:val="0"/>
          <w:docGrid w:linePitch="0" w:charSpace="0"/>
        </w:sectPr>
      </w:pPr>
    </w:p>
    <w:p>
      <w:pPr>
        <w:ind w:right="38" w:rightChars="16"/>
        <w:jc w:val="both"/>
        <w:rPr>
          <w:rFonts w:ascii="Arial" w:hAnsi="Arial" w:cs="Arial"/>
          <w:b/>
          <w:szCs w:val="24"/>
        </w:rPr>
      </w:pPr>
    </w:p>
    <w:p>
      <w:pPr>
        <w:ind w:right="38" w:rightChars="16"/>
        <w:jc w:val="both"/>
        <w:rPr>
          <w:rFonts w:ascii="Arial" w:hAnsi="Arial" w:cs="Arial"/>
          <w:b/>
          <w:szCs w:val="24"/>
        </w:rPr>
      </w:pPr>
    </w:p>
    <w:p>
      <w:pPr>
        <w:ind w:right="38" w:rightChars="16"/>
        <w:jc w:val="both"/>
        <w:rPr>
          <w:rFonts w:ascii="Arial" w:hAnsi="Arial" w:cs="Arial"/>
          <w:b/>
          <w:szCs w:val="24"/>
        </w:rPr>
      </w:pPr>
      <w:r>
        <w:rPr>
          <w:rFonts w:ascii="Arial" w:hAnsi="Arial" w:cs="Arial"/>
          <w:b/>
          <w:szCs w:val="24"/>
        </w:rPr>
        <w:t>4. CLÁUSULA QUARTA: DO SERVIÇO DE COLETA E TRANSPORTE DOS RESÍDUOS SÓLIDOS DOMICILIARES E COMERCIAIS DO MUNICÍPIO DE PRIMAVERA DO LESTE/MT</w:t>
      </w:r>
    </w:p>
    <w:p>
      <w:pPr>
        <w:ind w:right="38" w:rightChars="16"/>
        <w:jc w:val="both"/>
        <w:rPr>
          <w:rFonts w:ascii="Arial" w:hAnsi="Arial" w:cs="Arial"/>
          <w:szCs w:val="24"/>
        </w:rPr>
      </w:pPr>
      <w:r>
        <w:rPr>
          <w:rFonts w:ascii="Arial" w:hAnsi="Arial" w:cs="Arial"/>
          <w:b/>
          <w:bCs/>
          <w:szCs w:val="24"/>
        </w:rPr>
        <w:t>4.1.</w:t>
      </w:r>
      <w:r>
        <w:rPr>
          <w:rFonts w:ascii="Arial" w:hAnsi="Arial" w:cs="Arial"/>
          <w:szCs w:val="24"/>
        </w:rPr>
        <w:t xml:space="preserve"> Da definição do serviço:</w:t>
      </w:r>
    </w:p>
    <w:p>
      <w:pPr>
        <w:ind w:right="38" w:rightChars="16"/>
        <w:jc w:val="both"/>
        <w:rPr>
          <w:rFonts w:ascii="Arial" w:hAnsi="Arial" w:cs="Arial"/>
          <w:szCs w:val="24"/>
        </w:rPr>
      </w:pPr>
      <w:r>
        <w:rPr>
          <w:rFonts w:ascii="Arial" w:hAnsi="Arial" w:cs="Arial"/>
          <w:szCs w:val="24"/>
        </w:rPr>
        <w:t>a) A coleta e transporte de resíduos sólidos domiciliares e comerciais é o recolhimento de todos e quaisquer resíduos ou detritos apresentados regularmente nas vias e logradouros públicos, originários de estabelecimentos públicos, institucionais, comerciais e residenciais que caibam num recipiente com volume de até 100 (cem) litros ou com peso de 50 (cinquenta) quilos, por estabelecimento e posteriormente encaminhados ao o Unidade de Transbordo dos resíduos sólidos domiciliares e comerciais que fica localizado na MT 130, km 06, 07 (sete) km a esquerda mais 1.000 (mil) metros a esquerda, sendo destes 11 (onze) km de asfalto, desde que estejam acondicionados e/ou armazenados adequadamente e colocados a disposição do serviço de coleta.</w:t>
      </w:r>
    </w:p>
    <w:p>
      <w:pPr>
        <w:ind w:right="38" w:rightChars="16"/>
        <w:jc w:val="both"/>
        <w:rPr>
          <w:rFonts w:ascii="Arial" w:hAnsi="Arial" w:cs="Arial"/>
          <w:szCs w:val="24"/>
        </w:rPr>
      </w:pPr>
      <w:r>
        <w:rPr>
          <w:rFonts w:ascii="Arial" w:hAnsi="Arial" w:cs="Arial"/>
          <w:szCs w:val="24"/>
        </w:rPr>
        <w:t>b) Enquadram-se neste item os resíduos provenientes de:</w:t>
      </w:r>
    </w:p>
    <w:p>
      <w:pPr>
        <w:ind w:right="38" w:rightChars="16"/>
        <w:jc w:val="both"/>
        <w:rPr>
          <w:rFonts w:ascii="Arial" w:hAnsi="Arial" w:cs="Arial"/>
          <w:szCs w:val="24"/>
        </w:rPr>
      </w:pPr>
      <w:r>
        <w:rPr>
          <w:rFonts w:ascii="Arial" w:hAnsi="Arial" w:cs="Arial"/>
          <w:szCs w:val="24"/>
        </w:rPr>
        <w:t>-   Resíduos sólidos das unidades unifamiliares e multifamiliares em geral;</w:t>
      </w:r>
    </w:p>
    <w:p>
      <w:pPr>
        <w:ind w:right="38" w:rightChars="16"/>
        <w:jc w:val="both"/>
        <w:rPr>
          <w:rFonts w:ascii="Arial" w:hAnsi="Arial" w:cs="Arial"/>
          <w:szCs w:val="24"/>
        </w:rPr>
      </w:pPr>
      <w:r>
        <w:rPr>
          <w:rFonts w:ascii="Arial" w:hAnsi="Arial" w:cs="Arial"/>
          <w:szCs w:val="24"/>
        </w:rPr>
        <w:t>- Resíduos sólidos originários de estabelecimentos públicos, institucionais, de prestação de serviços, comerciais, industriais (Classe II-A – NBR 10.004) e de estabelecimentos de saúde públicos municipais (Classe II-A – NBR 10.004), executando-se os resíduos perigosos do setor industrial e infectantes da área de saúde e congêneres;</w:t>
      </w:r>
    </w:p>
    <w:p>
      <w:pPr>
        <w:ind w:right="38" w:rightChars="16"/>
        <w:jc w:val="both"/>
        <w:rPr>
          <w:rFonts w:ascii="Arial" w:hAnsi="Arial" w:cs="Arial"/>
          <w:szCs w:val="24"/>
        </w:rPr>
      </w:pPr>
      <w:r>
        <w:rPr>
          <w:rFonts w:ascii="Arial" w:hAnsi="Arial" w:cs="Arial"/>
          <w:szCs w:val="24"/>
        </w:rPr>
        <w:t>c) Não estão inclusos no serviço de coleta:</w:t>
      </w:r>
    </w:p>
    <w:p>
      <w:pPr>
        <w:ind w:right="38" w:rightChars="16"/>
        <w:jc w:val="both"/>
        <w:rPr>
          <w:rFonts w:ascii="Arial" w:hAnsi="Arial" w:cs="Arial"/>
          <w:szCs w:val="24"/>
        </w:rPr>
      </w:pPr>
      <w:r>
        <w:rPr>
          <w:rFonts w:ascii="Arial" w:hAnsi="Arial" w:cs="Arial"/>
          <w:szCs w:val="24"/>
        </w:rPr>
        <w:t>- Animais mortos de pequeno, médio e grande porte;</w:t>
      </w:r>
    </w:p>
    <w:p>
      <w:pPr>
        <w:ind w:right="38" w:rightChars="16"/>
        <w:jc w:val="both"/>
        <w:rPr>
          <w:rFonts w:ascii="Arial" w:hAnsi="Arial" w:cs="Arial"/>
          <w:szCs w:val="24"/>
        </w:rPr>
      </w:pPr>
      <w:r>
        <w:rPr>
          <w:rFonts w:ascii="Arial" w:hAnsi="Arial" w:cs="Arial"/>
          <w:szCs w:val="24"/>
        </w:rPr>
        <w:t>- Materiais radioativos;</w:t>
      </w:r>
    </w:p>
    <w:p>
      <w:pPr>
        <w:ind w:right="38" w:rightChars="16"/>
        <w:jc w:val="both"/>
        <w:rPr>
          <w:rFonts w:ascii="Arial" w:hAnsi="Arial" w:cs="Arial"/>
          <w:szCs w:val="24"/>
        </w:rPr>
      </w:pPr>
      <w:r>
        <w:rPr>
          <w:rFonts w:ascii="Arial" w:hAnsi="Arial" w:cs="Arial"/>
          <w:szCs w:val="24"/>
        </w:rPr>
        <w:t>- Resíduos sólidos tóxicos, reativos, corrosivos, patogênicos ou inflamáveis;</w:t>
      </w:r>
    </w:p>
    <w:p>
      <w:pPr>
        <w:ind w:right="38" w:rightChars="16"/>
        <w:jc w:val="both"/>
        <w:rPr>
          <w:rFonts w:ascii="Arial" w:hAnsi="Arial" w:cs="Arial"/>
          <w:szCs w:val="24"/>
        </w:rPr>
      </w:pPr>
      <w:r>
        <w:rPr>
          <w:rFonts w:ascii="Arial" w:hAnsi="Arial" w:cs="Arial"/>
          <w:szCs w:val="24"/>
        </w:rPr>
        <w:t>- Resíduos líquidos de toda espécie;</w:t>
      </w:r>
    </w:p>
    <w:p>
      <w:pPr>
        <w:ind w:right="38" w:rightChars="16"/>
        <w:jc w:val="both"/>
        <w:rPr>
          <w:rFonts w:ascii="Arial" w:hAnsi="Arial" w:cs="Arial"/>
          <w:szCs w:val="24"/>
        </w:rPr>
      </w:pPr>
      <w:r>
        <w:rPr>
          <w:rFonts w:ascii="Arial" w:hAnsi="Arial" w:cs="Arial"/>
          <w:szCs w:val="24"/>
        </w:rPr>
        <w:t>- Restos de móveis, inclusive toda linha de eletrodomésticos e eletroeletrônicos ou similares;</w:t>
      </w:r>
    </w:p>
    <w:p>
      <w:pPr>
        <w:ind w:right="38" w:rightChars="16"/>
        <w:jc w:val="both"/>
        <w:rPr>
          <w:rFonts w:ascii="Arial" w:hAnsi="Arial" w:cs="Arial"/>
          <w:szCs w:val="24"/>
        </w:rPr>
      </w:pPr>
      <w:r>
        <w:rPr>
          <w:rFonts w:ascii="Arial" w:hAnsi="Arial" w:cs="Arial"/>
          <w:szCs w:val="24"/>
        </w:rPr>
        <w:t>- Restos, pedaços e peças de madeira;</w:t>
      </w:r>
    </w:p>
    <w:p>
      <w:pPr>
        <w:ind w:right="38" w:rightChars="16"/>
        <w:jc w:val="both"/>
        <w:rPr>
          <w:rFonts w:ascii="Arial" w:hAnsi="Arial" w:cs="Arial"/>
          <w:szCs w:val="24"/>
        </w:rPr>
      </w:pPr>
      <w:r>
        <w:rPr>
          <w:rFonts w:ascii="Arial" w:hAnsi="Arial" w:cs="Arial"/>
          <w:szCs w:val="24"/>
        </w:rPr>
        <w:t>- Troncos, galhos e outros resíduos gerados na poda de árvores e manutenção de jardins;</w:t>
      </w:r>
    </w:p>
    <w:p>
      <w:pPr>
        <w:ind w:right="38" w:rightChars="16"/>
        <w:jc w:val="both"/>
        <w:rPr>
          <w:rFonts w:ascii="Arial" w:hAnsi="Arial" w:cs="Arial"/>
          <w:szCs w:val="24"/>
        </w:rPr>
      </w:pPr>
      <w:r>
        <w:rPr>
          <w:rFonts w:ascii="Arial" w:hAnsi="Arial" w:cs="Arial"/>
          <w:szCs w:val="24"/>
        </w:rPr>
        <w:t>- Resíduos gerados nas atividades da construção civil;</w:t>
      </w:r>
    </w:p>
    <w:p>
      <w:pPr>
        <w:ind w:right="38" w:rightChars="16"/>
        <w:jc w:val="both"/>
        <w:rPr>
          <w:rFonts w:ascii="Arial" w:hAnsi="Arial" w:cs="Arial"/>
          <w:szCs w:val="24"/>
        </w:rPr>
      </w:pPr>
      <w:r>
        <w:rPr>
          <w:rFonts w:ascii="Arial" w:hAnsi="Arial" w:cs="Arial"/>
          <w:szCs w:val="24"/>
        </w:rPr>
        <w:t>- Resíduos de Serviços de Saúde (RSS);</w:t>
      </w:r>
    </w:p>
    <w:p>
      <w:pPr>
        <w:ind w:right="38" w:rightChars="16"/>
        <w:jc w:val="both"/>
        <w:rPr>
          <w:rFonts w:ascii="Arial" w:hAnsi="Arial" w:cs="Arial"/>
          <w:szCs w:val="24"/>
        </w:rPr>
      </w:pPr>
      <w:r>
        <w:rPr>
          <w:rFonts w:ascii="Arial" w:hAnsi="Arial" w:cs="Arial"/>
          <w:szCs w:val="24"/>
        </w:rPr>
        <w:t>- Resíduos Industriais (Classe I).</w:t>
      </w:r>
    </w:p>
    <w:p>
      <w:pPr>
        <w:ind w:right="38" w:rightChars="16"/>
        <w:jc w:val="both"/>
        <w:rPr>
          <w:rFonts w:ascii="Arial" w:hAnsi="Arial" w:cs="Arial"/>
          <w:szCs w:val="24"/>
        </w:rPr>
      </w:pPr>
      <w:r>
        <w:rPr>
          <w:rFonts w:ascii="Arial" w:hAnsi="Arial" w:cs="Arial"/>
          <w:b/>
          <w:bCs/>
          <w:szCs w:val="24"/>
        </w:rPr>
        <w:t>4.2.</w:t>
      </w:r>
      <w:r>
        <w:rPr>
          <w:rFonts w:ascii="Arial" w:hAnsi="Arial" w:cs="Arial"/>
          <w:szCs w:val="24"/>
        </w:rPr>
        <w:t xml:space="preserve"> Da execução do serviço:</w:t>
      </w:r>
    </w:p>
    <w:p>
      <w:pPr>
        <w:ind w:right="38" w:rightChars="16"/>
        <w:jc w:val="both"/>
        <w:rPr>
          <w:rFonts w:ascii="Arial" w:hAnsi="Arial" w:cs="Arial"/>
          <w:szCs w:val="24"/>
        </w:rPr>
      </w:pPr>
      <w:r>
        <w:rPr>
          <w:rFonts w:ascii="Arial" w:hAnsi="Arial" w:cs="Arial"/>
          <w:szCs w:val="24"/>
        </w:rPr>
        <w:t xml:space="preserve">a) Os serviços deverão ser executados por 08 (oito) caminhões coletores, compactadores com capacidade de carga de 15 m³ (quinze metros cúbicos), dentro dos padrões técnicos estabelecidos por lei, mantendo um de reserva para não ter prejuízos para os munícipes, sendo: </w:t>
      </w:r>
    </w:p>
    <w:p>
      <w:pPr>
        <w:ind w:right="38" w:rightChars="16"/>
        <w:jc w:val="both"/>
        <w:rPr>
          <w:rFonts w:ascii="Arial" w:hAnsi="Arial" w:cs="Arial"/>
          <w:szCs w:val="24"/>
        </w:rPr>
      </w:pPr>
      <w:r>
        <w:rPr>
          <w:rFonts w:ascii="Arial" w:hAnsi="Arial" w:cs="Arial"/>
          <w:szCs w:val="24"/>
        </w:rPr>
        <w:t>b) 7 (sete) veículos caminhões com carroceria para coleta de lixo domiciliar, acoplado de caixa compactadora de lixo, de no mínimo de 15m³.</w:t>
      </w:r>
    </w:p>
    <w:p>
      <w:pPr>
        <w:ind w:right="38" w:rightChars="16"/>
        <w:jc w:val="both"/>
        <w:rPr>
          <w:rFonts w:ascii="Arial" w:hAnsi="Arial" w:cs="Arial"/>
          <w:szCs w:val="24"/>
        </w:rPr>
      </w:pPr>
      <w:r>
        <w:rPr>
          <w:rFonts w:ascii="Arial" w:hAnsi="Arial" w:cs="Arial"/>
          <w:szCs w:val="24"/>
        </w:rPr>
        <w:t>c) 1 (um) veículo caminhão reserva com carroceria para coleta de lixo domiciliar, acoplado de caixa compactadora de lixo, de no mínimo de 15m³.</w:t>
      </w:r>
    </w:p>
    <w:p>
      <w:pPr>
        <w:ind w:right="38" w:rightChars="16"/>
        <w:jc w:val="both"/>
        <w:rPr>
          <w:rFonts w:ascii="Arial" w:hAnsi="Arial" w:cs="Arial"/>
          <w:szCs w:val="24"/>
        </w:rPr>
      </w:pPr>
      <w:r>
        <w:rPr>
          <w:rFonts w:ascii="Arial" w:hAnsi="Arial" w:cs="Arial"/>
          <w:szCs w:val="24"/>
        </w:rPr>
        <w:t xml:space="preserve"> d) A coleta será realizada em dias alternados, 03 vezes por semana, ficando a contratada obrigada a efetuar o serviço mesmo em dia de feriados civis ou religiosos exceto aos domingos. </w:t>
      </w:r>
    </w:p>
    <w:p>
      <w:pPr>
        <w:ind w:right="38" w:rightChars="16"/>
        <w:jc w:val="both"/>
        <w:rPr>
          <w:rFonts w:ascii="Arial" w:hAnsi="Arial" w:cs="Arial"/>
          <w:szCs w:val="24"/>
        </w:rPr>
      </w:pPr>
      <w:r>
        <w:rPr>
          <w:rFonts w:ascii="Arial" w:hAnsi="Arial" w:cs="Arial"/>
          <w:szCs w:val="24"/>
        </w:rPr>
        <w:t xml:space="preserve">e)  A coleta deverá ser realizada apenas nos horários abaixo: </w:t>
      </w:r>
    </w:p>
    <w:p>
      <w:pPr>
        <w:ind w:right="38" w:rightChars="16"/>
        <w:jc w:val="both"/>
        <w:rPr>
          <w:rFonts w:ascii="Arial" w:hAnsi="Arial" w:cs="Arial"/>
          <w:szCs w:val="24"/>
        </w:rPr>
      </w:pPr>
      <w:r>
        <w:rPr>
          <w:rFonts w:ascii="Arial" w:hAnsi="Arial" w:cs="Arial"/>
          <w:szCs w:val="24"/>
        </w:rPr>
        <w:t xml:space="preserve">- Matutino início 04:00 às 10:00 </w:t>
      </w:r>
    </w:p>
    <w:p>
      <w:pPr>
        <w:ind w:right="38" w:rightChars="16"/>
        <w:jc w:val="both"/>
        <w:rPr>
          <w:rFonts w:ascii="Arial" w:hAnsi="Arial" w:cs="Arial"/>
          <w:szCs w:val="24"/>
        </w:rPr>
      </w:pPr>
      <w:r>
        <w:rPr>
          <w:rFonts w:ascii="Arial" w:hAnsi="Arial" w:cs="Arial"/>
          <w:szCs w:val="24"/>
        </w:rPr>
        <w:t>- Vespertino início 16:00 às 23:00.</w:t>
      </w:r>
    </w:p>
    <w:p>
      <w:pPr>
        <w:ind w:right="38" w:rightChars="16"/>
        <w:jc w:val="both"/>
        <w:rPr>
          <w:rFonts w:ascii="Arial" w:hAnsi="Arial" w:cs="Arial"/>
          <w:szCs w:val="24"/>
        </w:rPr>
      </w:pPr>
      <w:r>
        <w:rPr>
          <w:rFonts w:ascii="Arial" w:hAnsi="Arial" w:cs="Arial"/>
          <w:szCs w:val="24"/>
        </w:rPr>
        <w:t>- Noturno início 00:00 às 6:00.</w:t>
      </w:r>
    </w:p>
    <w:p>
      <w:pPr>
        <w:ind w:right="38" w:rightChars="16"/>
        <w:jc w:val="both"/>
        <w:rPr>
          <w:rFonts w:ascii="Arial" w:hAnsi="Arial" w:cs="Arial"/>
          <w:szCs w:val="24"/>
        </w:rPr>
      </w:pPr>
      <w:r>
        <w:rPr>
          <w:rFonts w:ascii="Arial" w:hAnsi="Arial" w:cs="Arial"/>
          <w:szCs w:val="24"/>
        </w:rPr>
        <w:t>f) Os resíduos deverão acondicionados para coleta em recipientes adequados, preferencialmente em sacos plásticos, sendo que não serão coletados resíduos a granel (espalhados), somente aqueles que estiverem devidamente acondicionados.</w:t>
      </w:r>
    </w:p>
    <w:p>
      <w:pPr>
        <w:ind w:right="38" w:rightChars="16"/>
        <w:jc w:val="both"/>
        <w:rPr>
          <w:rFonts w:ascii="Arial" w:hAnsi="Arial" w:cs="Arial"/>
          <w:szCs w:val="24"/>
        </w:rPr>
      </w:pPr>
      <w:r>
        <w:rPr>
          <w:rFonts w:ascii="Arial" w:hAnsi="Arial" w:cs="Arial"/>
          <w:szCs w:val="24"/>
        </w:rPr>
        <w:t>g) Todas as carrocerias dos veículos caminhões deverão ser fechadas e conter vedação eficiente, para evitar despejo de resíduos sólidos e líquidos (chorume) nas vias públicas, dotadas de sistema de descarga automática, sem necessidade de mão-de-obra para seu esvaziamento, dotado de suporte para pá e vassoura que constituem equipamentos obrigatórios, e com sistema de retenção de chorume com dispositivo de descarga.</w:t>
      </w:r>
    </w:p>
    <w:p>
      <w:pPr>
        <w:ind w:right="38" w:rightChars="16"/>
        <w:jc w:val="both"/>
        <w:rPr>
          <w:rFonts w:ascii="Arial" w:hAnsi="Arial" w:cs="Arial"/>
          <w:szCs w:val="24"/>
        </w:rPr>
      </w:pPr>
      <w:r>
        <w:rPr>
          <w:rFonts w:ascii="Arial" w:hAnsi="Arial" w:cs="Arial"/>
          <w:szCs w:val="24"/>
        </w:rPr>
        <w:t>h) Cada equipe para execução da coleta de resíduos sólidos domiciliares será constituída de no mínimo:</w:t>
      </w:r>
    </w:p>
    <w:p>
      <w:pPr>
        <w:ind w:right="38" w:rightChars="16"/>
        <w:jc w:val="both"/>
        <w:rPr>
          <w:rFonts w:ascii="Arial" w:hAnsi="Arial" w:cs="Arial"/>
          <w:szCs w:val="24"/>
        </w:rPr>
      </w:pPr>
      <w:r>
        <w:rPr>
          <w:rFonts w:ascii="Arial" w:hAnsi="Arial" w:cs="Arial"/>
          <w:szCs w:val="24"/>
        </w:rPr>
        <w:t>- 01 (um) motorista com carteira de habilitação profissional;</w:t>
      </w:r>
    </w:p>
    <w:p>
      <w:pPr>
        <w:ind w:right="38" w:rightChars="16"/>
        <w:jc w:val="both"/>
        <w:rPr>
          <w:rFonts w:ascii="Arial" w:hAnsi="Arial" w:cs="Arial"/>
          <w:szCs w:val="24"/>
        </w:rPr>
      </w:pPr>
      <w:r>
        <w:rPr>
          <w:rFonts w:ascii="Arial" w:hAnsi="Arial" w:cs="Arial"/>
          <w:szCs w:val="24"/>
        </w:rPr>
        <w:t>- 04 (quatro) coletores;</w:t>
      </w:r>
    </w:p>
    <w:p>
      <w:pPr>
        <w:ind w:right="38" w:rightChars="16"/>
        <w:jc w:val="both"/>
        <w:rPr>
          <w:rFonts w:ascii="Arial" w:hAnsi="Arial" w:cs="Arial"/>
          <w:szCs w:val="24"/>
        </w:rPr>
      </w:pPr>
      <w:r>
        <w:rPr>
          <w:rFonts w:ascii="Arial" w:hAnsi="Arial" w:cs="Arial"/>
          <w:szCs w:val="24"/>
        </w:rPr>
        <w:t xml:space="preserve">i) A Contratada será responsável por disponibilizar quantas pessoas forem necessárias para execução do serviço conforme planejamento. </w:t>
      </w:r>
    </w:p>
    <w:p>
      <w:pPr>
        <w:ind w:right="38" w:rightChars="16"/>
        <w:jc w:val="both"/>
        <w:rPr>
          <w:rFonts w:ascii="Arial" w:hAnsi="Arial" w:cs="Arial"/>
          <w:szCs w:val="24"/>
        </w:rPr>
      </w:pPr>
      <w:r>
        <w:rPr>
          <w:rFonts w:ascii="Arial" w:hAnsi="Arial" w:cs="Arial"/>
          <w:szCs w:val="24"/>
        </w:rPr>
        <w:t>J) Serão disponibilizadas para a execução dos serviços de acordo com o levantamento da Secretaria, 11 (onze) equipes para a execução dos serviços, distribuídos estes 4 (quatro) equipes no período matutino, 4 (quatro) equipes no período vespertino e 3 (três) equipes no período noturno.</w:t>
      </w:r>
    </w:p>
    <w:p>
      <w:pPr>
        <w:ind w:right="38" w:rightChars="16"/>
        <w:jc w:val="both"/>
        <w:rPr>
          <w:rFonts w:ascii="Arial" w:hAnsi="Arial" w:cs="Arial"/>
          <w:szCs w:val="24"/>
        </w:rPr>
      </w:pPr>
      <w:r>
        <w:rPr>
          <w:rFonts w:ascii="Arial" w:hAnsi="Arial" w:cs="Arial"/>
          <w:szCs w:val="24"/>
        </w:rPr>
        <w:t>k) Será terminantemente proibido aos empregados da Contratada realizar catação ou triagem de resíduos nos veículos, ingerirem alimentos e bebidas alcoólicas em serviço e/ou pedirem gratificação de qualquer espécie.</w:t>
      </w:r>
    </w:p>
    <w:p>
      <w:pPr>
        <w:ind w:right="38" w:rightChars="16"/>
        <w:jc w:val="both"/>
        <w:rPr>
          <w:rFonts w:ascii="Arial" w:hAnsi="Arial" w:cs="Arial"/>
          <w:szCs w:val="24"/>
        </w:rPr>
      </w:pPr>
      <w:r>
        <w:rPr>
          <w:rFonts w:ascii="Arial" w:hAnsi="Arial" w:cs="Arial"/>
          <w:szCs w:val="24"/>
        </w:rPr>
        <w:t>l)  A frequência e os turnos de coleta a serem atendidos para cada bairro é apresentado a seguir:</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30"/>
        <w:gridCol w:w="1809"/>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trPr>
        <w:tc>
          <w:tcPr>
            <w:tcW w:w="5930" w:type="dxa"/>
            <w:shd w:val="clear" w:color="auto" w:fill="FDE9D9"/>
            <w:vAlign w:val="center"/>
          </w:tcPr>
          <w:p>
            <w:pPr>
              <w:ind w:firstLine="720"/>
              <w:jc w:val="center"/>
              <w:rPr>
                <w:rFonts w:ascii="Calibri" w:hAnsi="Calibri" w:cs="Calibri"/>
                <w:b/>
                <w:bCs/>
                <w:sz w:val="20"/>
              </w:rPr>
            </w:pPr>
            <w:r>
              <w:rPr>
                <w:rFonts w:ascii="Calibri" w:hAnsi="Calibri" w:cs="Calibri"/>
                <w:b/>
                <w:bCs/>
                <w:sz w:val="20"/>
              </w:rPr>
              <w:t>BAIRROS</w:t>
            </w:r>
          </w:p>
        </w:tc>
        <w:tc>
          <w:tcPr>
            <w:tcW w:w="1809" w:type="dxa"/>
            <w:shd w:val="clear" w:color="auto" w:fill="FDE9D9"/>
            <w:vAlign w:val="center"/>
          </w:tcPr>
          <w:p>
            <w:pPr>
              <w:jc w:val="center"/>
              <w:rPr>
                <w:rFonts w:ascii="Calibri" w:hAnsi="Calibri" w:cs="Calibri"/>
                <w:b/>
                <w:bCs/>
                <w:sz w:val="20"/>
              </w:rPr>
            </w:pPr>
            <w:r>
              <w:rPr>
                <w:rFonts w:ascii="Calibri" w:hAnsi="Calibri" w:cs="Calibri"/>
                <w:b/>
                <w:bCs/>
                <w:sz w:val="20"/>
              </w:rPr>
              <w:t>TURNO</w:t>
            </w:r>
          </w:p>
        </w:tc>
        <w:tc>
          <w:tcPr>
            <w:tcW w:w="2110" w:type="dxa"/>
            <w:shd w:val="clear" w:color="auto" w:fill="FDE9D9"/>
            <w:vAlign w:val="center"/>
          </w:tcPr>
          <w:p>
            <w:pPr>
              <w:jc w:val="both"/>
              <w:rPr>
                <w:rFonts w:ascii="Calibri" w:hAnsi="Calibri" w:cs="Calibri"/>
                <w:b/>
                <w:bCs/>
                <w:sz w:val="20"/>
              </w:rPr>
            </w:pPr>
            <w:r>
              <w:rPr>
                <w:rFonts w:ascii="Calibri" w:hAnsi="Calibri" w:cs="Calibri"/>
                <w:b/>
                <w:bCs/>
                <w:sz w:val="20"/>
              </w:rPr>
              <w:t>FREQUÊNCIA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930" w:type="dxa"/>
            <w:vAlign w:val="center"/>
          </w:tcPr>
          <w:p>
            <w:pPr>
              <w:ind w:firstLine="720"/>
              <w:jc w:val="center"/>
              <w:rPr>
                <w:rFonts w:ascii="Calibri" w:hAnsi="Calibri" w:cs="Calibri"/>
                <w:sz w:val="20"/>
              </w:rPr>
            </w:pPr>
            <w:r>
              <w:rPr>
                <w:rFonts w:ascii="Calibri" w:hAnsi="Calibri" w:cs="Calibri"/>
                <w:sz w:val="20"/>
              </w:rPr>
              <w:t>Centro (primavera I)</w:t>
            </w:r>
          </w:p>
        </w:tc>
        <w:tc>
          <w:tcPr>
            <w:tcW w:w="1809" w:type="dxa"/>
            <w:vAlign w:val="center"/>
          </w:tcPr>
          <w:p>
            <w:pPr>
              <w:jc w:val="both"/>
              <w:rPr>
                <w:rFonts w:ascii="Calibri" w:hAnsi="Calibri" w:cs="Calibri"/>
                <w:sz w:val="20"/>
              </w:rPr>
            </w:pPr>
            <w:r>
              <w:rPr>
                <w:rFonts w:ascii="Calibri" w:hAnsi="Calibri" w:cs="Calibri"/>
                <w:sz w:val="20"/>
              </w:rPr>
              <w:t>NOTURNO</w:t>
            </w:r>
          </w:p>
        </w:tc>
        <w:tc>
          <w:tcPr>
            <w:tcW w:w="2110" w:type="dxa"/>
            <w:vAlign w:val="center"/>
          </w:tcPr>
          <w:p>
            <w:pPr>
              <w:jc w:val="center"/>
              <w:rPr>
                <w:rFonts w:ascii="Calibri" w:hAnsi="Calibri" w:cs="Calibri"/>
                <w:sz w:val="20"/>
              </w:rPr>
            </w:pPr>
            <w:r>
              <w:rPr>
                <w:rFonts w:ascii="Calibri" w:hAnsi="Calibri" w:cs="Calibri"/>
                <w:sz w:val="20"/>
              </w:rPr>
              <w:t>DIARIO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9" w:hRule="atLeast"/>
        </w:trPr>
        <w:tc>
          <w:tcPr>
            <w:tcW w:w="5930" w:type="dxa"/>
            <w:vAlign w:val="center"/>
          </w:tcPr>
          <w:p>
            <w:pPr>
              <w:ind w:firstLine="720"/>
              <w:jc w:val="center"/>
              <w:rPr>
                <w:rFonts w:ascii="Calibri" w:hAnsi="Calibri" w:cs="Calibri"/>
                <w:sz w:val="20"/>
              </w:rPr>
            </w:pPr>
            <w:r>
              <w:rPr>
                <w:rFonts w:ascii="Calibri" w:hAnsi="Calibri" w:cs="Calibri"/>
                <w:sz w:val="20"/>
              </w:rPr>
              <w:t>Primavera II; Parque das Águas; Bairro Vitória I, II; Villa Venetto; Villa Padova; Villa Romana; Jardim Bela Vista; Jardim Florença; Jardim Itália; Jardim Riva I, II; Jardim Veneza; Jardim Milano</w:t>
            </w:r>
          </w:p>
        </w:tc>
        <w:tc>
          <w:tcPr>
            <w:tcW w:w="1809" w:type="dxa"/>
            <w:vAlign w:val="center"/>
          </w:tcPr>
          <w:p>
            <w:pPr>
              <w:jc w:val="both"/>
              <w:rPr>
                <w:rFonts w:ascii="Calibri" w:hAnsi="Calibri" w:cs="Calibri"/>
                <w:sz w:val="20"/>
              </w:rPr>
            </w:pPr>
            <w:r>
              <w:rPr>
                <w:rFonts w:ascii="Calibri" w:hAnsi="Calibri" w:cs="Calibri"/>
                <w:sz w:val="20"/>
              </w:rPr>
              <w:t>NOTURNO</w:t>
            </w:r>
          </w:p>
        </w:tc>
        <w:tc>
          <w:tcPr>
            <w:tcW w:w="2110" w:type="dxa"/>
            <w:vAlign w:val="center"/>
          </w:tcPr>
          <w:p>
            <w:pPr>
              <w:jc w:val="center"/>
              <w:rPr>
                <w:rFonts w:ascii="Calibri" w:hAnsi="Calibri" w:cs="Calibri"/>
                <w:sz w:val="20"/>
              </w:rPr>
            </w:pPr>
            <w:r>
              <w:rPr>
                <w:rFonts w:ascii="Calibri" w:hAnsi="Calibri" w:cs="Calibri"/>
                <w:sz w:val="20"/>
              </w:rPr>
              <w:t>3 VEZES POR SEMANA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9" w:hRule="atLeast"/>
        </w:trPr>
        <w:tc>
          <w:tcPr>
            <w:tcW w:w="5930" w:type="dxa"/>
            <w:vAlign w:val="center"/>
          </w:tcPr>
          <w:p>
            <w:pPr>
              <w:ind w:firstLine="720"/>
              <w:jc w:val="center"/>
              <w:rPr>
                <w:rFonts w:ascii="Calibri" w:hAnsi="Calibri" w:cs="Calibri"/>
                <w:sz w:val="20"/>
              </w:rPr>
            </w:pPr>
            <w:r>
              <w:rPr>
                <w:rFonts w:ascii="Calibri" w:hAnsi="Calibri" w:cs="Calibri"/>
                <w:sz w:val="20"/>
              </w:rPr>
              <w:t>Chácara Nova Esperança; Primavera III; Reserva da Mata; Jardim das Américas I, II, III, IV, V, VI, VII, VIII; Jardim Esperança; Jardim Europa I, II; Bairro Volta Grande; Bairro Belvedere; Bairro Guterres; Bairro Imperial I, II, III; Bairro Buritis I, II, III, IV, V; Bairro Firenze; Bairro Padre Onesto Costa; Bairro Tuiuu</w:t>
            </w:r>
          </w:p>
        </w:tc>
        <w:tc>
          <w:tcPr>
            <w:tcW w:w="1809" w:type="dxa"/>
            <w:vAlign w:val="center"/>
          </w:tcPr>
          <w:p>
            <w:pPr>
              <w:jc w:val="both"/>
              <w:rPr>
                <w:rFonts w:ascii="Calibri" w:hAnsi="Calibri" w:cs="Calibri"/>
                <w:sz w:val="20"/>
              </w:rPr>
            </w:pPr>
            <w:r>
              <w:rPr>
                <w:rFonts w:ascii="Calibri" w:hAnsi="Calibri" w:cs="Calibri"/>
                <w:sz w:val="20"/>
              </w:rPr>
              <w:t>MATUTINO</w:t>
            </w:r>
          </w:p>
        </w:tc>
        <w:tc>
          <w:tcPr>
            <w:tcW w:w="2110" w:type="dxa"/>
            <w:vAlign w:val="center"/>
          </w:tcPr>
          <w:p>
            <w:pPr>
              <w:jc w:val="center"/>
              <w:rPr>
                <w:rFonts w:ascii="Calibri" w:hAnsi="Calibri" w:cs="Calibri"/>
                <w:sz w:val="20"/>
              </w:rPr>
            </w:pPr>
            <w:r>
              <w:rPr>
                <w:rFonts w:ascii="Calibri" w:hAnsi="Calibri" w:cs="Calibri"/>
                <w:sz w:val="20"/>
              </w:rPr>
              <w:t>3 VEZES POR SEMANA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2" w:hRule="atLeast"/>
        </w:trPr>
        <w:tc>
          <w:tcPr>
            <w:tcW w:w="5930" w:type="dxa"/>
            <w:vAlign w:val="center"/>
          </w:tcPr>
          <w:p>
            <w:pPr>
              <w:ind w:firstLine="720"/>
              <w:jc w:val="both"/>
              <w:rPr>
                <w:rFonts w:ascii="Calibri" w:hAnsi="Calibri" w:cs="Calibri"/>
                <w:sz w:val="20"/>
              </w:rPr>
            </w:pPr>
            <w:r>
              <w:rPr>
                <w:rFonts w:ascii="Calibri" w:hAnsi="Calibri" w:cs="Calibri"/>
                <w:sz w:val="20"/>
              </w:rPr>
              <w:t>Bairro Tancredo Neves; Coahbi Jaime Campos; Bairro São Cristovao I, II, III; Bairro Cristo Rei; Bairro Pioneiro; Bairro Planalto; Bairro Serrano; Bairro São Jose; Distrito industrial I, II; Jardim Luciana I, II; Bairro Maringá; Bairro Poncho Verde I, II, III,; Jardim Progresso I, II; Jardim Serra da Flores; Jardim Universitário I, II; Santa Felicidade; Três américas; Vertente das Aguas; Parque Castelândia I, II, III, IV, V, VI; Parque Eldorado; Parque Gnoato; Bairro Santa Clara I, II; Assentamento Novo Progresso; Vila Popular</w:t>
            </w:r>
          </w:p>
        </w:tc>
        <w:tc>
          <w:tcPr>
            <w:tcW w:w="1809" w:type="dxa"/>
            <w:vAlign w:val="center"/>
          </w:tcPr>
          <w:p>
            <w:pPr>
              <w:jc w:val="center"/>
              <w:rPr>
                <w:rFonts w:ascii="Calibri" w:hAnsi="Calibri" w:cs="Calibri"/>
                <w:sz w:val="20"/>
              </w:rPr>
            </w:pPr>
            <w:r>
              <w:rPr>
                <w:rFonts w:ascii="Calibri" w:hAnsi="Calibri" w:cs="Calibri"/>
                <w:sz w:val="20"/>
              </w:rPr>
              <w:t>VESPERTINO</w:t>
            </w:r>
          </w:p>
        </w:tc>
        <w:tc>
          <w:tcPr>
            <w:tcW w:w="2110" w:type="dxa"/>
            <w:vAlign w:val="center"/>
          </w:tcPr>
          <w:p>
            <w:pPr>
              <w:jc w:val="center"/>
              <w:rPr>
                <w:rFonts w:ascii="Calibri" w:hAnsi="Calibri" w:cs="Calibri"/>
                <w:sz w:val="20"/>
              </w:rPr>
            </w:pPr>
            <w:r>
              <w:rPr>
                <w:rFonts w:ascii="Calibri" w:hAnsi="Calibri" w:cs="Calibri"/>
                <w:sz w:val="20"/>
              </w:rPr>
              <w:t>3 VEZES POR SEMANA</w:t>
            </w:r>
          </w:p>
        </w:tc>
      </w:tr>
    </w:tbl>
    <w:p>
      <w:pPr>
        <w:ind w:right="38" w:rightChars="16" w:firstLine="120" w:firstLineChars="50"/>
        <w:jc w:val="both"/>
        <w:rPr>
          <w:rFonts w:ascii="Arial" w:hAnsi="Arial" w:cs="Arial"/>
          <w:szCs w:val="24"/>
        </w:rPr>
      </w:pPr>
    </w:p>
    <w:p>
      <w:pPr>
        <w:ind w:right="38" w:rightChars="16" w:firstLine="120" w:firstLineChars="50"/>
        <w:jc w:val="both"/>
        <w:rPr>
          <w:rFonts w:ascii="Arial" w:hAnsi="Arial" w:cs="Arial"/>
          <w:szCs w:val="24"/>
        </w:rPr>
      </w:pPr>
      <w:r>
        <w:rPr>
          <w:rFonts w:ascii="Arial" w:hAnsi="Arial" w:cs="Arial"/>
          <w:szCs w:val="24"/>
        </w:rPr>
        <w:t>- De acordo com os levantamentos técnicos realizados pela Prefeitura Municipal serão percorridos diariamente, em média, 1.409,41 km (distâncias produtivas e distâncias improdutivas), conforme apresentado a seguir:</w:t>
      </w:r>
    </w:p>
    <w:tbl>
      <w:tblPr>
        <w:tblStyle w:val="12"/>
        <w:tblW w:w="0" w:type="auto"/>
        <w:tblInd w:w="0" w:type="dxa"/>
        <w:tblLayout w:type="fixed"/>
        <w:tblCellMar>
          <w:top w:w="0" w:type="dxa"/>
          <w:left w:w="70" w:type="dxa"/>
          <w:bottom w:w="0" w:type="dxa"/>
          <w:right w:w="70" w:type="dxa"/>
        </w:tblCellMar>
      </w:tblPr>
      <w:tblGrid>
        <w:gridCol w:w="6339"/>
        <w:gridCol w:w="3472"/>
      </w:tblGrid>
      <w:tr>
        <w:tblPrEx>
          <w:tblCellMar>
            <w:top w:w="0" w:type="dxa"/>
            <w:left w:w="70" w:type="dxa"/>
            <w:bottom w:w="0" w:type="dxa"/>
            <w:right w:w="70" w:type="dxa"/>
          </w:tblCellMar>
        </w:tblPrEx>
        <w:trPr>
          <w:trHeight w:val="397" w:hRule="atLeast"/>
          <w:tblHeader/>
        </w:trPr>
        <w:tc>
          <w:tcPr>
            <w:tcW w:w="6339" w:type="dxa"/>
            <w:tcBorders>
              <w:top w:val="single" w:color="auto" w:sz="4" w:space="0"/>
              <w:left w:val="single" w:color="auto" w:sz="4" w:space="0"/>
              <w:bottom w:val="single" w:color="auto" w:sz="4" w:space="0"/>
              <w:right w:val="single" w:color="auto" w:sz="4" w:space="0"/>
            </w:tcBorders>
            <w:shd w:val="clear" w:color="auto" w:fill="FDE9D9"/>
            <w:vAlign w:val="center"/>
          </w:tcPr>
          <w:p>
            <w:pPr>
              <w:ind w:firstLine="720"/>
              <w:jc w:val="center"/>
              <w:rPr>
                <w:rFonts w:ascii="Calibri" w:hAnsi="Calibri" w:cs="Calibri"/>
                <w:b/>
                <w:bCs/>
                <w:sz w:val="20"/>
              </w:rPr>
            </w:pPr>
            <w:r>
              <w:rPr>
                <w:rFonts w:ascii="Calibri" w:hAnsi="Calibri" w:cs="Calibri"/>
                <w:b/>
                <w:bCs/>
                <w:sz w:val="20"/>
              </w:rPr>
              <w:t>DISTÂNCIA</w:t>
            </w:r>
          </w:p>
        </w:tc>
        <w:tc>
          <w:tcPr>
            <w:tcW w:w="3472" w:type="dxa"/>
            <w:tcBorders>
              <w:top w:val="single" w:color="auto" w:sz="4" w:space="0"/>
              <w:left w:val="nil"/>
              <w:bottom w:val="single" w:color="auto" w:sz="4" w:space="0"/>
              <w:right w:val="single" w:color="auto" w:sz="4" w:space="0"/>
            </w:tcBorders>
            <w:shd w:val="clear" w:color="auto" w:fill="FDE9D9"/>
            <w:vAlign w:val="center"/>
          </w:tcPr>
          <w:p>
            <w:pPr>
              <w:ind w:firstLine="720"/>
              <w:jc w:val="center"/>
              <w:rPr>
                <w:rFonts w:ascii="Calibri" w:hAnsi="Calibri" w:cs="Calibri"/>
                <w:b/>
                <w:bCs/>
                <w:sz w:val="20"/>
              </w:rPr>
            </w:pPr>
            <w:r>
              <w:rPr>
                <w:rFonts w:ascii="Calibri" w:hAnsi="Calibri" w:cs="Calibri"/>
                <w:b/>
                <w:bCs/>
                <w:sz w:val="20"/>
              </w:rPr>
              <w:t>KM PERCORRIDOS</w:t>
            </w:r>
          </w:p>
        </w:tc>
      </w:tr>
      <w:tr>
        <w:tblPrEx>
          <w:tblCellMar>
            <w:top w:w="0" w:type="dxa"/>
            <w:left w:w="70" w:type="dxa"/>
            <w:bottom w:w="0" w:type="dxa"/>
            <w:right w:w="70" w:type="dxa"/>
          </w:tblCellMar>
        </w:tblPrEx>
        <w:trPr>
          <w:trHeight w:val="397" w:hRule="atLeast"/>
        </w:trPr>
        <w:tc>
          <w:tcPr>
            <w:tcW w:w="6339" w:type="dxa"/>
            <w:tcBorders>
              <w:top w:val="single" w:color="auto" w:sz="4" w:space="0"/>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semanal produtiva</w:t>
            </w:r>
          </w:p>
        </w:tc>
        <w:tc>
          <w:tcPr>
            <w:tcW w:w="3472" w:type="dxa"/>
            <w:tcBorders>
              <w:top w:val="single" w:color="auto" w:sz="4" w:space="0"/>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3.451,62</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semanal improdutiva</w:t>
            </w:r>
          </w:p>
        </w:tc>
        <w:tc>
          <w:tcPr>
            <w:tcW w:w="3472"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5.004,85</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diária produtiva</w:t>
            </w:r>
          </w:p>
        </w:tc>
        <w:tc>
          <w:tcPr>
            <w:tcW w:w="3472"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575,27</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diária improdutiva</w:t>
            </w:r>
          </w:p>
        </w:tc>
        <w:tc>
          <w:tcPr>
            <w:tcW w:w="3472"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834,14</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p>
        </w:tc>
        <w:tc>
          <w:tcPr>
            <w:tcW w:w="3472"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b/>
                <w:bCs/>
                <w:sz w:val="20"/>
              </w:rPr>
              <w:t>Distância média diária total</w:t>
            </w:r>
          </w:p>
        </w:tc>
        <w:tc>
          <w:tcPr>
            <w:tcW w:w="3472"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b/>
                <w:bCs/>
                <w:sz w:val="20"/>
              </w:rPr>
              <w:t>1.409,41</w:t>
            </w:r>
          </w:p>
        </w:tc>
      </w:tr>
    </w:tbl>
    <w:p>
      <w:pPr>
        <w:ind w:right="38" w:rightChars="16"/>
        <w:jc w:val="both"/>
        <w:rPr>
          <w:rFonts w:ascii="Arial" w:hAnsi="Arial" w:cs="Arial"/>
          <w:szCs w:val="24"/>
        </w:rPr>
      </w:pPr>
    </w:p>
    <w:p>
      <w:pPr>
        <w:ind w:right="38" w:rightChars="16"/>
        <w:jc w:val="both"/>
        <w:rPr>
          <w:rFonts w:ascii="Arial" w:hAnsi="Arial" w:cs="Arial"/>
          <w:b/>
          <w:bCs/>
          <w:szCs w:val="24"/>
        </w:rPr>
      </w:pPr>
      <w:r>
        <w:rPr>
          <w:rFonts w:ascii="Arial" w:hAnsi="Arial" w:cs="Arial"/>
          <w:b/>
          <w:bCs/>
          <w:szCs w:val="24"/>
        </w:rPr>
        <w:t>4.3 DO SERVIÇO DE COLETA SELETIVA DOS MATERIAIS RECICLÁVEIS</w:t>
      </w:r>
    </w:p>
    <w:p>
      <w:pPr>
        <w:ind w:right="38" w:rightChars="16"/>
        <w:jc w:val="both"/>
        <w:rPr>
          <w:rFonts w:ascii="Arial" w:hAnsi="Arial" w:cs="Arial"/>
          <w:szCs w:val="24"/>
        </w:rPr>
      </w:pPr>
      <w:r>
        <w:rPr>
          <w:rFonts w:ascii="Arial" w:hAnsi="Arial" w:cs="Arial"/>
          <w:b/>
          <w:bCs/>
          <w:szCs w:val="24"/>
        </w:rPr>
        <w:t>4.3.1</w:t>
      </w:r>
      <w:r>
        <w:rPr>
          <w:rFonts w:ascii="Arial" w:hAnsi="Arial" w:cs="Arial"/>
          <w:szCs w:val="24"/>
        </w:rPr>
        <w:t xml:space="preserve"> Da definição do serviço:</w:t>
      </w:r>
    </w:p>
    <w:p>
      <w:pPr>
        <w:ind w:right="38" w:rightChars="16"/>
        <w:jc w:val="both"/>
        <w:rPr>
          <w:rFonts w:ascii="Arial" w:hAnsi="Arial" w:cs="Arial"/>
          <w:szCs w:val="24"/>
        </w:rPr>
      </w:pPr>
      <w:r>
        <w:rPr>
          <w:rFonts w:ascii="Arial" w:hAnsi="Arial" w:cs="Arial"/>
          <w:szCs w:val="24"/>
        </w:rPr>
        <w:t>a) Define-se como coleta seletiva a coleta e transporte regular dos materiais recicláveis disponibilizados pelos domicílios, estabelecimentos comerciais, estabelecimentos industriais, em vias ou logradouros públicos ou nos próprios locais de funcionamento dos estabelecimentos no âmbito do Município de Primavera do Leste/MT;</w:t>
      </w:r>
    </w:p>
    <w:p>
      <w:pPr>
        <w:ind w:right="38" w:rightChars="16"/>
        <w:jc w:val="both"/>
        <w:rPr>
          <w:rFonts w:ascii="Arial" w:hAnsi="Arial" w:cs="Arial"/>
          <w:szCs w:val="24"/>
        </w:rPr>
      </w:pPr>
      <w:r>
        <w:rPr>
          <w:rFonts w:ascii="Arial" w:hAnsi="Arial" w:cs="Arial"/>
          <w:szCs w:val="24"/>
        </w:rPr>
        <w:t>b) Entende-se como materiais recicláveis todo material que tenha condições de reutilização, reuso ou serem reciclados tais como – papel, papelão, plásticos, vidros, metais ferrosos e não ferrosos, entre outros.</w:t>
      </w:r>
    </w:p>
    <w:p>
      <w:pPr>
        <w:ind w:right="38" w:rightChars="16"/>
        <w:jc w:val="both"/>
        <w:rPr>
          <w:rFonts w:ascii="Arial" w:hAnsi="Arial" w:cs="Arial"/>
          <w:szCs w:val="24"/>
        </w:rPr>
      </w:pPr>
      <w:r>
        <w:rPr>
          <w:rFonts w:ascii="Arial" w:hAnsi="Arial" w:cs="Arial"/>
          <w:b/>
          <w:bCs/>
          <w:szCs w:val="24"/>
        </w:rPr>
        <w:t>4.3.2.</w:t>
      </w:r>
      <w:r>
        <w:rPr>
          <w:rFonts w:ascii="Arial" w:hAnsi="Arial" w:cs="Arial"/>
          <w:szCs w:val="24"/>
        </w:rPr>
        <w:t xml:space="preserve"> Da execução do serviço:</w:t>
      </w:r>
    </w:p>
    <w:p>
      <w:pPr>
        <w:ind w:right="38" w:rightChars="16"/>
        <w:jc w:val="both"/>
        <w:rPr>
          <w:rFonts w:ascii="Arial" w:hAnsi="Arial" w:cs="Arial"/>
          <w:szCs w:val="24"/>
        </w:rPr>
      </w:pPr>
      <w:r>
        <w:rPr>
          <w:rFonts w:ascii="Arial" w:hAnsi="Arial" w:cs="Arial"/>
          <w:szCs w:val="24"/>
        </w:rPr>
        <w:t>a)  A Coleta Seletiva será realizada nas vias e logradouros da cidade de Primavera do Leste/MT, no conceito de coleta porta a porta, devendo ser inicialmente dimensionada para 12 (doze) setores de coleta com frequência de coleta semanal.</w:t>
      </w:r>
    </w:p>
    <w:p>
      <w:pPr>
        <w:ind w:right="38" w:rightChars="16"/>
        <w:jc w:val="both"/>
        <w:rPr>
          <w:rFonts w:ascii="Arial" w:hAnsi="Arial" w:cs="Arial"/>
          <w:szCs w:val="24"/>
        </w:rPr>
      </w:pPr>
      <w:r>
        <w:rPr>
          <w:rFonts w:ascii="Arial" w:hAnsi="Arial" w:cs="Arial"/>
          <w:szCs w:val="24"/>
        </w:rPr>
        <w:t>b) Os serviços deverão ser executados por 03 (três) caminhões coletores, acomodador (caminhão compactador com pressão reduzida para coleta de resíduos recicláveis) com capacidade de carga de 15 m³ (quinze metros cúbicos), dentro dos padrões técnicos estabelecidos por lei, mantendo um de reserva para não ter prejuízos para os munícipes, sendo:</w:t>
      </w:r>
    </w:p>
    <w:p>
      <w:pPr>
        <w:ind w:right="38" w:rightChars="16"/>
        <w:jc w:val="both"/>
        <w:rPr>
          <w:rFonts w:ascii="Arial" w:hAnsi="Arial" w:cs="Arial"/>
          <w:szCs w:val="24"/>
        </w:rPr>
      </w:pPr>
      <w:r>
        <w:rPr>
          <w:rFonts w:ascii="Arial" w:hAnsi="Arial" w:cs="Arial"/>
          <w:szCs w:val="24"/>
        </w:rPr>
        <w:t>- 2 (dois) caminhões coletores, acomodador (caminhão compactador com pressão reduzida para coleta de resíduos recicláveis) com capacidade de carga de 15 m³ (quinze metros cúbicos).</w:t>
      </w:r>
    </w:p>
    <w:p>
      <w:pPr>
        <w:ind w:right="38" w:rightChars="16"/>
        <w:jc w:val="both"/>
        <w:rPr>
          <w:rFonts w:ascii="Arial" w:hAnsi="Arial" w:cs="Arial"/>
          <w:szCs w:val="24"/>
        </w:rPr>
      </w:pPr>
      <w:r>
        <w:rPr>
          <w:rFonts w:ascii="Arial" w:hAnsi="Arial" w:cs="Arial"/>
          <w:szCs w:val="24"/>
        </w:rPr>
        <w:t>- 1 (um) caminhão coletor reserva, acomodador (caminhão compactador com pressão reduzida para coleta de resíduos recicláveis) com capacidade de carga de 15 m³ (quinze metros cúbicos).</w:t>
      </w:r>
    </w:p>
    <w:p>
      <w:pPr>
        <w:ind w:right="38" w:rightChars="16"/>
        <w:jc w:val="both"/>
        <w:rPr>
          <w:rFonts w:ascii="Arial" w:hAnsi="Arial" w:cs="Arial"/>
          <w:szCs w:val="24"/>
        </w:rPr>
      </w:pPr>
      <w:r>
        <w:rPr>
          <w:rFonts w:ascii="Arial" w:hAnsi="Arial" w:cs="Arial"/>
          <w:szCs w:val="24"/>
        </w:rPr>
        <w:t>c)  A coleta deverá ser implantada gradativamente, iniciando-se imediatamente após a emissão da ordem de serviço nos bairros da região central de Primavera do Leste/MT.</w:t>
      </w:r>
    </w:p>
    <w:p>
      <w:pPr>
        <w:ind w:right="38" w:rightChars="16"/>
        <w:jc w:val="both"/>
        <w:rPr>
          <w:rFonts w:ascii="Arial" w:hAnsi="Arial" w:cs="Arial"/>
          <w:szCs w:val="24"/>
        </w:rPr>
      </w:pPr>
      <w:r>
        <w:rPr>
          <w:rFonts w:ascii="Arial" w:hAnsi="Arial" w:cs="Arial"/>
          <w:szCs w:val="24"/>
        </w:rPr>
        <w:t>d) A equipe de coleta deverá ser orientada especificamente para os diferentes tipos de materiais recicláveis, sendo que os materiais recolhidos considerados não recicláveis deverão ser encaminhados ao Aterro Controlado de Primavera do Leste.</w:t>
      </w:r>
    </w:p>
    <w:p>
      <w:pPr>
        <w:ind w:right="38" w:rightChars="16"/>
        <w:jc w:val="both"/>
        <w:rPr>
          <w:rFonts w:ascii="Arial" w:hAnsi="Arial" w:cs="Arial"/>
          <w:szCs w:val="24"/>
        </w:rPr>
      </w:pPr>
      <w:r>
        <w:rPr>
          <w:rFonts w:ascii="Arial" w:hAnsi="Arial" w:cs="Arial"/>
          <w:szCs w:val="24"/>
        </w:rPr>
        <w:t>e) A operação do local do aterro controlado não faz parte do presente edital.</w:t>
      </w:r>
    </w:p>
    <w:p>
      <w:pPr>
        <w:ind w:right="38" w:rightChars="16"/>
        <w:jc w:val="both"/>
        <w:rPr>
          <w:rFonts w:ascii="Arial" w:hAnsi="Arial" w:cs="Arial"/>
          <w:szCs w:val="24"/>
        </w:rPr>
      </w:pPr>
      <w:r>
        <w:rPr>
          <w:rFonts w:ascii="Arial" w:hAnsi="Arial" w:cs="Arial"/>
          <w:szCs w:val="24"/>
        </w:rPr>
        <w:t xml:space="preserve"> f) Todo o material coletado deverá ser encaminhado para a cooperativa de materiais recicláveis ou outro local definido pela municipalidade.</w:t>
      </w:r>
    </w:p>
    <w:p>
      <w:pPr>
        <w:ind w:right="38" w:rightChars="16"/>
        <w:jc w:val="both"/>
        <w:rPr>
          <w:rFonts w:ascii="Arial" w:hAnsi="Arial" w:cs="Arial"/>
          <w:szCs w:val="24"/>
        </w:rPr>
      </w:pPr>
      <w:r>
        <w:rPr>
          <w:rFonts w:ascii="Arial" w:hAnsi="Arial" w:cs="Arial"/>
          <w:szCs w:val="24"/>
        </w:rPr>
        <w:t xml:space="preserve"> g) Os rejeitos oriundos da triagem dos resíduos recicláveis deverão ser retirados conforme demanda em caminhões específicos e apropriados para a carga e transporte dos resíduos.</w:t>
      </w:r>
    </w:p>
    <w:p>
      <w:pPr>
        <w:ind w:right="38" w:rightChars="16"/>
        <w:jc w:val="both"/>
        <w:rPr>
          <w:rFonts w:ascii="Arial" w:hAnsi="Arial" w:cs="Arial"/>
          <w:szCs w:val="24"/>
        </w:rPr>
      </w:pPr>
      <w:r>
        <w:rPr>
          <w:rFonts w:ascii="Arial" w:hAnsi="Arial" w:cs="Arial"/>
          <w:szCs w:val="24"/>
        </w:rPr>
        <w:t xml:space="preserve"> h) Os resíduos que eventualmente forem espalhados por rompimento das embalagens deverão ser recolhidos manualmente, deixando o local completamente limpo.</w:t>
      </w:r>
    </w:p>
    <w:p>
      <w:pPr>
        <w:ind w:right="38" w:rightChars="16"/>
        <w:jc w:val="both"/>
        <w:rPr>
          <w:rFonts w:ascii="Arial" w:hAnsi="Arial" w:cs="Arial"/>
          <w:szCs w:val="24"/>
        </w:rPr>
      </w:pPr>
      <w:r>
        <w:rPr>
          <w:rFonts w:ascii="Arial" w:hAnsi="Arial" w:cs="Arial"/>
          <w:szCs w:val="24"/>
        </w:rPr>
        <w:t>i) Cada equipe para execução da coleta de resíduos recicláveis será constituída de no mínimo:</w:t>
      </w:r>
    </w:p>
    <w:p>
      <w:pPr>
        <w:ind w:right="38" w:rightChars="16"/>
        <w:jc w:val="both"/>
        <w:rPr>
          <w:rFonts w:ascii="Arial" w:hAnsi="Arial" w:cs="Arial"/>
          <w:szCs w:val="24"/>
        </w:rPr>
      </w:pPr>
      <w:r>
        <w:rPr>
          <w:rFonts w:ascii="Arial" w:hAnsi="Arial" w:cs="Arial"/>
          <w:szCs w:val="24"/>
        </w:rPr>
        <w:t>- 01 (um) motorista com carteira de habilitação profissional;</w:t>
      </w:r>
    </w:p>
    <w:p>
      <w:pPr>
        <w:ind w:right="38" w:rightChars="16"/>
        <w:jc w:val="both"/>
        <w:rPr>
          <w:rFonts w:ascii="Arial" w:hAnsi="Arial" w:cs="Arial"/>
          <w:szCs w:val="24"/>
        </w:rPr>
      </w:pPr>
      <w:r>
        <w:rPr>
          <w:rFonts w:ascii="Arial" w:hAnsi="Arial" w:cs="Arial"/>
          <w:szCs w:val="24"/>
        </w:rPr>
        <w:t>- 03 (três) coletores;</w:t>
      </w:r>
    </w:p>
    <w:p>
      <w:pPr>
        <w:ind w:right="38" w:rightChars="16"/>
        <w:jc w:val="both"/>
        <w:rPr>
          <w:rFonts w:ascii="Arial" w:hAnsi="Arial" w:cs="Arial"/>
          <w:szCs w:val="24"/>
        </w:rPr>
      </w:pPr>
      <w:r>
        <w:rPr>
          <w:rFonts w:ascii="Arial" w:hAnsi="Arial" w:cs="Arial"/>
          <w:szCs w:val="24"/>
        </w:rPr>
        <w:t>j) Serão disponibilizadas para a execução dos serviços de acordo com o levantamento da Secretaria, 2 (duas) equipes para a execução dos serviços.</w:t>
      </w:r>
    </w:p>
    <w:p>
      <w:pPr>
        <w:ind w:right="38" w:rightChars="16"/>
        <w:jc w:val="both"/>
        <w:rPr>
          <w:rFonts w:ascii="Arial" w:hAnsi="Arial" w:cs="Arial"/>
          <w:szCs w:val="24"/>
        </w:rPr>
      </w:pPr>
      <w:r>
        <w:rPr>
          <w:rFonts w:ascii="Arial" w:hAnsi="Arial" w:cs="Arial"/>
          <w:szCs w:val="24"/>
        </w:rPr>
        <w:t>k) De acordo com os levantamentos técnicos realizados pela Prefeitura Municipal serão percorridos diariamente para a realização do serviço de coleta seletiva, em média,  210,07 km (distâncias produtivas e distâncias improdutivas), conforme apresentado a seguir:</w:t>
      </w:r>
    </w:p>
    <w:p>
      <w:pPr>
        <w:ind w:right="38" w:rightChars="16"/>
        <w:jc w:val="both"/>
        <w:rPr>
          <w:rFonts w:ascii="Arial" w:hAnsi="Arial" w:cs="Arial"/>
          <w:szCs w:val="24"/>
        </w:rPr>
      </w:pPr>
    </w:p>
    <w:tbl>
      <w:tblPr>
        <w:tblStyle w:val="12"/>
        <w:tblW w:w="0" w:type="auto"/>
        <w:tblInd w:w="0" w:type="dxa"/>
        <w:tblLayout w:type="fixed"/>
        <w:tblCellMar>
          <w:top w:w="0" w:type="dxa"/>
          <w:left w:w="70" w:type="dxa"/>
          <w:bottom w:w="0" w:type="dxa"/>
          <w:right w:w="70" w:type="dxa"/>
        </w:tblCellMar>
      </w:tblPr>
      <w:tblGrid>
        <w:gridCol w:w="6339"/>
        <w:gridCol w:w="3367"/>
      </w:tblGrid>
      <w:tr>
        <w:tblPrEx>
          <w:tblCellMar>
            <w:top w:w="0" w:type="dxa"/>
            <w:left w:w="70" w:type="dxa"/>
            <w:bottom w:w="0" w:type="dxa"/>
            <w:right w:w="70" w:type="dxa"/>
          </w:tblCellMar>
        </w:tblPrEx>
        <w:trPr>
          <w:trHeight w:val="397" w:hRule="atLeast"/>
          <w:tblHeader/>
        </w:trPr>
        <w:tc>
          <w:tcPr>
            <w:tcW w:w="6339" w:type="dxa"/>
            <w:tcBorders>
              <w:top w:val="single" w:color="auto" w:sz="4" w:space="0"/>
              <w:left w:val="single" w:color="auto" w:sz="4" w:space="0"/>
              <w:bottom w:val="single" w:color="auto" w:sz="4" w:space="0"/>
              <w:right w:val="single" w:color="auto" w:sz="4" w:space="0"/>
            </w:tcBorders>
            <w:shd w:val="clear" w:color="auto" w:fill="FDE9D9"/>
            <w:vAlign w:val="center"/>
          </w:tcPr>
          <w:p>
            <w:pPr>
              <w:ind w:firstLine="720"/>
              <w:jc w:val="center"/>
              <w:rPr>
                <w:rFonts w:ascii="Calibri" w:hAnsi="Calibri" w:cs="Calibri"/>
                <w:b/>
                <w:bCs/>
                <w:sz w:val="20"/>
              </w:rPr>
            </w:pPr>
            <w:r>
              <w:rPr>
                <w:rFonts w:ascii="Calibri" w:hAnsi="Calibri" w:cs="Calibri"/>
                <w:b/>
                <w:bCs/>
                <w:sz w:val="20"/>
              </w:rPr>
              <w:t>DISTÂNCIA</w:t>
            </w:r>
          </w:p>
        </w:tc>
        <w:tc>
          <w:tcPr>
            <w:tcW w:w="3367" w:type="dxa"/>
            <w:tcBorders>
              <w:top w:val="single" w:color="auto" w:sz="4" w:space="0"/>
              <w:left w:val="nil"/>
              <w:bottom w:val="single" w:color="auto" w:sz="4" w:space="0"/>
              <w:right w:val="single" w:color="auto" w:sz="4" w:space="0"/>
            </w:tcBorders>
            <w:shd w:val="clear" w:color="auto" w:fill="FDE9D9"/>
            <w:vAlign w:val="center"/>
          </w:tcPr>
          <w:p>
            <w:pPr>
              <w:ind w:firstLine="720"/>
              <w:jc w:val="center"/>
              <w:rPr>
                <w:rFonts w:ascii="Calibri" w:hAnsi="Calibri" w:cs="Calibri"/>
                <w:b/>
                <w:bCs/>
                <w:sz w:val="20"/>
              </w:rPr>
            </w:pPr>
            <w:r>
              <w:rPr>
                <w:rFonts w:ascii="Calibri" w:hAnsi="Calibri" w:cs="Calibri"/>
                <w:b/>
                <w:bCs/>
                <w:sz w:val="20"/>
              </w:rPr>
              <w:t>KM PERCORRIDOS</w:t>
            </w:r>
          </w:p>
        </w:tc>
      </w:tr>
      <w:tr>
        <w:tblPrEx>
          <w:tblCellMar>
            <w:top w:w="0" w:type="dxa"/>
            <w:left w:w="70" w:type="dxa"/>
            <w:bottom w:w="0" w:type="dxa"/>
            <w:right w:w="70" w:type="dxa"/>
          </w:tblCellMar>
        </w:tblPrEx>
        <w:trPr>
          <w:trHeight w:val="397" w:hRule="atLeast"/>
        </w:trPr>
        <w:tc>
          <w:tcPr>
            <w:tcW w:w="6339" w:type="dxa"/>
            <w:tcBorders>
              <w:top w:val="single" w:color="auto" w:sz="4" w:space="0"/>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semanal produtiva</w:t>
            </w:r>
          </w:p>
        </w:tc>
        <w:tc>
          <w:tcPr>
            <w:tcW w:w="3367" w:type="dxa"/>
            <w:tcBorders>
              <w:top w:val="single" w:color="auto" w:sz="4" w:space="0"/>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686,89</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semanal improdutiva</w:t>
            </w:r>
          </w:p>
        </w:tc>
        <w:tc>
          <w:tcPr>
            <w:tcW w:w="3367"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573,55</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diária produtiva</w:t>
            </w:r>
          </w:p>
        </w:tc>
        <w:tc>
          <w:tcPr>
            <w:tcW w:w="3367"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114,48</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Distância diária improdutiva</w:t>
            </w:r>
          </w:p>
        </w:tc>
        <w:tc>
          <w:tcPr>
            <w:tcW w:w="3367"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r>
              <w:rPr>
                <w:rFonts w:ascii="Calibri" w:hAnsi="Calibri" w:cs="Calibri"/>
                <w:sz w:val="20"/>
              </w:rPr>
              <w:t>95,59</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sz w:val="20"/>
              </w:rPr>
            </w:pPr>
          </w:p>
        </w:tc>
        <w:tc>
          <w:tcPr>
            <w:tcW w:w="3367" w:type="dxa"/>
            <w:tcBorders>
              <w:top w:val="nil"/>
              <w:left w:val="nil"/>
              <w:bottom w:val="single" w:color="auto" w:sz="4" w:space="0"/>
              <w:right w:val="single" w:color="auto" w:sz="4" w:space="0"/>
            </w:tcBorders>
            <w:vAlign w:val="center"/>
          </w:tcPr>
          <w:p>
            <w:pPr>
              <w:ind w:firstLine="720"/>
              <w:jc w:val="center"/>
              <w:rPr>
                <w:rFonts w:ascii="Calibri" w:hAnsi="Calibri" w:cs="Calibri"/>
                <w:sz w:val="20"/>
              </w:rPr>
            </w:pP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cBorders>
            <w:vAlign w:val="center"/>
          </w:tcPr>
          <w:p>
            <w:pPr>
              <w:ind w:firstLine="720"/>
              <w:jc w:val="center"/>
              <w:rPr>
                <w:rFonts w:ascii="Calibri" w:hAnsi="Calibri" w:cs="Calibri"/>
                <w:b/>
                <w:bCs/>
                <w:sz w:val="20"/>
              </w:rPr>
            </w:pPr>
            <w:r>
              <w:rPr>
                <w:rFonts w:ascii="Calibri" w:hAnsi="Calibri" w:cs="Calibri"/>
                <w:b/>
                <w:bCs/>
                <w:sz w:val="20"/>
              </w:rPr>
              <w:t>Distância média diária total</w:t>
            </w:r>
          </w:p>
        </w:tc>
        <w:tc>
          <w:tcPr>
            <w:tcW w:w="3367" w:type="dxa"/>
            <w:tcBorders>
              <w:top w:val="nil"/>
              <w:left w:val="nil"/>
              <w:bottom w:val="single" w:color="auto" w:sz="4" w:space="0"/>
              <w:right w:val="single" w:color="auto" w:sz="4" w:space="0"/>
            </w:tcBorders>
            <w:vAlign w:val="center"/>
          </w:tcPr>
          <w:p>
            <w:pPr>
              <w:ind w:firstLine="720"/>
              <w:jc w:val="center"/>
              <w:rPr>
                <w:rFonts w:ascii="Calibri" w:hAnsi="Calibri" w:cs="Calibri"/>
                <w:b/>
                <w:bCs/>
                <w:sz w:val="20"/>
              </w:rPr>
            </w:pPr>
            <w:r>
              <w:rPr>
                <w:rFonts w:ascii="Calibri" w:hAnsi="Calibri" w:cs="Calibri"/>
                <w:b/>
                <w:bCs/>
                <w:sz w:val="20"/>
              </w:rPr>
              <w:t>210,07</w:t>
            </w:r>
          </w:p>
        </w:tc>
      </w:tr>
    </w:tbl>
    <w:p>
      <w:pPr>
        <w:ind w:right="38" w:rightChars="16"/>
        <w:jc w:val="both"/>
        <w:rPr>
          <w:rFonts w:ascii="Arial" w:hAnsi="Arial" w:cs="Arial"/>
          <w:szCs w:val="24"/>
        </w:rPr>
      </w:pPr>
    </w:p>
    <w:p>
      <w:pPr>
        <w:ind w:right="38" w:rightChars="16"/>
        <w:jc w:val="both"/>
        <w:rPr>
          <w:rFonts w:ascii="Arial" w:hAnsi="Arial" w:cs="Arial"/>
          <w:b/>
          <w:bCs/>
          <w:szCs w:val="24"/>
        </w:rPr>
      </w:pPr>
      <w:r>
        <w:rPr>
          <w:rFonts w:ascii="Arial" w:hAnsi="Arial" w:cs="Arial"/>
          <w:b/>
          <w:bCs/>
          <w:szCs w:val="24"/>
        </w:rPr>
        <w:t>4.4. DO SERVIÇO DE COLETA, TRANSPORTE E DESTINAÇÃO FINAL AMBIENTALMENTE ADEQUADA DOS RESÍDUOS DA CONSTRUÇÃO CIVIL GERADOS PELA MUNICIPALIDADE</w:t>
      </w:r>
    </w:p>
    <w:p>
      <w:pPr>
        <w:ind w:right="38" w:rightChars="16"/>
        <w:jc w:val="both"/>
        <w:rPr>
          <w:rFonts w:ascii="Arial" w:hAnsi="Arial" w:cs="Arial"/>
          <w:szCs w:val="24"/>
        </w:rPr>
      </w:pPr>
      <w:r>
        <w:rPr>
          <w:rFonts w:ascii="Arial" w:hAnsi="Arial" w:cs="Arial"/>
          <w:b/>
          <w:bCs/>
          <w:szCs w:val="24"/>
        </w:rPr>
        <w:t>4.4.1</w:t>
      </w:r>
      <w:r>
        <w:rPr>
          <w:rFonts w:ascii="Arial" w:hAnsi="Arial" w:cs="Arial"/>
          <w:szCs w:val="24"/>
        </w:rPr>
        <w:t>.Da definição do serviço:</w:t>
      </w:r>
    </w:p>
    <w:p>
      <w:pPr>
        <w:ind w:right="38" w:rightChars="16"/>
        <w:jc w:val="both"/>
        <w:rPr>
          <w:rFonts w:ascii="Arial" w:hAnsi="Arial" w:cs="Arial"/>
          <w:szCs w:val="24"/>
        </w:rPr>
      </w:pPr>
      <w:r>
        <w:rPr>
          <w:rFonts w:ascii="Arial" w:hAnsi="Arial" w:cs="Arial"/>
          <w:szCs w:val="24"/>
        </w:rPr>
        <w:t>a) Resíduos da construção civil são definidos como àqueles provenientes de construções, reformas, reparos e demolições de obras de construção civil, e os resultantes da preparação e da escavação de terrenos, tais como: tijolos, blocos cerâmicos, concreto em geral, solos, rochas, metais, resinas, colas, tintas, madeiras e compensados, forros, argamassa, gesso, telhas, pavimento asfáltico, vidros, plásticos, tubulações, fiação elétrica etc.</w:t>
      </w:r>
    </w:p>
    <w:p>
      <w:pPr>
        <w:ind w:right="38" w:rightChars="16"/>
        <w:jc w:val="both"/>
        <w:rPr>
          <w:rFonts w:ascii="Arial" w:hAnsi="Arial" w:cs="Arial"/>
          <w:szCs w:val="24"/>
        </w:rPr>
      </w:pPr>
      <w:r>
        <w:rPr>
          <w:rFonts w:ascii="Arial" w:hAnsi="Arial" w:cs="Arial"/>
          <w:szCs w:val="24"/>
        </w:rPr>
        <w:t>b) O presente serviço refere-se a coleta, transporte e destinação final aos resíduos da construção civil provenientes de obras e reformas realizadas pela municipalidade de Primavera do Leste/MT, ou seja, dos órgãos e entidades municipais.</w:t>
      </w:r>
    </w:p>
    <w:p>
      <w:pPr>
        <w:ind w:right="38" w:rightChars="16"/>
        <w:jc w:val="both"/>
        <w:rPr>
          <w:rFonts w:ascii="Arial" w:hAnsi="Arial" w:cs="Arial"/>
          <w:szCs w:val="24"/>
        </w:rPr>
      </w:pPr>
      <w:r>
        <w:rPr>
          <w:rFonts w:ascii="Arial" w:hAnsi="Arial" w:cs="Arial"/>
          <w:szCs w:val="24"/>
        </w:rPr>
        <w:t>c) Define-se como coleta, transporte dos resíduos da construção civil a disponibilização caixas brook de volume equivalente a 5 m³ (conforme demanda) e o transporte dos resíduos até destinação final ambientalmente adequada.</w:t>
      </w:r>
    </w:p>
    <w:p>
      <w:pPr>
        <w:ind w:right="38" w:rightChars="16"/>
        <w:jc w:val="both"/>
        <w:rPr>
          <w:rFonts w:ascii="Arial" w:hAnsi="Arial" w:cs="Arial"/>
          <w:szCs w:val="24"/>
        </w:rPr>
      </w:pPr>
      <w:r>
        <w:rPr>
          <w:rFonts w:ascii="Arial" w:hAnsi="Arial" w:cs="Arial"/>
          <w:szCs w:val="24"/>
        </w:rPr>
        <w:t xml:space="preserve"> d) A destinação final deverá ocorrer em empreendimento devidamente licenciamento com capacidade de recebimento de resíduos classe II.</w:t>
      </w:r>
    </w:p>
    <w:p>
      <w:pPr>
        <w:ind w:right="38" w:rightChars="16"/>
        <w:jc w:val="both"/>
        <w:rPr>
          <w:rFonts w:ascii="Arial" w:hAnsi="Arial" w:cs="Arial"/>
          <w:szCs w:val="24"/>
        </w:rPr>
      </w:pPr>
      <w:r>
        <w:rPr>
          <w:rFonts w:ascii="Arial" w:hAnsi="Arial" w:cs="Arial"/>
          <w:b/>
          <w:bCs/>
          <w:szCs w:val="24"/>
        </w:rPr>
        <w:t>4.4.2.</w:t>
      </w:r>
      <w:r>
        <w:rPr>
          <w:rFonts w:ascii="Arial" w:hAnsi="Arial" w:cs="Arial"/>
          <w:szCs w:val="24"/>
        </w:rPr>
        <w:t xml:space="preserve"> Da execução do serviço:</w:t>
      </w:r>
    </w:p>
    <w:p>
      <w:pPr>
        <w:ind w:right="38" w:rightChars="16"/>
        <w:jc w:val="both"/>
        <w:rPr>
          <w:rFonts w:ascii="Arial" w:hAnsi="Arial" w:cs="Arial"/>
          <w:szCs w:val="24"/>
        </w:rPr>
      </w:pPr>
      <w:r>
        <w:rPr>
          <w:rFonts w:ascii="Arial" w:hAnsi="Arial" w:cs="Arial"/>
          <w:szCs w:val="24"/>
        </w:rPr>
        <w:t>a) A CONTRATADA executará semanalmente, conforme a demanda, a coleta, o transporte e a destinação final ambientalmente adequada dos resíduos da construção civil gerados pela municipalidade em suas obras.</w:t>
      </w:r>
    </w:p>
    <w:p>
      <w:pPr>
        <w:ind w:right="38" w:rightChars="16"/>
        <w:jc w:val="both"/>
        <w:rPr>
          <w:rFonts w:ascii="Arial" w:hAnsi="Arial" w:cs="Arial"/>
          <w:szCs w:val="24"/>
        </w:rPr>
      </w:pPr>
      <w:r>
        <w:rPr>
          <w:rFonts w:ascii="Arial" w:hAnsi="Arial" w:cs="Arial"/>
          <w:szCs w:val="24"/>
        </w:rPr>
        <w:t>b) O serviço deverá ser executo por meio da utilização de um caminhão equipado com carroceria tipo poliguindaste específica para este fim.</w:t>
      </w:r>
    </w:p>
    <w:p>
      <w:pPr>
        <w:ind w:right="38" w:rightChars="16"/>
        <w:jc w:val="both"/>
        <w:rPr>
          <w:rFonts w:ascii="Arial" w:hAnsi="Arial" w:cs="Arial"/>
          <w:szCs w:val="24"/>
        </w:rPr>
      </w:pPr>
      <w:r>
        <w:rPr>
          <w:rFonts w:ascii="Arial" w:hAnsi="Arial" w:cs="Arial"/>
          <w:szCs w:val="24"/>
          <w:lang w:eastAsia="en-US"/>
        </w:rPr>
        <w:t xml:space="preserve">c) </w:t>
      </w:r>
      <w:r>
        <w:rPr>
          <w:rFonts w:ascii="Arial" w:hAnsi="Arial" w:cs="Arial"/>
          <w:szCs w:val="24"/>
        </w:rPr>
        <w:t>A partir da solicitação da CONTRATANTE, a CONTRATADA deverá disponibilizar caixas brook para o armazenamento temporário dos resíduos da construção civil nos locais definidos e realizar a substituição conforme demanda.</w:t>
      </w:r>
    </w:p>
    <w:p>
      <w:pPr>
        <w:ind w:right="38" w:rightChars="16"/>
        <w:jc w:val="both"/>
        <w:rPr>
          <w:rFonts w:ascii="Arial" w:hAnsi="Arial" w:cs="Arial"/>
          <w:szCs w:val="24"/>
        </w:rPr>
      </w:pPr>
      <w:r>
        <w:rPr>
          <w:rFonts w:ascii="Arial" w:hAnsi="Arial" w:cs="Arial"/>
          <w:szCs w:val="24"/>
          <w:lang w:eastAsia="en-US"/>
        </w:rPr>
        <w:t xml:space="preserve">d)  </w:t>
      </w:r>
      <w:r>
        <w:rPr>
          <w:rFonts w:ascii="Arial" w:hAnsi="Arial" w:cs="Arial"/>
          <w:szCs w:val="24"/>
        </w:rPr>
        <w:t>A coleta deverá ser realizada de segunda à sexta-feira nos seguintes horários:</w:t>
      </w:r>
    </w:p>
    <w:p>
      <w:pPr>
        <w:ind w:right="38" w:rightChars="16"/>
        <w:jc w:val="both"/>
        <w:rPr>
          <w:rFonts w:ascii="Arial" w:hAnsi="Arial" w:cs="Arial"/>
          <w:szCs w:val="24"/>
        </w:rPr>
      </w:pPr>
      <w:r>
        <w:rPr>
          <w:rFonts w:ascii="Arial" w:hAnsi="Arial" w:cs="Arial"/>
          <w:szCs w:val="24"/>
        </w:rPr>
        <w:t>- Matutino: início 07:30 às 11:30</w:t>
      </w:r>
    </w:p>
    <w:p>
      <w:pPr>
        <w:ind w:right="38" w:rightChars="16"/>
        <w:jc w:val="both"/>
        <w:rPr>
          <w:rFonts w:ascii="Arial" w:hAnsi="Arial" w:cs="Arial"/>
          <w:szCs w:val="24"/>
        </w:rPr>
      </w:pPr>
      <w:r>
        <w:rPr>
          <w:rFonts w:ascii="Arial" w:hAnsi="Arial" w:cs="Arial"/>
          <w:szCs w:val="24"/>
        </w:rPr>
        <w:t>- Vespertino: início 13:30 às 17:30</w:t>
      </w:r>
    </w:p>
    <w:p>
      <w:pPr>
        <w:ind w:right="38" w:rightChars="16"/>
        <w:jc w:val="both"/>
        <w:rPr>
          <w:rFonts w:ascii="Arial" w:hAnsi="Arial" w:cs="Arial"/>
          <w:szCs w:val="24"/>
        </w:rPr>
      </w:pPr>
      <w:r>
        <w:rPr>
          <w:rFonts w:ascii="Arial" w:hAnsi="Arial" w:cs="Arial"/>
          <w:szCs w:val="24"/>
        </w:rPr>
        <w:t>e) A CONTRATADA deverá ter disponível 04. (quatro) caixas brook de volume equivalente a 5 m³ para utilização nos serviços de armazenamento temporário dos resíduos da construção civil e volumosos.</w:t>
      </w:r>
    </w:p>
    <w:p>
      <w:pPr>
        <w:ind w:right="38" w:rightChars="16"/>
        <w:jc w:val="both"/>
        <w:rPr>
          <w:rFonts w:ascii="Arial" w:hAnsi="Arial" w:cs="Arial"/>
          <w:szCs w:val="24"/>
        </w:rPr>
      </w:pPr>
      <w:r>
        <w:rPr>
          <w:rFonts w:ascii="Arial" w:hAnsi="Arial" w:cs="Arial"/>
          <w:szCs w:val="24"/>
          <w:lang w:eastAsia="en-US"/>
        </w:rPr>
        <w:t xml:space="preserve">f) </w:t>
      </w:r>
      <w:r>
        <w:rPr>
          <w:rFonts w:ascii="Arial" w:hAnsi="Arial" w:cs="Arial"/>
          <w:szCs w:val="24"/>
        </w:rPr>
        <w:t>De acordo com estimativas são gerados mensalmente no município, em média, 1.068,70 toneladas de RCC no município de Primavera do Leste/MT e que aproximadamente 8% são geradores pela municipalidade. Ou seja, a empresa CONTRATADA realizará o serviço de coleta, transporte e destinação final de, aproximadamente 85,15 toneladas de RCC por mês.</w:t>
      </w:r>
    </w:p>
    <w:p>
      <w:pPr>
        <w:ind w:right="38" w:rightChars="16"/>
        <w:jc w:val="both"/>
        <w:rPr>
          <w:rFonts w:ascii="Arial" w:hAnsi="Arial" w:cs="Arial"/>
          <w:szCs w:val="24"/>
        </w:rPr>
      </w:pPr>
      <w:r>
        <w:rPr>
          <w:rFonts w:ascii="Arial" w:hAnsi="Arial" w:cs="Arial"/>
          <w:szCs w:val="24"/>
        </w:rPr>
        <w:t xml:space="preserve"> g) A Contratada deverá fornecer 02 (dois) caminhões equipados com carroceria tipo poliguindaste específica para este fim e 04 (quatro) caixas brooks de volume equivalente a 5 m³, sendo:</w:t>
      </w:r>
    </w:p>
    <w:p>
      <w:pPr>
        <w:ind w:right="38" w:rightChars="16"/>
        <w:jc w:val="both"/>
        <w:rPr>
          <w:rFonts w:ascii="Arial" w:hAnsi="Arial" w:cs="Arial"/>
          <w:szCs w:val="24"/>
        </w:rPr>
      </w:pPr>
      <w:r>
        <w:rPr>
          <w:rFonts w:ascii="Arial" w:hAnsi="Arial" w:cs="Arial"/>
          <w:szCs w:val="24"/>
        </w:rPr>
        <w:t>- 01 (um) caminhão equipado com carroceria tipo poliguindaste específica para este fim;</w:t>
      </w:r>
    </w:p>
    <w:p>
      <w:pPr>
        <w:ind w:right="38" w:rightChars="16"/>
        <w:jc w:val="both"/>
        <w:rPr>
          <w:rFonts w:ascii="Arial" w:hAnsi="Arial" w:cs="Arial"/>
          <w:szCs w:val="24"/>
        </w:rPr>
      </w:pPr>
      <w:r>
        <w:rPr>
          <w:rFonts w:ascii="Arial" w:hAnsi="Arial" w:cs="Arial"/>
          <w:szCs w:val="24"/>
        </w:rPr>
        <w:t>- 01 (um) caminhão reserva equipado com carroceria tipo poliguindaste específica para este fim;</w:t>
      </w:r>
    </w:p>
    <w:p>
      <w:pPr>
        <w:ind w:right="38" w:rightChars="16"/>
        <w:jc w:val="both"/>
        <w:rPr>
          <w:rFonts w:ascii="Arial" w:hAnsi="Arial" w:cs="Arial"/>
          <w:szCs w:val="24"/>
        </w:rPr>
      </w:pPr>
      <w:r>
        <w:rPr>
          <w:rFonts w:ascii="Arial" w:hAnsi="Arial" w:cs="Arial"/>
          <w:szCs w:val="24"/>
        </w:rPr>
        <w:t>h) Para execução da coleta, transporte e destinação final de resíduos da construção civil será necessário 01 (um) motorista com carteira de habilitação profissional e 01 (um) coletor que auxiliará no serviço coleta dos RCC;</w:t>
      </w:r>
    </w:p>
    <w:p>
      <w:pPr>
        <w:ind w:right="38" w:rightChars="16"/>
        <w:jc w:val="both"/>
        <w:rPr>
          <w:rFonts w:ascii="Arial" w:hAnsi="Arial" w:cs="Arial"/>
          <w:szCs w:val="24"/>
        </w:rPr>
      </w:pPr>
      <w:r>
        <w:rPr>
          <w:rFonts w:ascii="Arial" w:hAnsi="Arial" w:cs="Arial"/>
          <w:szCs w:val="24"/>
        </w:rPr>
        <w:t>i) Deverão ser considerados para o cálculo do presente serviço técnico as distâncias percorridas para o encaminhamento dos RCC até o local de disposição final ambientalmente adequada.</w:t>
      </w:r>
    </w:p>
    <w:p>
      <w:pPr>
        <w:ind w:right="38" w:rightChars="16"/>
        <w:jc w:val="both"/>
        <w:rPr>
          <w:rFonts w:ascii="Arial" w:hAnsi="Arial" w:cs="Arial"/>
          <w:b/>
          <w:bCs/>
          <w:szCs w:val="24"/>
        </w:rPr>
      </w:pPr>
      <w:r>
        <w:rPr>
          <w:rFonts w:ascii="Arial" w:hAnsi="Arial" w:cs="Arial"/>
          <w:b/>
          <w:bCs/>
          <w:szCs w:val="24"/>
        </w:rPr>
        <w:t>4.5. DO SERVIÇO DE COLETA, TRANSPORTE E DESTINAÇÃO FINAL AMBIENTALMENTE ADEQUADA DOS REJEITOS PROVENIENTES DA SEGREGAÇÃO DOS RESÍDUOS RECICLÁVEIS</w:t>
      </w:r>
    </w:p>
    <w:p>
      <w:pPr>
        <w:ind w:right="38" w:rightChars="16"/>
        <w:jc w:val="both"/>
        <w:rPr>
          <w:rFonts w:ascii="Arial" w:hAnsi="Arial" w:cs="Arial"/>
          <w:szCs w:val="24"/>
        </w:rPr>
      </w:pPr>
      <w:r>
        <w:rPr>
          <w:rFonts w:ascii="Arial" w:hAnsi="Arial" w:cs="Arial"/>
          <w:b/>
          <w:bCs/>
          <w:szCs w:val="24"/>
        </w:rPr>
        <w:t>4.5.1.</w:t>
      </w:r>
      <w:r>
        <w:rPr>
          <w:rFonts w:ascii="Arial" w:hAnsi="Arial" w:cs="Arial"/>
          <w:szCs w:val="24"/>
        </w:rPr>
        <w:t xml:space="preserve"> Da definição do serviço:</w:t>
      </w:r>
    </w:p>
    <w:p>
      <w:pPr>
        <w:ind w:right="38" w:rightChars="16"/>
        <w:jc w:val="both"/>
        <w:rPr>
          <w:rFonts w:ascii="Arial" w:hAnsi="Arial" w:cs="Arial"/>
          <w:szCs w:val="24"/>
        </w:rPr>
      </w:pPr>
      <w:r>
        <w:rPr>
          <w:rFonts w:ascii="Arial" w:hAnsi="Arial" w:cs="Arial"/>
          <w:szCs w:val="24"/>
        </w:rPr>
        <w:t xml:space="preserve"> a) O rejeito proveniente da triagem dos resíduos secos é um tipo específico de descarte, aquele para o qual ainda não existe nenhuma possibilidade de reaproveitamento ou reciclagem.</w:t>
      </w:r>
    </w:p>
    <w:p>
      <w:pPr>
        <w:ind w:right="38" w:rightChars="16"/>
        <w:jc w:val="both"/>
        <w:rPr>
          <w:rFonts w:ascii="Arial" w:hAnsi="Arial" w:cs="Arial"/>
          <w:szCs w:val="24"/>
        </w:rPr>
      </w:pPr>
      <w:r>
        <w:rPr>
          <w:rFonts w:ascii="Arial" w:hAnsi="Arial" w:cs="Arial"/>
          <w:szCs w:val="24"/>
        </w:rPr>
        <w:t xml:space="preserve"> b) Define-se como coleta, transporte dos rejeitos provenientes da segregação dos resíduos recicláveis como a disponibilização caixas brooks de volume equivalente a 5 m³ (conforme demanda) e o transporte dos resíduos até destinação final ambientalmente adequada.</w:t>
      </w:r>
    </w:p>
    <w:p>
      <w:pPr>
        <w:ind w:right="38" w:rightChars="16"/>
        <w:jc w:val="both"/>
        <w:rPr>
          <w:rFonts w:ascii="Arial" w:hAnsi="Arial" w:cs="Arial"/>
          <w:szCs w:val="24"/>
        </w:rPr>
      </w:pPr>
      <w:r>
        <w:rPr>
          <w:rFonts w:ascii="Arial" w:hAnsi="Arial" w:cs="Arial"/>
          <w:szCs w:val="24"/>
        </w:rPr>
        <w:t>c) A destinação final deverá ocorrer em empreendimento devidamente licenciamento com capacidade de recebimento de resíduos classe II-A pertencente a empresa licitante</w:t>
      </w:r>
      <w:r>
        <w:rPr>
          <w:rFonts w:hint="default" w:ascii="Arial" w:hAnsi="Arial" w:cs="Arial"/>
          <w:szCs w:val="24"/>
          <w:lang w:val="pt-BR"/>
        </w:rPr>
        <w:t xml:space="preserve"> ou por ela contratado.</w:t>
      </w:r>
      <w:r>
        <w:rPr>
          <w:rFonts w:ascii="Arial" w:hAnsi="Arial" w:cs="Arial"/>
          <w:szCs w:val="24"/>
        </w:rPr>
        <w:t>.</w:t>
      </w:r>
    </w:p>
    <w:p>
      <w:pPr>
        <w:ind w:right="38" w:rightChars="16"/>
        <w:jc w:val="both"/>
        <w:rPr>
          <w:rFonts w:ascii="Arial" w:hAnsi="Arial" w:cs="Arial"/>
          <w:szCs w:val="24"/>
        </w:rPr>
      </w:pPr>
      <w:r>
        <w:rPr>
          <w:rFonts w:ascii="Arial" w:hAnsi="Arial" w:cs="Arial"/>
          <w:b/>
          <w:bCs/>
          <w:szCs w:val="24"/>
        </w:rPr>
        <w:t>4.5.2.</w:t>
      </w:r>
      <w:r>
        <w:rPr>
          <w:rFonts w:ascii="Arial" w:hAnsi="Arial" w:cs="Arial"/>
          <w:szCs w:val="24"/>
        </w:rPr>
        <w:t xml:space="preserve"> Da execução do serviço:</w:t>
      </w:r>
    </w:p>
    <w:p>
      <w:pPr>
        <w:ind w:right="38" w:rightChars="16"/>
        <w:jc w:val="both"/>
        <w:rPr>
          <w:rFonts w:ascii="Arial" w:hAnsi="Arial" w:cs="Arial"/>
          <w:szCs w:val="24"/>
        </w:rPr>
      </w:pPr>
      <w:r>
        <w:rPr>
          <w:rFonts w:ascii="Arial" w:hAnsi="Arial" w:cs="Arial"/>
          <w:szCs w:val="24"/>
        </w:rPr>
        <w:t>a) A CONTRATADA executará semanalmente, conforme a demanda, a coleta, o transporte e a destinação final ambientalmente adequada dos rejeitos provenientes da triagem dos resíduos recicláveis triados.</w:t>
      </w:r>
    </w:p>
    <w:p>
      <w:pPr>
        <w:ind w:right="38" w:rightChars="16"/>
        <w:jc w:val="both"/>
        <w:rPr>
          <w:rFonts w:ascii="Arial" w:hAnsi="Arial" w:cs="Arial"/>
          <w:szCs w:val="24"/>
        </w:rPr>
      </w:pPr>
      <w:r>
        <w:rPr>
          <w:rFonts w:ascii="Arial" w:hAnsi="Arial" w:cs="Arial"/>
          <w:szCs w:val="24"/>
        </w:rPr>
        <w:t xml:space="preserve"> b) O serviço deverá ser executado por meio da utilização de 02 (dois) caminhões equipados com carroceria tipo poliguindaste específica para este fim (poderá ser utilizado o veículo que executará os serviços de coleta dos resíduos da construção civil gerados pela municipalidade).</w:t>
      </w:r>
    </w:p>
    <w:p>
      <w:pPr>
        <w:ind w:right="38" w:rightChars="16"/>
        <w:jc w:val="both"/>
        <w:rPr>
          <w:rFonts w:ascii="Arial" w:hAnsi="Arial" w:cs="Arial"/>
          <w:szCs w:val="24"/>
        </w:rPr>
      </w:pPr>
      <w:r>
        <w:rPr>
          <w:rFonts w:ascii="Arial" w:hAnsi="Arial" w:cs="Arial"/>
          <w:szCs w:val="24"/>
        </w:rPr>
        <w:t xml:space="preserve"> c) A partir da solicitação da CONTRATANTE, a CONTRATADA deverá disponibilizar caixas brook para o armazenamento temporário dos rejeitos provenientes da triagem dos resíduos secos (recicláveis)</w:t>
      </w:r>
    </w:p>
    <w:p>
      <w:pPr>
        <w:ind w:right="38" w:rightChars="16"/>
        <w:jc w:val="both"/>
        <w:rPr>
          <w:rFonts w:ascii="Arial" w:hAnsi="Arial" w:cs="Arial"/>
          <w:szCs w:val="24"/>
        </w:rPr>
      </w:pPr>
      <w:r>
        <w:rPr>
          <w:rFonts w:ascii="Arial" w:hAnsi="Arial" w:cs="Arial"/>
          <w:szCs w:val="24"/>
        </w:rPr>
        <w:t>d)  A coleta deverá ser realizada de segunda à sexta-feira nos seguintes horários:</w:t>
      </w:r>
    </w:p>
    <w:p>
      <w:pPr>
        <w:ind w:right="38" w:rightChars="16"/>
        <w:jc w:val="both"/>
        <w:rPr>
          <w:rFonts w:ascii="Arial" w:hAnsi="Arial" w:cs="Arial"/>
          <w:szCs w:val="24"/>
        </w:rPr>
      </w:pPr>
      <w:r>
        <w:rPr>
          <w:rFonts w:ascii="Arial" w:hAnsi="Arial" w:cs="Arial"/>
          <w:szCs w:val="24"/>
        </w:rPr>
        <w:t>Matutino: início 07:30 às 11:30</w:t>
      </w:r>
    </w:p>
    <w:p>
      <w:pPr>
        <w:ind w:right="38" w:rightChars="16"/>
        <w:jc w:val="both"/>
        <w:rPr>
          <w:rFonts w:ascii="Arial" w:hAnsi="Arial" w:cs="Arial"/>
          <w:szCs w:val="24"/>
        </w:rPr>
      </w:pPr>
      <w:r>
        <w:rPr>
          <w:rFonts w:ascii="Arial" w:hAnsi="Arial" w:cs="Arial"/>
          <w:szCs w:val="24"/>
        </w:rPr>
        <w:t>Vespertino: início 13:30 às 17:30.</w:t>
      </w:r>
    </w:p>
    <w:p>
      <w:pPr>
        <w:ind w:right="38" w:rightChars="16"/>
        <w:jc w:val="both"/>
        <w:rPr>
          <w:rFonts w:ascii="Arial" w:hAnsi="Arial" w:cs="Arial"/>
          <w:szCs w:val="24"/>
        </w:rPr>
      </w:pPr>
      <w:r>
        <w:rPr>
          <w:rFonts w:ascii="Arial" w:hAnsi="Arial" w:cs="Arial"/>
          <w:szCs w:val="24"/>
        </w:rPr>
        <w:t>e)  A CONTRATADA deverá ter disponível 04 (quatro) caixas brook de volume equivalente a 5 m³ para utilização nos serviços de armazenamento temporário dos rejeitos provenientes da triagem dos resíduos secos (recicláveis).</w:t>
      </w:r>
    </w:p>
    <w:p>
      <w:pPr>
        <w:ind w:right="38" w:rightChars="16"/>
        <w:jc w:val="both"/>
        <w:rPr>
          <w:rFonts w:ascii="Arial" w:hAnsi="Arial" w:cs="Arial"/>
          <w:szCs w:val="24"/>
        </w:rPr>
      </w:pPr>
      <w:r>
        <w:rPr>
          <w:rFonts w:ascii="Arial" w:hAnsi="Arial" w:cs="Arial"/>
          <w:szCs w:val="24"/>
        </w:rPr>
        <w:t>f)  De acordo com estimativas são geradas aproximadamente 19,50 toneladas de rejeitos provenientes da triagem dos resíduos recicláveis em Primavera do Leste/MT.</w:t>
      </w:r>
    </w:p>
    <w:p>
      <w:pPr>
        <w:ind w:right="38" w:rightChars="16"/>
        <w:jc w:val="both"/>
        <w:rPr>
          <w:rFonts w:ascii="Arial" w:hAnsi="Arial" w:cs="Arial"/>
          <w:szCs w:val="24"/>
        </w:rPr>
      </w:pPr>
      <w:r>
        <w:rPr>
          <w:rFonts w:ascii="Arial" w:hAnsi="Arial" w:cs="Arial"/>
          <w:szCs w:val="24"/>
        </w:rPr>
        <w:t>g)  A Contratada deverá fornecer 02 (dois) caminhões equipados com carroceria tipo poliguindaste específica para este fim (poderá ser utilizado o veículo que executará os serviços de coleta dos resíduos da construção civil gerados pela municipalidade) e 04 (quatro) caixas brooks de volume equivalente a 5 m³, sendo:</w:t>
      </w:r>
    </w:p>
    <w:p>
      <w:pPr>
        <w:ind w:right="38" w:rightChars="16"/>
        <w:jc w:val="both"/>
        <w:rPr>
          <w:rFonts w:ascii="Arial" w:hAnsi="Arial" w:cs="Arial"/>
          <w:szCs w:val="24"/>
        </w:rPr>
      </w:pPr>
      <w:r>
        <w:rPr>
          <w:rFonts w:ascii="Arial" w:hAnsi="Arial" w:cs="Arial"/>
          <w:szCs w:val="24"/>
        </w:rPr>
        <w:t>- 01 (um) caminhão equipado com carroceria tipo poliguindaste específica para este fim;</w:t>
      </w:r>
    </w:p>
    <w:p>
      <w:pPr>
        <w:ind w:right="38" w:rightChars="16"/>
        <w:jc w:val="both"/>
        <w:rPr>
          <w:rFonts w:ascii="Arial" w:hAnsi="Arial" w:cs="Arial"/>
          <w:szCs w:val="24"/>
        </w:rPr>
      </w:pPr>
      <w:r>
        <w:rPr>
          <w:rFonts w:ascii="Arial" w:hAnsi="Arial" w:cs="Arial"/>
          <w:szCs w:val="24"/>
        </w:rPr>
        <w:t>- 01 (um) caminhão reserva equipado com carroceria tipo poliguindaste específica para este fim;</w:t>
      </w:r>
    </w:p>
    <w:p>
      <w:pPr>
        <w:ind w:right="38" w:rightChars="16"/>
        <w:jc w:val="both"/>
        <w:rPr>
          <w:rFonts w:ascii="Arial" w:hAnsi="Arial" w:cs="Arial"/>
          <w:szCs w:val="24"/>
        </w:rPr>
      </w:pPr>
      <w:r>
        <w:rPr>
          <w:rFonts w:ascii="Arial" w:hAnsi="Arial" w:cs="Arial"/>
          <w:szCs w:val="24"/>
        </w:rPr>
        <w:t>h)  Para execução da coleta, transporte e destinação final de resíduos da construção civil será necessário 01 (um) motorista com carteira de habilitação profissional e 01 (um) coletor que auxiliará no serviço coleta dos rejeitos provenientes da triagem dos resíduos recicláveis (poderá ser utilizado a mão de obra que executará os serviços de coleta dos resíduos da construção civil gerados pela municipalidade);</w:t>
      </w:r>
    </w:p>
    <w:p>
      <w:pPr>
        <w:ind w:right="38" w:rightChars="16"/>
        <w:jc w:val="both"/>
        <w:rPr>
          <w:rFonts w:ascii="Arial" w:hAnsi="Arial" w:cs="Arial"/>
          <w:szCs w:val="24"/>
        </w:rPr>
      </w:pPr>
      <w:r>
        <w:rPr>
          <w:rFonts w:ascii="Arial" w:hAnsi="Arial" w:cs="Arial"/>
          <w:szCs w:val="24"/>
        </w:rPr>
        <w:t>i)  Deverão ser considerados para o cálculo do presente serviço técnico as distâncias percorridas para o encaminhamento dos rejeitos provenientes da triagem dos resíduos secos (recicláveis) até o local de disposição final ambientalmente adequada.</w:t>
      </w:r>
    </w:p>
    <w:p>
      <w:pPr>
        <w:ind w:right="38" w:rightChars="16"/>
        <w:jc w:val="both"/>
        <w:rPr>
          <w:rFonts w:ascii="Arial" w:hAnsi="Arial" w:cs="Arial"/>
          <w:b/>
          <w:bCs/>
          <w:szCs w:val="24"/>
        </w:rPr>
      </w:pPr>
      <w:r>
        <w:rPr>
          <w:rFonts w:ascii="Arial" w:hAnsi="Arial" w:cs="Arial"/>
          <w:b/>
          <w:bCs/>
          <w:szCs w:val="24"/>
        </w:rPr>
        <w:t>4.6. DO SERVIÇO DE IMPLANTAÇÃO E COORDENAÇÃO DA UNIDADE DE TRIAGEM DE PRIMAVERA DO LESTE/MT</w:t>
      </w:r>
    </w:p>
    <w:p>
      <w:pPr>
        <w:ind w:right="38" w:rightChars="16"/>
        <w:jc w:val="both"/>
        <w:rPr>
          <w:rFonts w:ascii="Arial" w:hAnsi="Arial" w:cs="Arial"/>
          <w:szCs w:val="24"/>
        </w:rPr>
      </w:pPr>
      <w:r>
        <w:rPr>
          <w:rFonts w:ascii="Arial" w:hAnsi="Arial" w:cs="Arial"/>
          <w:szCs w:val="24"/>
        </w:rPr>
        <w:t>4.6.1 Da definição do serviço:</w:t>
      </w:r>
    </w:p>
    <w:p>
      <w:pPr>
        <w:ind w:right="38" w:rightChars="16"/>
        <w:jc w:val="both"/>
        <w:rPr>
          <w:rFonts w:ascii="Arial" w:hAnsi="Arial" w:cs="Arial"/>
          <w:szCs w:val="24"/>
        </w:rPr>
      </w:pPr>
      <w:r>
        <w:rPr>
          <w:rFonts w:ascii="Arial" w:hAnsi="Arial" w:cs="Arial"/>
          <w:szCs w:val="24"/>
        </w:rPr>
        <w:t>a) Define-se como operação e manutenção de usina de triagem, o serviço de recepcionar os resíduos domiciliares e/ou da coleta seletiva, para serem selecionados e separados conforme a sua natureza.</w:t>
      </w:r>
    </w:p>
    <w:p>
      <w:pPr>
        <w:ind w:right="38" w:rightChars="16"/>
        <w:jc w:val="both"/>
        <w:rPr>
          <w:rFonts w:ascii="Arial" w:hAnsi="Arial" w:cs="Arial"/>
          <w:szCs w:val="24"/>
        </w:rPr>
      </w:pPr>
      <w:r>
        <w:rPr>
          <w:rFonts w:ascii="Arial" w:hAnsi="Arial" w:cs="Arial"/>
          <w:szCs w:val="24"/>
        </w:rPr>
        <w:t>b) A operação da usina de triagem/reciclagem será feita através de COOPERATIVA, a ser indicada pela Prefeitura Municipal de Primavera do Leste/MT.</w:t>
      </w:r>
    </w:p>
    <w:p>
      <w:pPr>
        <w:ind w:right="38" w:rightChars="16"/>
        <w:jc w:val="both"/>
        <w:rPr>
          <w:rFonts w:ascii="Arial" w:hAnsi="Arial" w:cs="Arial"/>
          <w:szCs w:val="24"/>
        </w:rPr>
      </w:pPr>
      <w:r>
        <w:rPr>
          <w:rFonts w:ascii="Arial" w:hAnsi="Arial" w:cs="Arial"/>
          <w:szCs w:val="24"/>
        </w:rPr>
        <w:t>c) Entende-se como implantação da unidade de triagem a realização dos serviços de apoio técnico na definição dos layouts, dimensionamento preliminar das infraestruturas e demais atividades que auxiliem à Prefeitura Municipal de Primavera do Leste implantar tal unidade.</w:t>
      </w:r>
    </w:p>
    <w:p>
      <w:pPr>
        <w:ind w:right="38" w:rightChars="16"/>
        <w:jc w:val="both"/>
        <w:rPr>
          <w:rFonts w:ascii="Arial" w:hAnsi="Arial" w:cs="Arial"/>
          <w:szCs w:val="24"/>
        </w:rPr>
      </w:pPr>
      <w:r>
        <w:rPr>
          <w:rFonts w:ascii="Arial" w:hAnsi="Arial" w:cs="Arial"/>
          <w:szCs w:val="24"/>
        </w:rPr>
        <w:t xml:space="preserve">d) A coordenação será executada por profissional cedido pela licitante com capacidade de exercer as funções necessárias na Unidade de Triagem de Resíduos. </w:t>
      </w:r>
    </w:p>
    <w:p>
      <w:pPr>
        <w:ind w:right="38" w:rightChars="16"/>
        <w:jc w:val="both"/>
        <w:rPr>
          <w:rFonts w:ascii="Arial" w:hAnsi="Arial" w:cs="Arial"/>
          <w:szCs w:val="24"/>
        </w:rPr>
      </w:pPr>
      <w:r>
        <w:rPr>
          <w:rFonts w:ascii="Arial" w:hAnsi="Arial" w:cs="Arial"/>
          <w:szCs w:val="24"/>
        </w:rPr>
        <w:t>4.6.2. Da execução do serviço:</w:t>
      </w:r>
    </w:p>
    <w:p>
      <w:pPr>
        <w:ind w:right="38" w:rightChars="16"/>
        <w:jc w:val="both"/>
        <w:rPr>
          <w:rFonts w:ascii="Arial" w:hAnsi="Arial" w:cs="Arial"/>
          <w:szCs w:val="24"/>
        </w:rPr>
      </w:pPr>
      <w:r>
        <w:rPr>
          <w:rFonts w:ascii="Arial" w:hAnsi="Arial" w:cs="Arial"/>
          <w:szCs w:val="24"/>
        </w:rPr>
        <w:t>a)  A empresa contratada deverá dispor de profissional habilitado com experiência técnica em implementação e coordenação de Unidade de Triagem de Resíduos e atender as demandas, bem como a realização coordenação futura da unidade.</w:t>
      </w:r>
    </w:p>
    <w:p>
      <w:pPr>
        <w:ind w:right="38" w:rightChars="16"/>
        <w:jc w:val="both"/>
        <w:rPr>
          <w:rFonts w:ascii="Arial" w:hAnsi="Arial" w:cs="Arial"/>
          <w:b/>
          <w:bCs/>
          <w:szCs w:val="24"/>
        </w:rPr>
      </w:pPr>
      <w:r>
        <w:rPr>
          <w:rFonts w:ascii="Arial" w:hAnsi="Arial" w:cs="Arial"/>
          <w:b/>
          <w:bCs/>
          <w:szCs w:val="24"/>
        </w:rPr>
        <w:t>4.7. DAS ESPECIFICAÇÕES GERAIS DOS SERVIÇOS</w:t>
      </w:r>
    </w:p>
    <w:p>
      <w:pPr>
        <w:ind w:right="38" w:rightChars="16"/>
        <w:jc w:val="both"/>
        <w:rPr>
          <w:rFonts w:ascii="Arial" w:hAnsi="Arial" w:cs="Arial"/>
          <w:szCs w:val="24"/>
        </w:rPr>
      </w:pPr>
      <w:r>
        <w:rPr>
          <w:rFonts w:ascii="Arial" w:hAnsi="Arial" w:cs="Arial"/>
          <w:szCs w:val="24"/>
        </w:rPr>
        <w:t>4.7.1 Os serviços especificados neste edital serão remunerados pela modalidade de EMPREITADA GLOBAL, devendo a empresa Contratada apresentar proposta com o menor custo total mensal.</w:t>
      </w:r>
    </w:p>
    <w:p>
      <w:pPr>
        <w:ind w:right="38" w:rightChars="16"/>
        <w:jc w:val="both"/>
        <w:rPr>
          <w:rFonts w:ascii="Arial" w:hAnsi="Arial" w:cs="Arial"/>
          <w:szCs w:val="24"/>
        </w:rPr>
      </w:pPr>
      <w:r>
        <w:rPr>
          <w:rFonts w:ascii="Arial" w:hAnsi="Arial" w:cs="Arial"/>
          <w:szCs w:val="24"/>
        </w:rPr>
        <w:t>4.7.2 A Contratada deverá atender integralmente as posturas Estaduais e Municipais, sendo de total responsabilidade da Contratada, qualquer ato, atitude ou ação cometida ou tomada pela mesma, diferente neste item estabelecido.</w:t>
      </w:r>
    </w:p>
    <w:p>
      <w:pPr>
        <w:ind w:right="38" w:rightChars="16"/>
        <w:jc w:val="both"/>
        <w:rPr>
          <w:rFonts w:ascii="Arial" w:hAnsi="Arial" w:cs="Arial"/>
          <w:szCs w:val="24"/>
        </w:rPr>
      </w:pPr>
      <w:r>
        <w:rPr>
          <w:rFonts w:ascii="Arial" w:hAnsi="Arial" w:cs="Arial"/>
          <w:szCs w:val="24"/>
        </w:rPr>
        <w:t>4.7.3 A emissão da ordem serviço será específica para cada um dos itens apresentados  do presente Termo de Referência.</w:t>
      </w:r>
    </w:p>
    <w:p>
      <w:pPr>
        <w:ind w:right="38" w:rightChars="16"/>
        <w:jc w:val="both"/>
        <w:rPr>
          <w:rFonts w:ascii="Arial" w:hAnsi="Arial" w:cs="Arial"/>
          <w:b/>
          <w:bCs/>
          <w:szCs w:val="24"/>
        </w:rPr>
      </w:pPr>
      <w:r>
        <w:rPr>
          <w:rFonts w:ascii="Arial" w:hAnsi="Arial" w:cs="Arial"/>
          <w:b/>
          <w:bCs/>
          <w:szCs w:val="24"/>
        </w:rPr>
        <w:t>4.8. DOS VEÍCULOS E EQUIPAMENTOS</w:t>
      </w:r>
    </w:p>
    <w:p>
      <w:pPr>
        <w:ind w:right="38" w:rightChars="16"/>
        <w:jc w:val="both"/>
        <w:rPr>
          <w:rFonts w:ascii="Arial" w:hAnsi="Arial" w:cs="Arial"/>
          <w:szCs w:val="24"/>
        </w:rPr>
      </w:pPr>
      <w:r>
        <w:rPr>
          <w:rFonts w:ascii="Arial" w:hAnsi="Arial" w:cs="Arial"/>
          <w:szCs w:val="24"/>
        </w:rPr>
        <w:t>a)</w:t>
      </w:r>
      <w:r>
        <w:rPr>
          <w:rFonts w:ascii="Arial" w:hAnsi="Arial" w:cs="Arial"/>
          <w:b/>
          <w:bCs/>
          <w:szCs w:val="24"/>
        </w:rPr>
        <w:t xml:space="preserve"> </w:t>
      </w:r>
      <w:r>
        <w:rPr>
          <w:rFonts w:ascii="Arial" w:hAnsi="Arial" w:cs="Arial"/>
          <w:szCs w:val="24"/>
        </w:rPr>
        <w:t>Os equipamentos coletores, compactadores, ao longo do contrato, devem apresentar se em ótimas condições de operação e estanques, com ano de fabricação não inferior a 2021, evitando possível vazamento dos líquidos gerados pela compactação.</w:t>
      </w:r>
    </w:p>
    <w:p>
      <w:pPr>
        <w:ind w:right="38" w:rightChars="16"/>
        <w:jc w:val="both"/>
        <w:rPr>
          <w:rFonts w:ascii="Arial" w:hAnsi="Arial" w:cs="Arial"/>
          <w:szCs w:val="24"/>
        </w:rPr>
      </w:pPr>
      <w:r>
        <w:rPr>
          <w:rFonts w:ascii="Arial" w:hAnsi="Arial" w:cs="Arial"/>
          <w:szCs w:val="24"/>
        </w:rPr>
        <w:t>b) O transporte deverá ser efetuado em conformidade as disposições do Código Brasileiro de Trânsito, e qualquer irregularidade serão de inteira responsabilidade do licitante.</w:t>
      </w:r>
    </w:p>
    <w:p>
      <w:pPr>
        <w:ind w:right="38" w:rightChars="16"/>
        <w:jc w:val="both"/>
        <w:rPr>
          <w:rFonts w:ascii="Arial" w:hAnsi="Arial" w:cs="Arial"/>
          <w:szCs w:val="24"/>
        </w:rPr>
      </w:pPr>
      <w:r>
        <w:rPr>
          <w:rFonts w:ascii="Arial" w:hAnsi="Arial" w:cs="Arial"/>
          <w:szCs w:val="24"/>
        </w:rPr>
        <w:t>c) Os Veículos deverão ser mantidos em perfeitas condições de operação, licenciado pelo DETRAN e obedecendo as normas municipais e estaduais, inclusive o veículo reserva.</w:t>
      </w:r>
    </w:p>
    <w:p>
      <w:pPr>
        <w:ind w:right="38" w:rightChars="16"/>
        <w:jc w:val="both"/>
        <w:rPr>
          <w:rFonts w:ascii="Arial" w:hAnsi="Arial" w:cs="Arial"/>
          <w:szCs w:val="24"/>
        </w:rPr>
      </w:pPr>
      <w:r>
        <w:rPr>
          <w:rFonts w:ascii="Arial" w:hAnsi="Arial" w:cs="Arial"/>
          <w:szCs w:val="24"/>
        </w:rPr>
        <w:t>d) Não será permitida a exploração de publicidade nos veículos e equipamentos ou nos uniformes dos empregados envolvidos na execução dos serviços.</w:t>
      </w:r>
    </w:p>
    <w:p>
      <w:pPr>
        <w:ind w:right="38" w:rightChars="16"/>
        <w:jc w:val="both"/>
        <w:rPr>
          <w:rFonts w:ascii="Arial" w:hAnsi="Arial" w:cs="Arial"/>
          <w:szCs w:val="24"/>
        </w:rPr>
      </w:pPr>
      <w:r>
        <w:rPr>
          <w:rFonts w:ascii="Arial" w:hAnsi="Arial" w:cs="Arial"/>
          <w:szCs w:val="24"/>
        </w:rPr>
        <w:t>e) O Município poderá, a qualquer momento, exigir a troca de veículo ou equipamento que não seja adequado às exigências dos serviços.</w:t>
      </w:r>
    </w:p>
    <w:p>
      <w:pPr>
        <w:ind w:right="38" w:rightChars="16"/>
        <w:jc w:val="both"/>
        <w:rPr>
          <w:rFonts w:ascii="Arial" w:hAnsi="Arial" w:cs="Arial"/>
          <w:szCs w:val="24"/>
        </w:rPr>
      </w:pPr>
      <w:r>
        <w:rPr>
          <w:rFonts w:ascii="Arial" w:hAnsi="Arial" w:cs="Arial"/>
          <w:szCs w:val="24"/>
        </w:rPr>
        <w:t>f) A manutenção dos veículos e equipamentos correrá por conta da contratada.</w:t>
      </w:r>
    </w:p>
    <w:p>
      <w:pPr>
        <w:ind w:right="38" w:rightChars="16"/>
        <w:jc w:val="both"/>
        <w:rPr>
          <w:rFonts w:ascii="Arial" w:hAnsi="Arial" w:cs="Arial"/>
          <w:szCs w:val="24"/>
        </w:rPr>
      </w:pPr>
      <w:r>
        <w:rPr>
          <w:rFonts w:ascii="Arial" w:hAnsi="Arial" w:cs="Arial"/>
          <w:szCs w:val="24"/>
        </w:rPr>
        <w:t>g) Os veículos e equipamentos utilizados para cumprir o contrato deverão estar em bom estado de conservação, ficando a empresa contratada com o compromisso de disponibilizar veículo sempre nos dias e horários definidos pela contratante, não se admitindo a não prestação dos serviços por problemas técnicos, mecânicos ou de qualquer outra espécie, ficando a contratada em caso de descumprimento, sujeita as penalidades previstas no Edital.</w:t>
      </w:r>
    </w:p>
    <w:p>
      <w:pPr>
        <w:ind w:right="38" w:rightChars="16"/>
        <w:jc w:val="both"/>
        <w:rPr>
          <w:rFonts w:ascii="Arial" w:hAnsi="Arial" w:cs="Arial"/>
          <w:szCs w:val="24"/>
        </w:rPr>
      </w:pPr>
      <w:r>
        <w:rPr>
          <w:rFonts w:ascii="Arial" w:hAnsi="Arial" w:cs="Arial"/>
          <w:szCs w:val="24"/>
        </w:rPr>
        <w:t>h)  A contratada deverá fornecer veículo próprio para fiscalização dos serviços</w:t>
      </w:r>
    </w:p>
    <w:p>
      <w:pPr>
        <w:ind w:right="38" w:rightChars="16"/>
        <w:jc w:val="both"/>
        <w:rPr>
          <w:rFonts w:ascii="Arial" w:hAnsi="Arial" w:cs="Arial"/>
          <w:szCs w:val="24"/>
        </w:rPr>
      </w:pPr>
      <w:r>
        <w:rPr>
          <w:rFonts w:ascii="Arial" w:hAnsi="Arial" w:cs="Arial"/>
          <w:szCs w:val="24"/>
        </w:rPr>
        <w:t xml:space="preserve"> i) A Contratada deverá manter os veículos em perfeitas condições de funcionamento, estendendo-se também essa obrigatoriedade aos veículos reserva, constituindo obrigação contratual a lavagem das caçambas com solução detergente e manutenção da pintura em perfeito estado de conservação.</w:t>
      </w:r>
    </w:p>
    <w:p>
      <w:pPr>
        <w:ind w:right="38" w:rightChars="16"/>
        <w:jc w:val="both"/>
        <w:rPr>
          <w:rFonts w:ascii="Arial" w:hAnsi="Arial" w:cs="Arial"/>
          <w:szCs w:val="24"/>
        </w:rPr>
      </w:pPr>
      <w:r>
        <w:rPr>
          <w:rFonts w:ascii="Arial" w:hAnsi="Arial" w:cs="Arial"/>
          <w:szCs w:val="24"/>
        </w:rPr>
        <w:t xml:space="preserve"> j) Os veículos a serem utilizados pela Contratada para a realização do serviço deverão estar eis para uso no prazo máximo de 3 (três) dias úteis a contar da emissão do laudo de vistoria.</w:t>
      </w:r>
    </w:p>
    <w:p>
      <w:pPr>
        <w:ind w:right="38" w:rightChars="16"/>
        <w:jc w:val="both"/>
        <w:rPr>
          <w:rFonts w:ascii="Arial" w:hAnsi="Arial" w:cs="Arial"/>
          <w:szCs w:val="24"/>
        </w:rPr>
      </w:pPr>
      <w:r>
        <w:rPr>
          <w:rFonts w:ascii="Arial" w:hAnsi="Arial" w:cs="Arial"/>
          <w:szCs w:val="24"/>
        </w:rPr>
        <w:t xml:space="preserve"> k) Os veículos devem trazer além das placas regulamentadas, os sinalizadores visuais sobre os equipamentos, adequando à legislação específica vigente no país.</w:t>
      </w:r>
    </w:p>
    <w:p>
      <w:pPr>
        <w:ind w:right="38" w:rightChars="16"/>
        <w:jc w:val="both"/>
        <w:rPr>
          <w:rFonts w:ascii="Arial" w:hAnsi="Arial" w:cs="Arial"/>
          <w:szCs w:val="24"/>
        </w:rPr>
      </w:pPr>
      <w:r>
        <w:rPr>
          <w:rFonts w:ascii="Arial" w:hAnsi="Arial" w:cs="Arial"/>
          <w:szCs w:val="24"/>
        </w:rPr>
        <w:t xml:space="preserve"> l) Os veículos utilizados nos serviços deverão respeitar os limites de velocidade estabelecidos em lei, fontes sonoras e emissão de poluentes, e utilizar os equipamentos e instrumentos determinados pelo Código de Trânsito Brasileiro – CTB.</w:t>
      </w:r>
    </w:p>
    <w:p>
      <w:pPr>
        <w:ind w:right="38" w:rightChars="16"/>
        <w:jc w:val="both"/>
        <w:rPr>
          <w:rFonts w:ascii="Arial" w:hAnsi="Arial" w:cs="Arial"/>
          <w:szCs w:val="24"/>
        </w:rPr>
      </w:pPr>
      <w:r>
        <w:rPr>
          <w:rFonts w:ascii="Arial" w:hAnsi="Arial" w:cs="Arial"/>
          <w:szCs w:val="24"/>
        </w:rPr>
        <w:t xml:space="preserve"> m) A Contratante poderá a qualquer momento, exigir a troca dos veículos e equipamentos que não estejam adequados às exigências dos serviços, devidamente justificados.</w:t>
      </w:r>
    </w:p>
    <w:p>
      <w:pPr>
        <w:ind w:right="38" w:rightChars="16"/>
        <w:jc w:val="both"/>
        <w:rPr>
          <w:rFonts w:ascii="Arial" w:hAnsi="Arial" w:cs="Arial"/>
          <w:szCs w:val="24"/>
        </w:rPr>
      </w:pPr>
      <w:r>
        <w:rPr>
          <w:rFonts w:ascii="Arial" w:hAnsi="Arial" w:cs="Arial"/>
          <w:szCs w:val="24"/>
        </w:rPr>
        <w:t>n)  A manutenção dos eventuais problemas mecânicos nos veículos, sejam corretivas ou preventivas, são de responsabilidade da Contratada;</w:t>
      </w:r>
    </w:p>
    <w:p>
      <w:pPr>
        <w:ind w:right="38" w:rightChars="16"/>
        <w:jc w:val="both"/>
        <w:rPr>
          <w:rFonts w:ascii="Arial" w:hAnsi="Arial" w:cs="Arial"/>
          <w:szCs w:val="24"/>
        </w:rPr>
      </w:pPr>
      <w:r>
        <w:rPr>
          <w:rFonts w:ascii="Arial" w:hAnsi="Arial" w:cs="Arial"/>
          <w:szCs w:val="24"/>
        </w:rPr>
        <w:t>o) No caso de manutenção dos veículos, a Contratada garantirá a execução do serviço conforme roteiro, sempre garantido que não haja transtornos a Contratante e a população.</w:t>
      </w:r>
    </w:p>
    <w:p>
      <w:pPr>
        <w:ind w:right="38" w:rightChars="16"/>
        <w:jc w:val="both"/>
        <w:rPr>
          <w:rFonts w:ascii="Arial" w:hAnsi="Arial" w:cs="Arial"/>
          <w:szCs w:val="24"/>
        </w:rPr>
      </w:pPr>
      <w:r>
        <w:rPr>
          <w:rFonts w:ascii="Arial" w:hAnsi="Arial" w:cs="Arial"/>
          <w:szCs w:val="24"/>
        </w:rPr>
        <w:t>p) Os veículos e equipamentos destinados à execução desse objeto deverão ser de uso exclusivo a prestação dos serviços.</w:t>
      </w:r>
    </w:p>
    <w:p>
      <w:pPr>
        <w:ind w:right="38" w:rightChars="16"/>
        <w:jc w:val="both"/>
        <w:rPr>
          <w:rFonts w:ascii="Arial" w:hAnsi="Arial" w:cs="Arial"/>
          <w:szCs w:val="24"/>
        </w:rPr>
      </w:pPr>
      <w:r>
        <w:rPr>
          <w:rFonts w:ascii="Arial" w:hAnsi="Arial" w:cs="Arial"/>
          <w:szCs w:val="24"/>
        </w:rPr>
        <w:t xml:space="preserve"> q) Todas as despesas com combustíveis, óleos lubrificantes, manutenção e demais ações referentes aos veículos e equipamentos, serão de responsabilidade da Contratada.</w:t>
      </w:r>
    </w:p>
    <w:p>
      <w:pPr>
        <w:ind w:right="38" w:rightChars="16"/>
        <w:jc w:val="both"/>
        <w:rPr>
          <w:rFonts w:ascii="Arial" w:hAnsi="Arial" w:cs="Arial"/>
          <w:szCs w:val="24"/>
        </w:rPr>
      </w:pPr>
      <w:r>
        <w:rPr>
          <w:rFonts w:ascii="Arial" w:hAnsi="Arial" w:cs="Arial"/>
          <w:szCs w:val="24"/>
        </w:rPr>
        <w:t xml:space="preserve"> r) A Contratada deverá providenciar a Licença Ambiental para a atividade, expedida pelo órgão ambiental competente.</w:t>
      </w:r>
    </w:p>
    <w:p>
      <w:pPr>
        <w:ind w:right="38" w:rightChars="16"/>
        <w:jc w:val="both"/>
        <w:rPr>
          <w:rFonts w:ascii="Arial" w:hAnsi="Arial" w:cs="Arial"/>
          <w:szCs w:val="24"/>
        </w:rPr>
      </w:pPr>
      <w:r>
        <w:rPr>
          <w:rFonts w:ascii="Arial" w:hAnsi="Arial" w:cs="Arial"/>
          <w:szCs w:val="24"/>
        </w:rPr>
        <w:t xml:space="preserve">s) A Contratada não poderá, em hipótese alguma, interromper os serviços por motivo de quebra ou falta de veículo/equipamento, devendo providenciar a imediata reposição do mesmo. </w:t>
      </w:r>
    </w:p>
    <w:p>
      <w:pPr>
        <w:ind w:right="38" w:rightChars="16"/>
        <w:jc w:val="both"/>
        <w:rPr>
          <w:rFonts w:ascii="Arial" w:hAnsi="Arial" w:cs="Arial"/>
          <w:szCs w:val="24"/>
        </w:rPr>
      </w:pPr>
      <w:r>
        <w:rPr>
          <w:rFonts w:ascii="Arial" w:hAnsi="Arial" w:cs="Arial"/>
          <w:b/>
          <w:bCs/>
          <w:szCs w:val="24"/>
        </w:rPr>
        <w:t>4.9.</w:t>
      </w:r>
      <w:r>
        <w:rPr>
          <w:rFonts w:ascii="Arial" w:hAnsi="Arial" w:cs="Arial"/>
          <w:szCs w:val="24"/>
        </w:rPr>
        <w:t xml:space="preserve"> DA MÃO-DE-OBRA</w:t>
      </w:r>
    </w:p>
    <w:p>
      <w:pPr>
        <w:ind w:right="38" w:rightChars="16"/>
        <w:jc w:val="both"/>
        <w:rPr>
          <w:rFonts w:ascii="Arial" w:hAnsi="Arial" w:cs="Arial"/>
          <w:szCs w:val="24"/>
        </w:rPr>
      </w:pPr>
      <w:r>
        <w:rPr>
          <w:rFonts w:ascii="Arial" w:hAnsi="Arial" w:cs="Arial"/>
          <w:szCs w:val="24"/>
        </w:rPr>
        <w:t>a) Será de inteira responsabilidade da proponente a admissão de mão-de-obra necessária ao desempenho dos serviços contratados, correndo por sua conta, também, os encargos necessários e demais exigências das leis trabalhistas, previdenciárias, fiscais, comerciais e outras de qualquer natureza, respondendo a proponente pelos danos causados por seus empregados, auxiliares e prepostos, ao patrimônio público ou a outrem.</w:t>
      </w:r>
    </w:p>
    <w:p>
      <w:pPr>
        <w:ind w:right="38" w:rightChars="16"/>
        <w:jc w:val="both"/>
        <w:rPr>
          <w:rFonts w:ascii="Arial" w:hAnsi="Arial" w:cs="Arial"/>
          <w:szCs w:val="24"/>
        </w:rPr>
      </w:pPr>
      <w:r>
        <w:rPr>
          <w:rFonts w:ascii="Arial" w:hAnsi="Arial" w:cs="Arial"/>
          <w:szCs w:val="24"/>
        </w:rPr>
        <w:t>b) São de responsabilidade da Contratada a admissão de motoristas, mecânicos, fiscais, encarregados, serventes, funcionários administrativos e demais profissionais necessários a execução do serviço.</w:t>
      </w:r>
    </w:p>
    <w:p>
      <w:pPr>
        <w:ind w:right="38" w:rightChars="16"/>
        <w:jc w:val="both"/>
        <w:rPr>
          <w:rFonts w:ascii="Arial" w:hAnsi="Arial" w:cs="Arial"/>
          <w:szCs w:val="24"/>
        </w:rPr>
      </w:pPr>
      <w:r>
        <w:rPr>
          <w:rFonts w:ascii="Arial" w:hAnsi="Arial" w:cs="Arial"/>
          <w:szCs w:val="24"/>
        </w:rPr>
        <w:t>c) São de responsabilidade da Contratada fornecer seguros, uniformes, vestuários, aquisição e uso de EPIs – Equipamentos de Proteção Individual e demais exigências das leis trabalhistas.</w:t>
      </w:r>
    </w:p>
    <w:p>
      <w:pPr>
        <w:ind w:right="38" w:rightChars="16"/>
        <w:jc w:val="both"/>
        <w:rPr>
          <w:rFonts w:ascii="Arial" w:hAnsi="Arial" w:cs="Arial"/>
          <w:szCs w:val="24"/>
        </w:rPr>
      </w:pPr>
      <w:r>
        <w:rPr>
          <w:rFonts w:ascii="Arial" w:hAnsi="Arial" w:cs="Arial"/>
          <w:szCs w:val="24"/>
        </w:rPr>
        <w:t xml:space="preserve"> d) A Contratada deverá realizar treinamento contínuo do pessoal envolvido nos serviços do presente edital.</w:t>
      </w:r>
    </w:p>
    <w:p>
      <w:pPr>
        <w:ind w:right="38" w:rightChars="16"/>
        <w:jc w:val="both"/>
        <w:rPr>
          <w:rFonts w:ascii="Arial" w:hAnsi="Arial" w:cs="Arial"/>
          <w:szCs w:val="24"/>
        </w:rPr>
      </w:pPr>
      <w:r>
        <w:rPr>
          <w:rFonts w:ascii="Arial" w:hAnsi="Arial" w:cs="Arial"/>
          <w:szCs w:val="24"/>
        </w:rPr>
        <w:t xml:space="preserve">e) Todo pessoal a ser utilizado na execução de todos os serviços a serem executados são de responsabilidade da empresa Contratada. </w:t>
      </w:r>
    </w:p>
    <w:p>
      <w:pPr>
        <w:ind w:right="38" w:rightChars="16"/>
        <w:jc w:val="both"/>
        <w:rPr>
          <w:rFonts w:ascii="Arial" w:hAnsi="Arial" w:cs="Arial"/>
          <w:szCs w:val="24"/>
        </w:rPr>
      </w:pPr>
      <w:r>
        <w:rPr>
          <w:rFonts w:ascii="Arial" w:hAnsi="Arial" w:cs="Arial"/>
          <w:szCs w:val="24"/>
        </w:rPr>
        <w:t xml:space="preserve"> f) É de responsabilidade da Contratante a fiscalização dos serviços contratados, para isso deverá contratar um encarregado de equipe com experiência, o mesmo devera compor a planilha de custo detalhada.</w:t>
      </w:r>
    </w:p>
    <w:p>
      <w:pPr>
        <w:ind w:right="38" w:rightChars="16"/>
        <w:jc w:val="both"/>
        <w:rPr>
          <w:rFonts w:ascii="Arial" w:hAnsi="Arial" w:cs="Arial"/>
          <w:szCs w:val="24"/>
        </w:rPr>
      </w:pPr>
      <w:r>
        <w:rPr>
          <w:rFonts w:ascii="Arial" w:hAnsi="Arial" w:cs="Arial"/>
          <w:szCs w:val="24"/>
        </w:rPr>
        <w:t xml:space="preserve"> g) A fiscalização terá direito de exigir a substituição, a qual deverá ser realizada dentro de 48 (quarenta e oito) horas, de todo empregado cuja conduta seja prejudicial ao bom andamento do serviço.</w:t>
      </w:r>
    </w:p>
    <w:p>
      <w:pPr>
        <w:ind w:right="38" w:rightChars="16"/>
        <w:jc w:val="both"/>
        <w:rPr>
          <w:rFonts w:ascii="Arial" w:hAnsi="Arial" w:cs="Arial"/>
          <w:szCs w:val="24"/>
        </w:rPr>
      </w:pPr>
      <w:r>
        <w:rPr>
          <w:rFonts w:ascii="Arial" w:hAnsi="Arial" w:cs="Arial"/>
          <w:szCs w:val="24"/>
        </w:rPr>
        <w:t xml:space="preserve"> h) A responsabilidade pela ação ou omissão dos empregados será de inteira responsabilidade da Contratada.</w:t>
      </w:r>
    </w:p>
    <w:p>
      <w:pPr>
        <w:ind w:right="38" w:rightChars="16"/>
        <w:jc w:val="both"/>
        <w:rPr>
          <w:rFonts w:ascii="Arial" w:hAnsi="Arial" w:cs="Arial"/>
          <w:szCs w:val="24"/>
        </w:rPr>
      </w:pPr>
      <w:r>
        <w:rPr>
          <w:rFonts w:ascii="Arial" w:hAnsi="Arial" w:cs="Arial"/>
          <w:szCs w:val="24"/>
        </w:rPr>
        <w:t>i) A guarnição (conjunto de trabalhadores lotados num veículo coletor, envolvidos nas atividades de coleta de resíduos sólidos) deverá apresentar-se uniformizada, de acordo com as normas de segurança do trabalho pertinentes.</w:t>
      </w:r>
    </w:p>
    <w:p>
      <w:pPr>
        <w:ind w:right="38" w:rightChars="16"/>
        <w:jc w:val="both"/>
        <w:rPr>
          <w:rFonts w:ascii="Arial" w:hAnsi="Arial" w:cs="Arial"/>
          <w:szCs w:val="24"/>
        </w:rPr>
      </w:pPr>
      <w:r>
        <w:rPr>
          <w:rFonts w:ascii="Arial" w:hAnsi="Arial" w:cs="Arial"/>
          <w:szCs w:val="24"/>
        </w:rPr>
        <w:t>j) Os coletores deverão, obrigatoriamente, receber e utilizar os equipamentos de proteção individual, conforme descrição que segue:</w:t>
      </w:r>
    </w:p>
    <w:p>
      <w:pPr>
        <w:ind w:right="38" w:rightChars="16"/>
        <w:jc w:val="both"/>
        <w:rPr>
          <w:rFonts w:ascii="Arial" w:hAnsi="Arial" w:cs="Arial"/>
          <w:szCs w:val="24"/>
        </w:rPr>
      </w:pPr>
      <w:r>
        <w:rPr>
          <w:rFonts w:ascii="Arial" w:hAnsi="Arial" w:cs="Arial"/>
          <w:szCs w:val="24"/>
        </w:rPr>
        <w:t>- Uniforme: composto de calça comprida e camisa de manga comprida em tecido resistente, em cor e identificação acordadas entre as partes;</w:t>
      </w:r>
    </w:p>
    <w:p>
      <w:pPr>
        <w:ind w:right="38" w:rightChars="16"/>
        <w:jc w:val="both"/>
        <w:rPr>
          <w:rFonts w:ascii="Arial" w:hAnsi="Arial" w:cs="Arial"/>
          <w:szCs w:val="24"/>
        </w:rPr>
      </w:pPr>
      <w:r>
        <w:rPr>
          <w:rFonts w:ascii="Arial" w:hAnsi="Arial" w:cs="Arial"/>
          <w:szCs w:val="24"/>
        </w:rPr>
        <w:t>- Luvas de raspa de cano curto;</w:t>
      </w:r>
    </w:p>
    <w:p>
      <w:pPr>
        <w:ind w:right="38" w:rightChars="16"/>
        <w:jc w:val="both"/>
        <w:rPr>
          <w:rFonts w:ascii="Arial" w:hAnsi="Arial" w:cs="Arial"/>
          <w:szCs w:val="24"/>
        </w:rPr>
      </w:pPr>
      <w:r>
        <w:rPr>
          <w:rFonts w:ascii="Arial" w:hAnsi="Arial" w:cs="Arial"/>
          <w:szCs w:val="24"/>
        </w:rPr>
        <w:t>- Calçado com solado antiderrapante;</w:t>
      </w:r>
    </w:p>
    <w:p>
      <w:pPr>
        <w:ind w:right="38" w:rightChars="16"/>
        <w:jc w:val="both"/>
        <w:rPr>
          <w:rFonts w:ascii="Arial" w:hAnsi="Arial" w:cs="Arial"/>
          <w:szCs w:val="24"/>
        </w:rPr>
      </w:pPr>
      <w:r>
        <w:rPr>
          <w:rFonts w:ascii="Arial" w:hAnsi="Arial" w:cs="Arial"/>
          <w:szCs w:val="24"/>
        </w:rPr>
        <w:t>- Boné bico-de-pato, na cor padrão da empresa;</w:t>
      </w:r>
    </w:p>
    <w:p>
      <w:pPr>
        <w:ind w:right="38" w:rightChars="16"/>
        <w:jc w:val="both"/>
        <w:rPr>
          <w:rFonts w:ascii="Arial" w:hAnsi="Arial" w:cs="Arial"/>
          <w:szCs w:val="24"/>
        </w:rPr>
      </w:pPr>
      <w:r>
        <w:rPr>
          <w:rFonts w:ascii="Arial" w:hAnsi="Arial" w:cs="Arial"/>
          <w:szCs w:val="24"/>
        </w:rPr>
        <w:t>- Touca árabe;</w:t>
      </w:r>
    </w:p>
    <w:p>
      <w:pPr>
        <w:ind w:right="38" w:rightChars="16"/>
        <w:jc w:val="both"/>
        <w:rPr>
          <w:rFonts w:ascii="Arial" w:hAnsi="Arial" w:cs="Arial"/>
          <w:szCs w:val="24"/>
        </w:rPr>
      </w:pPr>
      <w:r>
        <w:rPr>
          <w:rFonts w:ascii="Arial" w:hAnsi="Arial" w:cs="Arial"/>
          <w:szCs w:val="24"/>
        </w:rPr>
        <w:t>- Colete ou tiras refletivas;</w:t>
      </w:r>
    </w:p>
    <w:p>
      <w:pPr>
        <w:ind w:right="38" w:rightChars="16"/>
        <w:jc w:val="both"/>
        <w:rPr>
          <w:rFonts w:ascii="Arial" w:hAnsi="Arial" w:cs="Arial"/>
          <w:szCs w:val="24"/>
        </w:rPr>
      </w:pPr>
      <w:r>
        <w:rPr>
          <w:rFonts w:ascii="Arial" w:hAnsi="Arial" w:cs="Arial"/>
          <w:szCs w:val="24"/>
        </w:rPr>
        <w:t>- Capa de chuva;</w:t>
      </w:r>
    </w:p>
    <w:p>
      <w:pPr>
        <w:ind w:right="38" w:rightChars="16"/>
        <w:jc w:val="both"/>
        <w:rPr>
          <w:rFonts w:ascii="Arial" w:hAnsi="Arial" w:cs="Arial"/>
          <w:szCs w:val="24"/>
        </w:rPr>
      </w:pPr>
      <w:r>
        <w:rPr>
          <w:rFonts w:ascii="Arial" w:hAnsi="Arial" w:cs="Arial"/>
          <w:szCs w:val="24"/>
        </w:rPr>
        <w:t>- Protetor solar;</w:t>
      </w:r>
    </w:p>
    <w:p>
      <w:pPr>
        <w:ind w:right="38" w:rightChars="16"/>
        <w:jc w:val="both"/>
        <w:rPr>
          <w:rFonts w:ascii="Arial" w:hAnsi="Arial" w:cs="Arial"/>
          <w:szCs w:val="24"/>
        </w:rPr>
      </w:pPr>
      <w:r>
        <w:rPr>
          <w:rFonts w:ascii="Arial" w:hAnsi="Arial" w:cs="Arial"/>
          <w:szCs w:val="24"/>
        </w:rPr>
        <w:t>- Máscara;</w:t>
      </w:r>
    </w:p>
    <w:p>
      <w:pPr>
        <w:ind w:right="38" w:rightChars="16"/>
        <w:jc w:val="both"/>
        <w:rPr>
          <w:rFonts w:ascii="Arial" w:hAnsi="Arial" w:cs="Arial"/>
          <w:szCs w:val="24"/>
        </w:rPr>
      </w:pPr>
      <w:r>
        <w:rPr>
          <w:rFonts w:ascii="Arial" w:hAnsi="Arial" w:cs="Arial"/>
          <w:b/>
          <w:bCs/>
          <w:szCs w:val="24"/>
        </w:rPr>
        <w:t>Qualquer outro equipamento que julgar necessário, em atendimento a legislação</w:t>
      </w:r>
      <w:r>
        <w:rPr>
          <w:rFonts w:ascii="Arial" w:hAnsi="Arial" w:cs="Arial"/>
          <w:szCs w:val="24"/>
        </w:rPr>
        <w:t>.</w:t>
      </w:r>
    </w:p>
    <w:p>
      <w:pPr>
        <w:ind w:right="38" w:rightChars="16"/>
        <w:jc w:val="both"/>
        <w:rPr>
          <w:rFonts w:ascii="Arial" w:hAnsi="Arial" w:cs="Arial"/>
          <w:szCs w:val="24"/>
        </w:rPr>
      </w:pPr>
      <w:r>
        <w:rPr>
          <w:rFonts w:ascii="Arial" w:hAnsi="Arial" w:cs="Arial"/>
          <w:szCs w:val="24"/>
        </w:rPr>
        <w:t>k) Os motoristas deverão, obrigatoriamente, receber e utilizar os equipamentos de proteção individual, conforme descrição que segue:</w:t>
      </w:r>
    </w:p>
    <w:p>
      <w:pPr>
        <w:ind w:right="38" w:rightChars="16"/>
        <w:jc w:val="both"/>
        <w:rPr>
          <w:rFonts w:ascii="Arial" w:hAnsi="Arial" w:cs="Arial"/>
          <w:szCs w:val="24"/>
        </w:rPr>
      </w:pPr>
      <w:r>
        <w:rPr>
          <w:rFonts w:ascii="Arial" w:hAnsi="Arial" w:cs="Arial"/>
          <w:szCs w:val="24"/>
        </w:rPr>
        <w:t>- Uniforme: composto de calça comprida e camisa de manga comprida ou curta em tecido resistente, em cor e identificação acordadas entre as partes;</w:t>
      </w:r>
    </w:p>
    <w:p>
      <w:pPr>
        <w:ind w:right="38" w:rightChars="16"/>
        <w:jc w:val="both"/>
        <w:rPr>
          <w:rFonts w:ascii="Arial" w:hAnsi="Arial" w:cs="Arial"/>
          <w:szCs w:val="24"/>
        </w:rPr>
      </w:pPr>
      <w:r>
        <w:rPr>
          <w:rFonts w:ascii="Arial" w:hAnsi="Arial" w:cs="Arial"/>
          <w:szCs w:val="24"/>
        </w:rPr>
        <w:t>- Calçado com solado antiderrapante;</w:t>
      </w:r>
    </w:p>
    <w:p>
      <w:pPr>
        <w:ind w:right="38" w:rightChars="16"/>
        <w:jc w:val="both"/>
        <w:rPr>
          <w:rFonts w:ascii="Arial" w:hAnsi="Arial" w:cs="Arial"/>
          <w:szCs w:val="24"/>
        </w:rPr>
      </w:pPr>
      <w:r>
        <w:rPr>
          <w:rFonts w:ascii="Arial" w:hAnsi="Arial" w:cs="Arial"/>
          <w:szCs w:val="24"/>
        </w:rPr>
        <w:t>- Boné bico-de-pato, na cor padrão da empresa;</w:t>
      </w:r>
    </w:p>
    <w:p>
      <w:pPr>
        <w:ind w:right="38" w:rightChars="16"/>
        <w:jc w:val="both"/>
        <w:rPr>
          <w:rFonts w:ascii="Arial" w:hAnsi="Arial" w:cs="Arial"/>
          <w:szCs w:val="24"/>
        </w:rPr>
      </w:pPr>
      <w:r>
        <w:rPr>
          <w:rFonts w:ascii="Arial" w:hAnsi="Arial" w:cs="Arial"/>
          <w:szCs w:val="24"/>
        </w:rPr>
        <w:t>- Protetor solar;</w:t>
      </w:r>
    </w:p>
    <w:p>
      <w:pPr>
        <w:ind w:right="38" w:rightChars="16"/>
        <w:jc w:val="both"/>
        <w:rPr>
          <w:rFonts w:ascii="Arial" w:hAnsi="Arial" w:cs="Arial"/>
          <w:szCs w:val="24"/>
        </w:rPr>
      </w:pPr>
      <w:r>
        <w:rPr>
          <w:rFonts w:ascii="Arial" w:hAnsi="Arial" w:cs="Arial"/>
          <w:szCs w:val="24"/>
        </w:rPr>
        <w:t>- Máscara;</w:t>
      </w:r>
    </w:p>
    <w:p>
      <w:pPr>
        <w:ind w:right="38" w:rightChars="16"/>
        <w:jc w:val="both"/>
        <w:rPr>
          <w:rFonts w:ascii="Arial" w:hAnsi="Arial" w:cs="Arial"/>
          <w:b/>
          <w:bCs/>
          <w:szCs w:val="24"/>
        </w:rPr>
      </w:pPr>
      <w:r>
        <w:rPr>
          <w:rFonts w:ascii="Arial" w:hAnsi="Arial" w:cs="Arial"/>
          <w:b/>
          <w:bCs/>
          <w:szCs w:val="24"/>
        </w:rPr>
        <w:t>Qualquer outro equipamento que julgar necessário, em atendimento a legislação.</w:t>
      </w:r>
    </w:p>
    <w:p>
      <w:pPr>
        <w:ind w:right="38" w:rightChars="16"/>
        <w:jc w:val="both"/>
        <w:rPr>
          <w:rFonts w:ascii="Arial" w:hAnsi="Arial" w:cs="Arial"/>
          <w:szCs w:val="24"/>
        </w:rPr>
      </w:pPr>
      <w:r>
        <w:rPr>
          <w:rFonts w:ascii="Arial" w:hAnsi="Arial" w:cs="Arial"/>
          <w:szCs w:val="24"/>
        </w:rPr>
        <w:t>l) A Contratada deverá acatar as condições de trabalho, salários e benefícios acordados nas convenções coletivas de trabalho do sindicato que representa as categorias.</w:t>
      </w:r>
    </w:p>
    <w:p>
      <w:pPr>
        <w:ind w:right="38" w:rightChars="16"/>
        <w:jc w:val="both"/>
        <w:rPr>
          <w:rFonts w:ascii="Arial" w:hAnsi="Arial" w:cs="Arial"/>
          <w:szCs w:val="24"/>
        </w:rPr>
      </w:pPr>
      <w:r>
        <w:rPr>
          <w:rFonts w:ascii="Arial" w:hAnsi="Arial" w:cs="Arial"/>
          <w:szCs w:val="24"/>
        </w:rPr>
        <w:t>m)  A Contratada deverá ter em seu quadro funcional, ou contrato administrativo, 01 (um) responsável técnico, com atribuições para as áreas de saneamento e meio ambiente, que será o responsável técnico junto aos órgãos ambientais referente à execução do serviço.</w:t>
      </w:r>
    </w:p>
    <w:p>
      <w:pPr>
        <w:ind w:right="38" w:rightChars="16"/>
        <w:jc w:val="both"/>
        <w:rPr>
          <w:rFonts w:ascii="Arial" w:hAnsi="Arial" w:cs="Arial"/>
          <w:szCs w:val="24"/>
        </w:rPr>
      </w:pPr>
      <w:r>
        <w:rPr>
          <w:rFonts w:ascii="Arial" w:hAnsi="Arial" w:cs="Arial"/>
          <w:szCs w:val="24"/>
        </w:rPr>
        <w:t xml:space="preserve"> n) O profissional técnico deverá imitir ART – Anotação de Responsabilidade Técnica, dos serviços pertinentes ao serviço.</w:t>
      </w:r>
    </w:p>
    <w:p>
      <w:pPr>
        <w:ind w:right="38" w:rightChars="16"/>
        <w:jc w:val="both"/>
        <w:rPr>
          <w:rFonts w:ascii="Arial" w:hAnsi="Arial" w:cs="Arial"/>
          <w:szCs w:val="24"/>
        </w:rPr>
      </w:pPr>
      <w:r>
        <w:rPr>
          <w:rFonts w:ascii="Arial" w:hAnsi="Arial" w:cs="Arial"/>
          <w:szCs w:val="24"/>
        </w:rPr>
        <w:t>o) Possuir um encarregado responsável por todo o cronograma e qualidade dos serviços prestados.</w:t>
      </w:r>
    </w:p>
    <w:p>
      <w:pPr>
        <w:ind w:right="38" w:rightChars="16"/>
        <w:jc w:val="both"/>
        <w:rPr>
          <w:rFonts w:ascii="Arial" w:hAnsi="Arial" w:cs="Arial"/>
          <w:szCs w:val="24"/>
        </w:rPr>
      </w:pPr>
      <w:r>
        <w:rPr>
          <w:rFonts w:ascii="Arial" w:hAnsi="Arial" w:cs="Arial"/>
          <w:szCs w:val="24"/>
        </w:rPr>
        <w:t>p) Os profissionais mencionados no item 11.14 e 11.15 deverão estar inclusos na composição de custo da licitante, será exigido controle de jornada desses profissionais sendo de responsabilidade da licitante demonstrar as despesas reais sobre estes profissionais.</w:t>
      </w:r>
    </w:p>
    <w:p>
      <w:pPr>
        <w:ind w:right="38" w:rightChars="16"/>
        <w:jc w:val="both"/>
        <w:rPr>
          <w:rFonts w:ascii="Arial" w:hAnsi="Arial" w:cs="Arial"/>
          <w:szCs w:val="24"/>
        </w:rPr>
      </w:pPr>
      <w:r>
        <w:rPr>
          <w:rFonts w:ascii="Arial" w:hAnsi="Arial" w:cs="Arial"/>
          <w:szCs w:val="24"/>
        </w:rPr>
        <w:t xml:space="preserve"> q) As demais mãos-de-obra necessárias para execução dos serviços técnicos são apresentadas no Anexo I-A.</w:t>
      </w:r>
    </w:p>
    <w:p>
      <w:pPr>
        <w:ind w:right="38" w:rightChars="16"/>
        <w:jc w:val="both"/>
        <w:rPr>
          <w:rFonts w:ascii="Arial" w:hAnsi="Arial" w:cs="Arial"/>
          <w:szCs w:val="24"/>
        </w:rPr>
      </w:pPr>
    </w:p>
    <w:p>
      <w:pPr>
        <w:ind w:right="38" w:rightChars="16"/>
        <w:jc w:val="both"/>
        <w:rPr>
          <w:rFonts w:ascii="Arial" w:hAnsi="Arial" w:cs="Arial"/>
          <w:b/>
          <w:szCs w:val="24"/>
        </w:rPr>
      </w:pPr>
      <w:r>
        <w:rPr>
          <w:rFonts w:ascii="Arial" w:hAnsi="Arial" w:cs="Arial"/>
          <w:b/>
          <w:szCs w:val="24"/>
        </w:rPr>
        <w:t>5. CLÁUSULA QUINTA: DO PERÍODO DE VIGÊNCIA</w:t>
      </w:r>
    </w:p>
    <w:p>
      <w:pPr>
        <w:ind w:right="38" w:rightChars="16"/>
        <w:jc w:val="both"/>
        <w:rPr>
          <w:rFonts w:ascii="Arial" w:hAnsi="Arial" w:cs="Arial"/>
          <w:szCs w:val="24"/>
        </w:rPr>
      </w:pPr>
      <w:r>
        <w:rPr>
          <w:rFonts w:ascii="Arial" w:hAnsi="Arial" w:cs="Arial"/>
          <w:b/>
          <w:bCs/>
          <w:szCs w:val="24"/>
        </w:rPr>
        <w:t xml:space="preserve">5.1. </w:t>
      </w:r>
      <w:r>
        <w:rPr>
          <w:rFonts w:ascii="Arial" w:hAnsi="Arial" w:cs="Arial"/>
          <w:szCs w:val="24"/>
        </w:rPr>
        <w:t xml:space="preserve">O período de vigência da ARP será de </w:t>
      </w:r>
      <w:r>
        <w:rPr>
          <w:rFonts w:ascii="Arial" w:hAnsi="Arial" w:cs="Arial"/>
          <w:b/>
          <w:szCs w:val="24"/>
        </w:rPr>
        <w:t>12 (doze) meses</w:t>
      </w:r>
      <w:r>
        <w:rPr>
          <w:rFonts w:ascii="Arial" w:hAnsi="Arial" w:cs="Arial"/>
          <w:szCs w:val="24"/>
        </w:rPr>
        <w:t>, contados a partir da data de sua assinatura, tendo eficácia legal após a publicação de seu extrato no Diário Oficial;</w:t>
      </w:r>
    </w:p>
    <w:p>
      <w:pPr>
        <w:ind w:right="38" w:rightChars="16"/>
        <w:jc w:val="both"/>
        <w:rPr>
          <w:rFonts w:ascii="Arial" w:hAnsi="Arial" w:cs="Arial"/>
          <w:szCs w:val="24"/>
        </w:rPr>
      </w:pPr>
      <w:r>
        <w:rPr>
          <w:rFonts w:ascii="Arial" w:hAnsi="Arial" w:cs="Arial"/>
          <w:b/>
          <w:bCs/>
          <w:szCs w:val="24"/>
        </w:rPr>
        <w:t xml:space="preserve">5.2. </w:t>
      </w:r>
      <w:r>
        <w:rPr>
          <w:rFonts w:ascii="Arial" w:hAnsi="Arial" w:cs="Arial"/>
          <w:szCs w:val="24"/>
        </w:rPr>
        <w:t>Caso surjam contratos oriundos da formalização dessa ARP, esses poderão ter validade máxima de 1 (um) ano.</w:t>
      </w:r>
    </w:p>
    <w:p>
      <w:pPr>
        <w:ind w:right="38" w:rightChars="16"/>
        <w:jc w:val="both"/>
        <w:rPr>
          <w:rFonts w:ascii="Arial" w:hAnsi="Arial" w:cs="Arial"/>
          <w:b/>
          <w:szCs w:val="24"/>
        </w:rPr>
      </w:pPr>
    </w:p>
    <w:p>
      <w:pPr>
        <w:ind w:right="38" w:rightChars="16"/>
        <w:jc w:val="both"/>
        <w:rPr>
          <w:rFonts w:ascii="Arial" w:hAnsi="Arial" w:cs="Arial"/>
          <w:b/>
          <w:szCs w:val="24"/>
        </w:rPr>
      </w:pPr>
      <w:r>
        <w:rPr>
          <w:rFonts w:ascii="Arial" w:hAnsi="Arial" w:cs="Arial"/>
          <w:b/>
          <w:szCs w:val="24"/>
        </w:rPr>
        <w:t>6. CLÁUSULA SEXTA: DO CRITÉRIO DE JULGAMENTO</w:t>
      </w:r>
    </w:p>
    <w:p>
      <w:pPr>
        <w:ind w:right="38" w:rightChars="16"/>
        <w:jc w:val="both"/>
        <w:rPr>
          <w:rFonts w:ascii="Arial" w:hAnsi="Arial" w:cs="Arial"/>
          <w:szCs w:val="24"/>
        </w:rPr>
      </w:pPr>
      <w:r>
        <w:rPr>
          <w:rFonts w:ascii="Arial" w:hAnsi="Arial" w:cs="Arial"/>
          <w:b/>
          <w:bCs/>
          <w:szCs w:val="24"/>
        </w:rPr>
        <w:t>6.1.</w:t>
      </w:r>
      <w:r>
        <w:rPr>
          <w:rFonts w:ascii="Arial" w:hAnsi="Arial" w:cs="Arial"/>
          <w:szCs w:val="24"/>
        </w:rPr>
        <w:t xml:space="preserve"> O critério de julgamento das propostas será o de </w:t>
      </w:r>
      <w:r>
        <w:rPr>
          <w:rFonts w:ascii="Arial" w:hAnsi="Arial" w:cs="Arial"/>
          <w:b/>
          <w:szCs w:val="24"/>
        </w:rPr>
        <w:t>MENOR PREÇO POR LOTE (LOTE ÚNICO)</w:t>
      </w:r>
      <w:r>
        <w:rPr>
          <w:rFonts w:ascii="Arial" w:hAnsi="Arial" w:cs="Arial"/>
          <w:szCs w:val="24"/>
        </w:rPr>
        <w:t xml:space="preserve"> </w:t>
      </w:r>
    </w:p>
    <w:p>
      <w:pPr>
        <w:ind w:right="38" w:rightChars="16"/>
        <w:jc w:val="both"/>
        <w:rPr>
          <w:rFonts w:ascii="Arial" w:hAnsi="Arial" w:cs="Arial"/>
          <w:szCs w:val="24"/>
        </w:rPr>
      </w:pPr>
      <w:r>
        <w:rPr>
          <w:rFonts w:ascii="Arial" w:hAnsi="Arial" w:cs="Arial"/>
          <w:b/>
          <w:bCs/>
          <w:szCs w:val="24"/>
        </w:rPr>
        <w:t>6.2.</w:t>
      </w:r>
      <w:r>
        <w:rPr>
          <w:rFonts w:ascii="Arial" w:hAnsi="Arial" w:cs="Arial"/>
          <w:szCs w:val="24"/>
        </w:rPr>
        <w:t xml:space="preserve"> Justifica-se a utilização de lote único para a execução dos serviços pela economia de escala e compartilhamento de mão-de-obra equipamentos entre os serviços apresentados.</w:t>
      </w:r>
    </w:p>
    <w:p>
      <w:pPr>
        <w:ind w:right="38" w:rightChars="16"/>
        <w:jc w:val="both"/>
        <w:rPr>
          <w:rFonts w:ascii="Arial" w:hAnsi="Arial" w:cs="Arial"/>
          <w:szCs w:val="24"/>
        </w:rPr>
      </w:pPr>
    </w:p>
    <w:p>
      <w:pPr>
        <w:ind w:right="38" w:rightChars="16"/>
        <w:jc w:val="both"/>
        <w:rPr>
          <w:rFonts w:ascii="Arial" w:hAnsi="Arial" w:cs="Arial"/>
          <w:b/>
          <w:szCs w:val="24"/>
        </w:rPr>
      </w:pPr>
      <w:r>
        <w:rPr>
          <w:rFonts w:ascii="Arial" w:hAnsi="Arial" w:cs="Arial"/>
          <w:b/>
          <w:szCs w:val="24"/>
        </w:rPr>
        <w:t>7. CLÁUSULA SÉTIMA: DAS OBRIGAÇÕES DA CONTRATADA</w:t>
      </w:r>
    </w:p>
    <w:p>
      <w:pPr>
        <w:ind w:right="38" w:rightChars="16"/>
        <w:jc w:val="both"/>
        <w:rPr>
          <w:rFonts w:ascii="Arial" w:hAnsi="Arial" w:cs="Arial"/>
          <w:szCs w:val="24"/>
        </w:rPr>
      </w:pPr>
      <w:r>
        <w:rPr>
          <w:rFonts w:ascii="Arial" w:hAnsi="Arial" w:cs="Arial"/>
          <w:b/>
          <w:bCs/>
          <w:szCs w:val="24"/>
        </w:rPr>
        <w:t>7.1.</w:t>
      </w:r>
      <w:r>
        <w:rPr>
          <w:rFonts w:ascii="Arial" w:hAnsi="Arial" w:cs="Arial"/>
          <w:szCs w:val="24"/>
        </w:rPr>
        <w:t xml:space="preserve"> Executar os serviços através de pessoas idôneas; assumir total responsabilidade por quaisquer danos ou faltas que venham a causar os seus empregados no desempenho de suas funções;; </w:t>
      </w:r>
    </w:p>
    <w:p>
      <w:pPr>
        <w:ind w:right="38" w:rightChars="16"/>
        <w:jc w:val="both"/>
        <w:rPr>
          <w:rFonts w:ascii="Arial" w:hAnsi="Arial" w:cs="Arial"/>
          <w:szCs w:val="24"/>
        </w:rPr>
      </w:pPr>
      <w:r>
        <w:rPr>
          <w:rFonts w:ascii="Arial" w:hAnsi="Arial" w:cs="Arial"/>
          <w:b/>
          <w:bCs/>
          <w:szCs w:val="24"/>
        </w:rPr>
        <w:t>7.2.</w:t>
      </w:r>
      <w:r>
        <w:rPr>
          <w:rFonts w:ascii="Arial" w:hAnsi="Arial" w:cs="Arial"/>
          <w:b/>
          <w:szCs w:val="24"/>
        </w:rPr>
        <w:t xml:space="preserve"> </w:t>
      </w:r>
      <w:r>
        <w:rPr>
          <w:rFonts w:ascii="Arial" w:hAnsi="Arial" w:cs="Arial"/>
          <w:szCs w:val="24"/>
        </w:rPr>
        <w:t>Prestar os serviços de acordo com os padrões de qualidade e normas vigentes, e cumprir as especificações e condições estabelecidas no Edital;</w:t>
      </w:r>
    </w:p>
    <w:p>
      <w:pPr>
        <w:ind w:right="38" w:rightChars="16"/>
        <w:jc w:val="both"/>
        <w:rPr>
          <w:rFonts w:ascii="Arial" w:hAnsi="Arial" w:cs="Arial"/>
          <w:szCs w:val="24"/>
        </w:rPr>
      </w:pPr>
      <w:r>
        <w:rPr>
          <w:rFonts w:ascii="Arial" w:hAnsi="Arial" w:cs="Arial"/>
          <w:b/>
          <w:bCs/>
          <w:szCs w:val="24"/>
        </w:rPr>
        <w:t>7.3.</w:t>
      </w:r>
      <w:r>
        <w:rPr>
          <w:rFonts w:ascii="Arial" w:hAnsi="Arial" w:cs="Arial"/>
          <w:b/>
          <w:szCs w:val="24"/>
        </w:rPr>
        <w:t xml:space="preserve"> </w:t>
      </w:r>
      <w:r>
        <w:rPr>
          <w:rFonts w:ascii="Arial" w:hAnsi="Arial" w:cs="Arial"/>
          <w:szCs w:val="24"/>
        </w:rPr>
        <w:t xml:space="preserve"> Iniciar a prestação dos serviços após a Expedição da Ordem de Serviços a ser emitida por cada Secretaria Municipal participante;</w:t>
      </w:r>
    </w:p>
    <w:p>
      <w:pPr>
        <w:ind w:right="38" w:rightChars="16"/>
        <w:jc w:val="both"/>
        <w:rPr>
          <w:rFonts w:ascii="Arial" w:hAnsi="Arial" w:cs="Arial"/>
          <w:szCs w:val="24"/>
        </w:rPr>
      </w:pPr>
      <w:r>
        <w:rPr>
          <w:rFonts w:ascii="Arial" w:hAnsi="Arial" w:cs="Arial"/>
          <w:b/>
          <w:bCs/>
          <w:szCs w:val="24"/>
        </w:rPr>
        <w:t>7.4.</w:t>
      </w:r>
      <w:r>
        <w:rPr>
          <w:rFonts w:ascii="Arial" w:hAnsi="Arial" w:cs="Arial"/>
          <w:b/>
          <w:szCs w:val="24"/>
        </w:rPr>
        <w:t xml:space="preserve"> </w:t>
      </w:r>
      <w:r>
        <w:rPr>
          <w:rFonts w:ascii="Arial" w:hAnsi="Arial" w:cs="Arial"/>
          <w:szCs w:val="24"/>
        </w:rPr>
        <w:t>Responsabilizar-se pelos vícios e danos decorrentes do produto, de acordo com os artigos 12, 13, 18 e 26, do Código de Defesa do Consumidor (Lei nº 8.078, de 1990);</w:t>
      </w:r>
    </w:p>
    <w:p>
      <w:pPr>
        <w:ind w:right="38" w:rightChars="16"/>
        <w:jc w:val="both"/>
        <w:rPr>
          <w:rFonts w:ascii="Arial" w:hAnsi="Arial" w:cs="Arial"/>
          <w:szCs w:val="24"/>
        </w:rPr>
      </w:pPr>
      <w:r>
        <w:rPr>
          <w:rFonts w:ascii="Arial" w:hAnsi="Arial" w:cs="Arial"/>
          <w:b/>
          <w:bCs/>
          <w:szCs w:val="24"/>
        </w:rPr>
        <w:t>7.5.</w:t>
      </w:r>
      <w:r>
        <w:rPr>
          <w:rFonts w:ascii="Arial" w:hAnsi="Arial" w:cs="Arial"/>
          <w:szCs w:val="24"/>
        </w:rPr>
        <w:t xml:space="preserve"> A PRESTADORA DE SERVIÇOS deverá disponibilizar e manter quantitativo de pessoal compatível com as necessidades dos serviços quando autorizados;</w:t>
      </w:r>
    </w:p>
    <w:p>
      <w:pPr>
        <w:ind w:right="38" w:rightChars="16"/>
        <w:jc w:val="both"/>
        <w:rPr>
          <w:rFonts w:ascii="Arial" w:hAnsi="Arial" w:cs="Arial"/>
          <w:b/>
          <w:szCs w:val="24"/>
        </w:rPr>
      </w:pPr>
      <w:r>
        <w:rPr>
          <w:rFonts w:ascii="Arial" w:hAnsi="Arial" w:cs="Arial"/>
          <w:b/>
          <w:bCs/>
          <w:szCs w:val="24"/>
        </w:rPr>
        <w:t>7.6.</w:t>
      </w:r>
      <w:r>
        <w:rPr>
          <w:rFonts w:ascii="Arial" w:hAnsi="Arial" w:cs="Arial"/>
          <w:b/>
          <w:szCs w:val="24"/>
        </w:rPr>
        <w:t xml:space="preserve"> </w:t>
      </w:r>
      <w:r>
        <w:rPr>
          <w:rFonts w:ascii="Arial" w:hAnsi="Arial" w:cs="Arial"/>
          <w:szCs w:val="24"/>
        </w:rPr>
        <w:t>Responsabilizar-se pelas operações e custos de transporte, carga e descarga;</w:t>
      </w:r>
    </w:p>
    <w:p>
      <w:pPr>
        <w:ind w:right="38" w:rightChars="16"/>
        <w:jc w:val="both"/>
        <w:rPr>
          <w:rFonts w:ascii="Arial" w:hAnsi="Arial" w:cs="Arial"/>
          <w:szCs w:val="24"/>
        </w:rPr>
      </w:pPr>
      <w:r>
        <w:rPr>
          <w:rFonts w:ascii="Arial" w:hAnsi="Arial" w:cs="Arial"/>
          <w:b/>
          <w:bCs/>
          <w:szCs w:val="24"/>
        </w:rPr>
        <w:t>7.7.</w:t>
      </w:r>
      <w:r>
        <w:rPr>
          <w:rFonts w:ascii="Arial" w:hAnsi="Arial" w:cs="Arial"/>
          <w:szCs w:val="24"/>
        </w:rPr>
        <w:t xml:space="preserve"> Atender prontamente a quaisquer exigências da Administração, inerentes ao objeto da presente licitação;</w:t>
      </w:r>
    </w:p>
    <w:p>
      <w:pPr>
        <w:ind w:right="38" w:rightChars="16"/>
        <w:jc w:val="both"/>
        <w:rPr>
          <w:rFonts w:ascii="Arial" w:hAnsi="Arial" w:cs="Arial"/>
          <w:szCs w:val="24"/>
        </w:rPr>
      </w:pPr>
      <w:r>
        <w:rPr>
          <w:rFonts w:ascii="Arial" w:hAnsi="Arial" w:cs="Arial"/>
          <w:b/>
          <w:bCs/>
          <w:szCs w:val="24"/>
        </w:rPr>
        <w:t xml:space="preserve">7.8. </w:t>
      </w:r>
      <w:r>
        <w:rPr>
          <w:rFonts w:ascii="Arial" w:hAnsi="Arial" w:cs="Arial"/>
          <w:szCs w:val="24"/>
        </w:rPr>
        <w:t>Responsabilizar-se pelos encargos trabalhistas, previdenciários, fiscais e comerciais resultantes da execução do Contrato, conforme dispõe o art. 71, Parágrafos 1° e 2° da Lei 8.666/93;</w:t>
      </w:r>
    </w:p>
    <w:p>
      <w:pPr>
        <w:ind w:right="38" w:rightChars="16"/>
        <w:jc w:val="both"/>
        <w:rPr>
          <w:rFonts w:ascii="Arial" w:hAnsi="Arial" w:cs="Arial"/>
          <w:szCs w:val="24"/>
        </w:rPr>
      </w:pPr>
      <w:r>
        <w:rPr>
          <w:rFonts w:ascii="Arial" w:hAnsi="Arial" w:cs="Arial"/>
          <w:b/>
          <w:bCs/>
          <w:szCs w:val="24"/>
        </w:rPr>
        <w:t>7.9.</w:t>
      </w:r>
      <w:r>
        <w:rPr>
          <w:rFonts w:ascii="Arial" w:hAnsi="Arial" w:cs="Arial"/>
          <w:szCs w:val="24"/>
        </w:rPr>
        <w:t xml:space="preserve"> Arcar com todos os ônus necessários à completa execução dos serviços;</w:t>
      </w:r>
    </w:p>
    <w:p>
      <w:pPr>
        <w:ind w:right="38" w:rightChars="16"/>
        <w:jc w:val="both"/>
        <w:rPr>
          <w:rFonts w:ascii="Arial" w:hAnsi="Arial" w:cs="Arial"/>
          <w:szCs w:val="24"/>
        </w:rPr>
      </w:pPr>
      <w:r>
        <w:rPr>
          <w:rFonts w:ascii="Arial" w:hAnsi="Arial" w:cs="Arial"/>
          <w:b/>
          <w:bCs/>
          <w:szCs w:val="24"/>
        </w:rPr>
        <w:t>7.10</w:t>
      </w:r>
      <w:r>
        <w:rPr>
          <w:rFonts w:ascii="Arial" w:hAnsi="Arial" w:cs="Arial"/>
          <w:szCs w:val="24"/>
        </w:rPr>
        <w:t xml:space="preserve">.  Manter um supervisor responsável pelo gerenciamento dos serviços, com poderes de representante ou preposto, para tratar com o FISCAL DE CONTRATO, dos assuntos relacionados com a execução do Contrato; </w:t>
      </w:r>
    </w:p>
    <w:p>
      <w:pPr>
        <w:ind w:right="38" w:rightChars="16"/>
        <w:jc w:val="both"/>
        <w:rPr>
          <w:rFonts w:ascii="Arial" w:hAnsi="Arial" w:cs="Arial"/>
          <w:szCs w:val="24"/>
        </w:rPr>
      </w:pPr>
      <w:r>
        <w:rPr>
          <w:rFonts w:ascii="Arial" w:hAnsi="Arial" w:cs="Arial"/>
          <w:b/>
          <w:bCs/>
          <w:szCs w:val="24"/>
        </w:rPr>
        <w:t>7.11</w:t>
      </w:r>
      <w:r>
        <w:rPr>
          <w:rFonts w:ascii="Arial" w:hAnsi="Arial" w:cs="Arial"/>
          <w:szCs w:val="24"/>
        </w:rPr>
        <w:t>.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7.12.</w:t>
      </w:r>
      <w:r>
        <w:rPr>
          <w:rFonts w:ascii="Arial" w:hAnsi="Arial" w:cs="Arial"/>
          <w:szCs w:val="24"/>
        </w:rPr>
        <w:t xml:space="preserve"> Providenciar para que os seus funcionários utilizem vestuário compatível com o trabalho, bem como equipamento de proteção individual previsto pelas normas de segurança do trabalho;</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7.13.</w:t>
      </w:r>
      <w:r>
        <w:rPr>
          <w:rFonts w:ascii="Arial" w:hAnsi="Arial" w:cs="Arial"/>
          <w:szCs w:val="24"/>
        </w:rPr>
        <w:t xml:space="preserve">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ind w:right="38" w:rightChars="16"/>
        <w:jc w:val="both"/>
        <w:rPr>
          <w:rFonts w:ascii="Arial" w:hAnsi="Arial" w:cs="Arial"/>
          <w:szCs w:val="24"/>
        </w:rPr>
      </w:pPr>
      <w:r>
        <w:rPr>
          <w:rFonts w:ascii="Arial" w:hAnsi="Arial" w:cs="Arial"/>
          <w:b/>
          <w:bCs/>
          <w:szCs w:val="24"/>
        </w:rPr>
        <w:t xml:space="preserve"> 7.14.</w:t>
      </w:r>
      <w:r>
        <w:rPr>
          <w:rFonts w:ascii="Arial" w:hAnsi="Arial" w:cs="Arial"/>
          <w:szCs w:val="24"/>
        </w:rPr>
        <w:t xml:space="preserve"> Comunicar ao FISCAL DE CONTRATO qualquer irregularidade relacionada com a execução dos serviços; </w:t>
      </w:r>
    </w:p>
    <w:p>
      <w:pPr>
        <w:ind w:right="38" w:rightChars="16"/>
        <w:jc w:val="both"/>
        <w:rPr>
          <w:rFonts w:ascii="Arial" w:hAnsi="Arial" w:cs="Arial"/>
          <w:szCs w:val="24"/>
        </w:rPr>
      </w:pPr>
      <w:r>
        <w:rPr>
          <w:rFonts w:ascii="Arial" w:hAnsi="Arial" w:cs="Arial"/>
          <w:b/>
          <w:bCs/>
          <w:szCs w:val="24"/>
        </w:rPr>
        <w:t>7.15</w:t>
      </w:r>
      <w:r>
        <w:rPr>
          <w:rFonts w:ascii="Arial" w:hAnsi="Arial" w:cs="Arial"/>
          <w:szCs w:val="24"/>
        </w:rPr>
        <w:t>. 1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ind w:right="38" w:rightChars="16"/>
        <w:jc w:val="both"/>
        <w:rPr>
          <w:rFonts w:ascii="Arial" w:hAnsi="Arial" w:cs="Arial"/>
          <w:szCs w:val="24"/>
        </w:rPr>
      </w:pPr>
      <w:r>
        <w:rPr>
          <w:rFonts w:ascii="Arial" w:hAnsi="Arial" w:cs="Arial"/>
          <w:b/>
          <w:bCs/>
          <w:szCs w:val="24"/>
        </w:rPr>
        <w:t>7.16.</w:t>
      </w:r>
      <w:r>
        <w:rPr>
          <w:rFonts w:ascii="Arial" w:hAnsi="Arial" w:cs="Arial"/>
          <w:szCs w:val="24"/>
        </w:rPr>
        <w:t xml:space="preserve"> 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ind w:right="38" w:rightChars="16"/>
        <w:jc w:val="both"/>
        <w:rPr>
          <w:rFonts w:ascii="Arial" w:hAnsi="Arial" w:cs="Arial"/>
          <w:szCs w:val="24"/>
        </w:rPr>
      </w:pPr>
      <w:r>
        <w:rPr>
          <w:rFonts w:ascii="Arial" w:hAnsi="Arial" w:cs="Arial"/>
          <w:b/>
          <w:bCs/>
          <w:szCs w:val="24"/>
        </w:rPr>
        <w:t>7.17</w:t>
      </w:r>
      <w:r>
        <w:rPr>
          <w:rFonts w:ascii="Arial" w:hAnsi="Arial" w:cs="Arial"/>
          <w:szCs w:val="24"/>
        </w:rPr>
        <w:t>. Não transferir a outrem os serviços contratados, no todo ou em parte;</w:t>
      </w:r>
    </w:p>
    <w:p>
      <w:pPr>
        <w:ind w:right="38" w:rightChars="16"/>
        <w:jc w:val="both"/>
        <w:rPr>
          <w:rFonts w:ascii="Arial" w:hAnsi="Arial" w:cs="Arial"/>
          <w:szCs w:val="24"/>
        </w:rPr>
      </w:pPr>
      <w:r>
        <w:rPr>
          <w:rFonts w:ascii="Arial" w:hAnsi="Arial" w:cs="Arial"/>
          <w:b/>
          <w:bCs/>
          <w:szCs w:val="24"/>
        </w:rPr>
        <w:t>7.18.</w:t>
      </w:r>
      <w:r>
        <w:rPr>
          <w:rFonts w:ascii="Arial" w:hAnsi="Arial" w:cs="Arial"/>
          <w:szCs w:val="24"/>
        </w:rPr>
        <w:t xml:space="preserve"> Fornecer as ferramentas necessárias para execução dos serviços contratados; </w:t>
      </w:r>
    </w:p>
    <w:p>
      <w:pPr>
        <w:ind w:right="38" w:rightChars="16"/>
        <w:jc w:val="both"/>
        <w:rPr>
          <w:rFonts w:ascii="Arial" w:hAnsi="Arial" w:cs="Arial"/>
          <w:szCs w:val="24"/>
        </w:rPr>
      </w:pPr>
      <w:r>
        <w:rPr>
          <w:rFonts w:ascii="Arial" w:hAnsi="Arial" w:cs="Arial"/>
          <w:b/>
          <w:bCs/>
          <w:szCs w:val="24"/>
        </w:rPr>
        <w:t>7.19.</w:t>
      </w:r>
      <w:r>
        <w:rPr>
          <w:rFonts w:ascii="Arial" w:hAnsi="Arial" w:cs="Arial"/>
          <w:szCs w:val="24"/>
        </w:rPr>
        <w:t xml:space="preserve"> Reparar, corrigir, remover, reconstruir ou substituir, às suas expensas, no total ou em parte, o objeto Contratado, em que se verificarem, vícios, defeitos ou incorreções resultantes da execução ou de materiais empregados;</w:t>
      </w:r>
    </w:p>
    <w:p>
      <w:pPr>
        <w:ind w:right="38" w:rightChars="16"/>
        <w:jc w:val="both"/>
        <w:rPr>
          <w:rFonts w:ascii="Arial" w:hAnsi="Arial" w:cs="Arial"/>
          <w:szCs w:val="24"/>
        </w:rPr>
      </w:pPr>
      <w:r>
        <w:rPr>
          <w:rFonts w:ascii="Arial" w:hAnsi="Arial" w:cs="Arial"/>
          <w:b/>
          <w:bCs/>
          <w:szCs w:val="24"/>
        </w:rPr>
        <w:t>7.20.</w:t>
      </w:r>
      <w:r>
        <w:rPr>
          <w:rFonts w:ascii="Arial" w:hAnsi="Arial" w:cs="Arial"/>
          <w:szCs w:val="24"/>
        </w:rPr>
        <w:t xml:space="preserve"> Cumprir fielmente todas as cláusulas e condições pactuadas no futuro Contrato, inclusive em relação ao edital de licitação e seus anexos; </w:t>
      </w:r>
    </w:p>
    <w:p>
      <w:pPr>
        <w:ind w:right="38" w:rightChars="16"/>
        <w:jc w:val="both"/>
        <w:rPr>
          <w:rFonts w:ascii="Arial" w:hAnsi="Arial" w:cs="Arial"/>
          <w:szCs w:val="24"/>
        </w:rPr>
      </w:pPr>
      <w:r>
        <w:rPr>
          <w:rFonts w:ascii="Arial" w:hAnsi="Arial" w:cs="Arial"/>
          <w:b/>
          <w:bCs/>
          <w:szCs w:val="24"/>
        </w:rPr>
        <w:t>7.21.</w:t>
      </w:r>
      <w:r>
        <w:rPr>
          <w:rFonts w:ascii="Arial" w:hAnsi="Arial" w:cs="Arial"/>
          <w:szCs w:val="24"/>
        </w:rPr>
        <w:t xml:space="preserve"> Substituir, sempre que exigido pela Secretaria, qualquer empregado cuja atuação, permanência ou comportamento sejam julgados inconvenientes;</w:t>
      </w:r>
    </w:p>
    <w:p>
      <w:pPr>
        <w:ind w:right="38" w:rightChars="16"/>
        <w:jc w:val="both"/>
        <w:rPr>
          <w:rFonts w:ascii="Arial" w:hAnsi="Arial" w:cs="Arial"/>
          <w:szCs w:val="24"/>
        </w:rPr>
      </w:pPr>
      <w:r>
        <w:rPr>
          <w:rFonts w:ascii="Arial" w:hAnsi="Arial" w:cs="Arial"/>
          <w:b/>
          <w:bCs/>
          <w:szCs w:val="24"/>
        </w:rPr>
        <w:t>7.22.</w:t>
      </w:r>
      <w:r>
        <w:rPr>
          <w:rFonts w:ascii="Arial" w:hAnsi="Arial" w:cs="Arial"/>
          <w:szCs w:val="24"/>
        </w:rPr>
        <w:t xml:space="preserve"> Manter, durante toda execução do Contrato, compatibilidade com as obrigações assumidas, em especial as condições de cadastramento e qualificações exigidas no edital de licitação;</w:t>
      </w:r>
    </w:p>
    <w:p>
      <w:pPr>
        <w:ind w:right="38" w:rightChars="16"/>
        <w:jc w:val="both"/>
        <w:rPr>
          <w:rFonts w:ascii="Arial" w:hAnsi="Arial" w:cs="Arial"/>
          <w:szCs w:val="24"/>
        </w:rPr>
      </w:pPr>
      <w:r>
        <w:rPr>
          <w:rFonts w:ascii="Arial" w:hAnsi="Arial" w:cs="Arial"/>
          <w:b/>
          <w:bCs/>
          <w:szCs w:val="24"/>
        </w:rPr>
        <w:t>7.23.</w:t>
      </w:r>
      <w:r>
        <w:rPr>
          <w:rFonts w:ascii="Arial" w:hAnsi="Arial" w:cs="Arial"/>
          <w:szCs w:val="24"/>
        </w:rPr>
        <w:t xml:space="preserve"> Respeitar, durante toda execução do contrato a legislação trabalhista, fiscal, providenciaria e comercial, assim como, as normas de higiene e segurança, por cujos encargos responderá unilateralmente;</w:t>
      </w:r>
    </w:p>
    <w:p>
      <w:pPr>
        <w:ind w:right="38" w:rightChars="16"/>
        <w:jc w:val="both"/>
        <w:rPr>
          <w:rFonts w:ascii="Arial" w:hAnsi="Arial" w:cs="Arial"/>
          <w:szCs w:val="24"/>
        </w:rPr>
      </w:pPr>
      <w:r>
        <w:rPr>
          <w:rFonts w:ascii="Arial" w:hAnsi="Arial" w:cs="Arial"/>
          <w:b/>
          <w:bCs/>
          <w:szCs w:val="24"/>
        </w:rPr>
        <w:t>7.24.</w:t>
      </w:r>
      <w:r>
        <w:rPr>
          <w:rFonts w:ascii="Arial" w:hAnsi="Arial" w:cs="Arial"/>
          <w:szCs w:val="24"/>
        </w:rPr>
        <w:t xml:space="preserve">  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7.25</w:t>
      </w:r>
      <w:r>
        <w:rPr>
          <w:rFonts w:ascii="Arial" w:hAnsi="Arial" w:cs="Arial"/>
          <w:szCs w:val="24"/>
        </w:rPr>
        <w:t xml:space="preserve">. 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7.26</w:t>
      </w:r>
      <w:r>
        <w:rPr>
          <w:rFonts w:ascii="Arial" w:hAnsi="Arial" w:cs="Arial"/>
          <w:szCs w:val="24"/>
        </w:rPr>
        <w:t>. Manter seu pessoal uniformizado, identificando-o por meio de crachá, com fotografia recente, e provendo-o dos Equipamentos de Proteção Individual – EPI’S;</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7.27.</w:t>
      </w:r>
      <w:r>
        <w:rPr>
          <w:rFonts w:ascii="Arial" w:hAnsi="Arial" w:cs="Arial"/>
          <w:szCs w:val="24"/>
        </w:rPr>
        <w:t xml:space="preserve"> 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7.28.</w:t>
      </w:r>
      <w:r>
        <w:rPr>
          <w:rFonts w:ascii="Arial" w:hAnsi="Arial" w:cs="Arial"/>
          <w:szCs w:val="24"/>
        </w:rPr>
        <w:t xml:space="preserve"> Responder por quaisquer danos pessoais ou materiais ocasionados por seus funcionários em serviço, causados a terceiros ou a Secretaria solicitante, mesmo quando utilizando equipamentos da mesma; </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7.29</w:t>
      </w:r>
      <w:r>
        <w:rPr>
          <w:rFonts w:ascii="Arial" w:hAnsi="Arial" w:cs="Arial"/>
          <w:szCs w:val="24"/>
        </w:rPr>
        <w:t>. Capacitar seus funcionários ao uso dos equipamentos e ferramentas postos a sua disposição para a execução das tarefas;</w:t>
      </w:r>
    </w:p>
    <w:p>
      <w:pPr>
        <w:ind w:right="38" w:rightChars="16"/>
        <w:jc w:val="both"/>
        <w:rPr>
          <w:rFonts w:ascii="Arial" w:hAnsi="Arial" w:cs="Arial"/>
          <w:szCs w:val="24"/>
        </w:rPr>
      </w:pPr>
      <w:r>
        <w:rPr>
          <w:rFonts w:ascii="Arial" w:hAnsi="Arial" w:cs="Arial"/>
          <w:b/>
          <w:bCs/>
          <w:szCs w:val="24"/>
        </w:rPr>
        <w:t>7.30.</w:t>
      </w:r>
      <w:r>
        <w:rPr>
          <w:rFonts w:ascii="Arial" w:hAnsi="Arial" w:cs="Arial"/>
          <w:szCs w:val="24"/>
        </w:rPr>
        <w:t xml:space="preserve"> Executar o serviço de forma zelosa, ordeira e com urbanidade para com a população; </w:t>
      </w:r>
    </w:p>
    <w:p>
      <w:pPr>
        <w:ind w:right="38" w:rightChars="16"/>
        <w:jc w:val="both"/>
        <w:rPr>
          <w:rFonts w:ascii="Arial" w:hAnsi="Arial" w:cs="Arial"/>
          <w:szCs w:val="24"/>
        </w:rPr>
      </w:pPr>
      <w:r>
        <w:rPr>
          <w:rFonts w:ascii="Arial" w:hAnsi="Arial" w:cs="Arial"/>
          <w:b/>
          <w:bCs/>
          <w:szCs w:val="24"/>
        </w:rPr>
        <w:t>7.31.</w:t>
      </w:r>
      <w:r>
        <w:rPr>
          <w:rFonts w:ascii="Arial" w:hAnsi="Arial" w:cs="Arial"/>
          <w:szCs w:val="24"/>
        </w:rPr>
        <w:t xml:space="preserve"> Substituir qualquer componente da equipe que apresentar comportamento inadequado ou indecoroso ou não demonstrar qualificação para os serviços, objeto deste Termo de Referência - TR, no prazo máximo de 24 (vinte e quatro) horas; </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7.32.</w:t>
      </w:r>
      <w:r>
        <w:rPr>
          <w:rFonts w:ascii="Arial" w:hAnsi="Arial" w:cs="Arial"/>
          <w:szCs w:val="24"/>
        </w:rPr>
        <w:t xml:space="preserve"> Não permitir que componentes das equipes de trabalho, enquanto estiverem a serviço desta secretaria, executem serviço para terceiros;</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7.33.</w:t>
      </w:r>
      <w:r>
        <w:rPr>
          <w:rFonts w:ascii="Arial" w:hAnsi="Arial" w:cs="Arial"/>
          <w:szCs w:val="24"/>
        </w:rPr>
        <w:t xml:space="preserve"> Manter as equipes de trabalho com todas as ferramentas, equipamentos e insumos exigidos neste Termo de Referência em perfeitas condições de uso; </w:t>
      </w:r>
    </w:p>
    <w:p>
      <w:pPr>
        <w:ind w:right="38" w:rightChars="16"/>
        <w:jc w:val="both"/>
        <w:rPr>
          <w:rFonts w:ascii="Arial" w:hAnsi="Arial" w:cs="Arial"/>
          <w:szCs w:val="24"/>
        </w:rPr>
      </w:pPr>
      <w:r>
        <w:rPr>
          <w:rFonts w:ascii="Arial" w:hAnsi="Arial" w:cs="Arial"/>
          <w:b/>
          <w:bCs/>
          <w:szCs w:val="24"/>
        </w:rPr>
        <w:t xml:space="preserve"> 7.34</w:t>
      </w:r>
      <w:r>
        <w:rPr>
          <w:rFonts w:ascii="Arial" w:hAnsi="Arial" w:cs="Arial"/>
          <w:szCs w:val="24"/>
        </w:rPr>
        <w:t xml:space="preserve">. Sanar imediatamente quaisquer irregularidades ou defeitos verificados pela Fiscalização na execução dos serviços; </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7.35.</w:t>
      </w:r>
      <w:r>
        <w:rPr>
          <w:rFonts w:ascii="Arial" w:hAnsi="Arial" w:cs="Arial"/>
          <w:szCs w:val="24"/>
        </w:rPr>
        <w:t xml:space="preserve"> Cumprir todas as disposições legais pertinentes à saúde e segurança do trabalho as quais estão sujeitos contratos de trabalho regidos pela CLT, independente do seu quadro de pessoal enquadrar-se nesta situação;</w:t>
      </w:r>
    </w:p>
    <w:p>
      <w:pPr>
        <w:ind w:right="38" w:rightChars="16"/>
        <w:jc w:val="both"/>
        <w:rPr>
          <w:rFonts w:ascii="Arial" w:hAnsi="Arial" w:cs="Arial"/>
          <w:szCs w:val="24"/>
        </w:rPr>
      </w:pPr>
      <w:r>
        <w:rPr>
          <w:rFonts w:ascii="Arial" w:hAnsi="Arial" w:cs="Arial"/>
          <w:b/>
          <w:bCs/>
          <w:szCs w:val="24"/>
        </w:rPr>
        <w:t>7.36.</w:t>
      </w:r>
      <w:r>
        <w:rPr>
          <w:rFonts w:ascii="Arial" w:hAnsi="Arial" w:cs="Arial"/>
          <w:szCs w:val="24"/>
        </w:rPr>
        <w:t xml:space="preserve"> Nomear encarregado responsável pelos serviços com recurso de comunicação (celular, intercomunicadores ou outros), com a missão de garantir o bom andamento destes, permanecendo no local do trabalho, em tempo integral,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p>
    <w:p>
      <w:pPr>
        <w:ind w:right="38" w:rightChars="16"/>
        <w:jc w:val="both"/>
        <w:rPr>
          <w:rFonts w:ascii="Arial" w:hAnsi="Arial" w:cs="Arial"/>
          <w:szCs w:val="24"/>
        </w:rPr>
      </w:pPr>
      <w:r>
        <w:rPr>
          <w:rFonts w:ascii="Arial" w:hAnsi="Arial" w:cs="Arial"/>
          <w:b/>
          <w:bCs/>
          <w:szCs w:val="24"/>
        </w:rPr>
        <w:t>7.37.</w:t>
      </w:r>
      <w:r>
        <w:rPr>
          <w:rFonts w:ascii="Arial" w:hAnsi="Arial" w:cs="Arial"/>
          <w:szCs w:val="24"/>
        </w:rPr>
        <w:t xml:space="preserve"> Assumir todas as responsabilidades e tomar as medidas necessárias ao atendimento dos seus empregados, acidentados ou com mal súbito, por meio de seus encarregados; </w:t>
      </w:r>
    </w:p>
    <w:p>
      <w:pPr>
        <w:ind w:right="38" w:rightChars="16"/>
        <w:jc w:val="both"/>
        <w:rPr>
          <w:rFonts w:ascii="Arial" w:hAnsi="Arial" w:cs="Arial"/>
          <w:szCs w:val="24"/>
        </w:rPr>
      </w:pPr>
      <w:r>
        <w:rPr>
          <w:rFonts w:ascii="Arial" w:hAnsi="Arial" w:cs="Arial"/>
          <w:b/>
          <w:bCs/>
          <w:szCs w:val="24"/>
        </w:rPr>
        <w:t>7.38.</w:t>
      </w:r>
      <w:r>
        <w:rPr>
          <w:rFonts w:ascii="Arial" w:hAnsi="Arial" w:cs="Arial"/>
          <w:szCs w:val="24"/>
        </w:rPr>
        <w:t xml:space="preserve"> Manter, durante toda a execução do Contrato, todas as condições de habilitação e qualificação exigidas na licitação;</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7.39.</w:t>
      </w:r>
      <w:r>
        <w:rPr>
          <w:rFonts w:ascii="Arial" w:hAnsi="Arial" w:cs="Arial"/>
          <w:szCs w:val="24"/>
        </w:rPr>
        <w:t xml:space="preserve"> Demonstrar o vínculo empregatício com todos os profissionais por ela contratados, mediante cópia da Carteira de Trabalho e Previdência Social (CTPS) ou contrato de prestação de serviços;</w:t>
      </w:r>
    </w:p>
    <w:p>
      <w:pPr>
        <w:ind w:right="38" w:rightChars="16"/>
        <w:jc w:val="both"/>
        <w:rPr>
          <w:rFonts w:ascii="Arial" w:hAnsi="Arial" w:cs="Arial"/>
          <w:szCs w:val="24"/>
        </w:rPr>
      </w:pPr>
      <w:r>
        <w:rPr>
          <w:rFonts w:ascii="Arial" w:hAnsi="Arial" w:cs="Arial"/>
          <w:b/>
          <w:bCs/>
          <w:szCs w:val="24"/>
        </w:rPr>
        <w:t>7.40.</w:t>
      </w:r>
      <w:r>
        <w:rPr>
          <w:rFonts w:ascii="Arial" w:hAnsi="Arial" w:cs="Arial"/>
          <w:szCs w:val="24"/>
        </w:rPr>
        <w:t xml:space="preserve"> Prestar os serviços dentro dos parâmetros e rotinas estabelecidos, fornecendo os equipamentos, ferramentas e utensílios em quantidade, qualidade e tecnologia adequadas, com a observância às recomendações aceitas pela boa técnica, normas e legislação;</w:t>
      </w:r>
    </w:p>
    <w:p>
      <w:pPr>
        <w:ind w:right="38" w:rightChars="16"/>
        <w:jc w:val="both"/>
        <w:rPr>
          <w:rFonts w:ascii="Arial" w:hAnsi="Arial" w:cs="Arial"/>
          <w:szCs w:val="24"/>
        </w:rPr>
      </w:pPr>
      <w:r>
        <w:rPr>
          <w:rFonts w:ascii="Arial" w:hAnsi="Arial" w:cs="Arial"/>
          <w:b/>
          <w:bCs/>
          <w:szCs w:val="24"/>
        </w:rPr>
        <w:t>7.41.</w:t>
      </w:r>
      <w:r>
        <w:rPr>
          <w:rFonts w:ascii="Arial" w:hAnsi="Arial" w:cs="Arial"/>
          <w:szCs w:val="24"/>
        </w:rPr>
        <w:t xml:space="preserve"> Prestar os serviços dentro dos parâmetros e rotinas estabelecidos, fornecendo todos os materiais, inclusive sacos plásticos para em caso de rompimento do saco a ser coletado o terceirizado efetuar o acondicionamento de detritos, equipamentos, ferramentas e utensílios em quantidade e em qualidade, com tecnologia adequada, com a observância das recomendações aceitas pela boa técnica, normas e legislação;</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7.42</w:t>
      </w:r>
      <w:r>
        <w:rPr>
          <w:rFonts w:ascii="Arial" w:hAnsi="Arial" w:cs="Arial"/>
          <w:szCs w:val="24"/>
        </w:rPr>
        <w:t>. Executar os serviços em horários definidos por cada Secretaria Municipal Participante;</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7.43.</w:t>
      </w:r>
      <w:r>
        <w:rPr>
          <w:rFonts w:ascii="Arial" w:hAnsi="Arial" w:cs="Arial"/>
          <w:szCs w:val="24"/>
        </w:rPr>
        <w:t xml:space="preserve"> Observar a conduta adequada na utilização dos materiais, equipamentos, ferramentas e utensílios, objetivando a correta execução dos serviços;</w:t>
      </w:r>
    </w:p>
    <w:p>
      <w:pPr>
        <w:ind w:right="38" w:rightChars="16"/>
        <w:jc w:val="both"/>
        <w:rPr>
          <w:rFonts w:ascii="Arial" w:hAnsi="Arial" w:cs="Arial"/>
          <w:szCs w:val="24"/>
        </w:rPr>
      </w:pPr>
      <w:r>
        <w:rPr>
          <w:rFonts w:ascii="Arial" w:hAnsi="Arial" w:cs="Arial"/>
          <w:b/>
          <w:bCs/>
          <w:szCs w:val="24"/>
        </w:rPr>
        <w:t>7.44.</w:t>
      </w:r>
      <w:r>
        <w:rPr>
          <w:rFonts w:ascii="Arial" w:hAnsi="Arial" w:cs="Arial"/>
          <w:szCs w:val="24"/>
        </w:rPr>
        <w:t xml:space="preserve"> 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ind w:right="38" w:rightChars="16"/>
        <w:jc w:val="both"/>
        <w:rPr>
          <w:rFonts w:ascii="Arial" w:hAnsi="Arial" w:cs="Arial"/>
          <w:szCs w:val="24"/>
        </w:rPr>
      </w:pPr>
      <w:r>
        <w:rPr>
          <w:rFonts w:ascii="Arial" w:hAnsi="Arial" w:cs="Arial"/>
          <w:b/>
          <w:bCs/>
          <w:szCs w:val="24"/>
        </w:rPr>
        <w:t>7.45</w:t>
      </w:r>
      <w:r>
        <w:rPr>
          <w:rFonts w:ascii="Arial" w:hAnsi="Arial" w:cs="Arial"/>
          <w:szCs w:val="24"/>
        </w:rPr>
        <w:t>. 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7.46.</w:t>
      </w:r>
      <w:r>
        <w:rPr>
          <w:rFonts w:ascii="Arial" w:hAnsi="Arial" w:cs="Arial"/>
          <w:szCs w:val="24"/>
        </w:rPr>
        <w:t xml:space="preserve"> Vedar a utilização, na execução dos serviços, de empregado que seja família de agente público ocupante de cargo em comissão ou função de confiança no órgão contratante, nos termos do artigo 7° do Decreto n° 7.203, de 2010;</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7.47.</w:t>
      </w:r>
      <w:r>
        <w:rPr>
          <w:rFonts w:ascii="Arial" w:hAnsi="Arial" w:cs="Arial"/>
          <w:szCs w:val="24"/>
        </w:rPr>
        <w:t xml:space="preserve"> Permitir a todas as Secretarias Municipais, por intermédio dos setores fiscalizadores, o acesso diário ao controle de frequência;</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7.48.</w:t>
      </w:r>
      <w:r>
        <w:rPr>
          <w:rFonts w:ascii="Arial" w:hAnsi="Arial" w:cs="Arial"/>
          <w:szCs w:val="24"/>
        </w:rPr>
        <w:t xml:space="preserve"> É vetado aos funcionários da LICITANTE VENCEDORA permitir acesso de terceiros no interior dos setores das diversas Secretarias Municipais sem autorização;</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7.49.</w:t>
      </w:r>
      <w:r>
        <w:rPr>
          <w:rFonts w:ascii="Arial" w:hAnsi="Arial" w:cs="Arial"/>
          <w:szCs w:val="24"/>
        </w:rPr>
        <w:t xml:space="preserve"> O encarregado terá a obrigação de reportar-se, quando houver necessidade, ao responsável pelo acompanhamento dos serviços de cada Secretaria Municipal participante, e tomar as providências pertinentes para que sejam corrigidas todas as falhas detectadas;</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7.50.</w:t>
      </w:r>
      <w:r>
        <w:rPr>
          <w:rFonts w:ascii="Arial" w:hAnsi="Arial" w:cs="Arial"/>
          <w:szCs w:val="24"/>
        </w:rPr>
        <w:t xml:space="preserve"> 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7.51.</w:t>
      </w:r>
      <w:r>
        <w:rPr>
          <w:rFonts w:ascii="Arial" w:hAnsi="Arial" w:cs="Arial"/>
          <w:szCs w:val="24"/>
        </w:rPr>
        <w:t xml:space="preserve"> 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ind w:right="38" w:rightChars="16"/>
        <w:jc w:val="both"/>
        <w:rPr>
          <w:rFonts w:ascii="Arial" w:hAnsi="Arial" w:cs="Arial"/>
          <w:szCs w:val="24"/>
        </w:rPr>
      </w:pPr>
      <w:r>
        <w:rPr>
          <w:rFonts w:ascii="Arial" w:hAnsi="Arial" w:cs="Arial"/>
          <w:szCs w:val="24"/>
        </w:rPr>
        <w:t xml:space="preserve"> </w:t>
      </w:r>
      <w:r>
        <w:rPr>
          <w:rFonts w:ascii="Arial" w:hAnsi="Arial" w:cs="Arial"/>
          <w:b/>
          <w:bCs/>
          <w:szCs w:val="24"/>
        </w:rPr>
        <w:t>7.52.</w:t>
      </w:r>
      <w:r>
        <w:rPr>
          <w:rFonts w:ascii="Arial" w:hAnsi="Arial" w:cs="Arial"/>
          <w:szCs w:val="24"/>
        </w:rPr>
        <w:t xml:space="preserve">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ind w:right="38" w:rightChars="16"/>
        <w:jc w:val="both"/>
        <w:rPr>
          <w:rFonts w:ascii="Arial" w:hAnsi="Arial" w:cs="Arial"/>
          <w:szCs w:val="24"/>
        </w:rPr>
      </w:pPr>
      <w:r>
        <w:rPr>
          <w:rFonts w:ascii="Arial" w:hAnsi="Arial" w:cs="Arial"/>
          <w:b/>
          <w:bCs/>
          <w:szCs w:val="24"/>
        </w:rPr>
        <w:t xml:space="preserve"> 7.53.</w:t>
      </w:r>
      <w:r>
        <w:rPr>
          <w:rFonts w:ascii="Arial" w:hAnsi="Arial" w:cs="Arial"/>
          <w:szCs w:val="24"/>
        </w:rPr>
        <w:t xml:space="preserve"> Refazer, às suas expensas, os serviços executados em desacordo com o estabelecido;</w:t>
      </w:r>
    </w:p>
    <w:p>
      <w:pPr>
        <w:ind w:right="38" w:rightChars="16"/>
        <w:jc w:val="both"/>
        <w:rPr>
          <w:rFonts w:ascii="Arial" w:hAnsi="Arial" w:cs="Arial"/>
          <w:szCs w:val="24"/>
        </w:rPr>
      </w:pPr>
      <w:r>
        <w:rPr>
          <w:rFonts w:ascii="Arial" w:hAnsi="Arial" w:cs="Arial"/>
          <w:b/>
          <w:bCs/>
          <w:szCs w:val="24"/>
        </w:rPr>
        <w:t>7.54.</w:t>
      </w:r>
      <w:r>
        <w:rPr>
          <w:rFonts w:ascii="Arial" w:hAnsi="Arial" w:cs="Arial"/>
          <w:szCs w:val="24"/>
        </w:rPr>
        <w:t xml:space="preserve"> A fornecer total acesso às máquinas que serão empregadas na prestação de serviços a fim de que a Prefeitura Municipal possa instalar o rastreador SATELITAL sob expensa da contratada, o qual servirá como forma de controle quanto a utilização dos maquinários, e deverá ser integrado na mesma plataforma da frota municipal;</w:t>
      </w:r>
    </w:p>
    <w:p>
      <w:pPr>
        <w:ind w:right="38" w:rightChars="16"/>
        <w:jc w:val="both"/>
        <w:rPr>
          <w:rFonts w:ascii="Arial" w:hAnsi="Arial" w:cs="Arial"/>
          <w:szCs w:val="24"/>
        </w:rPr>
      </w:pPr>
      <w:r>
        <w:rPr>
          <w:rFonts w:ascii="Arial" w:hAnsi="Arial" w:cs="Arial"/>
          <w:b/>
          <w:bCs/>
          <w:szCs w:val="24"/>
        </w:rPr>
        <w:t>7.55</w:t>
      </w:r>
      <w:r>
        <w:rPr>
          <w:rFonts w:ascii="Arial" w:hAnsi="Arial" w:cs="Arial"/>
          <w:szCs w:val="24"/>
        </w:rPr>
        <w:t>. Fornecer a lista de todos os veículos que serão empregados na prestação dos serviços à Secretaria de Agricultura e Meio Ambiente, a qual deverá ser repassada ao fiscal de contratos, no momento da assinatura do Contrato</w:t>
      </w:r>
    </w:p>
    <w:p>
      <w:pPr>
        <w:ind w:right="38" w:rightChars="16"/>
        <w:jc w:val="both"/>
        <w:rPr>
          <w:rFonts w:ascii="Arial" w:hAnsi="Arial" w:cs="Arial"/>
          <w:szCs w:val="24"/>
        </w:rPr>
      </w:pPr>
      <w:r>
        <w:rPr>
          <w:rFonts w:ascii="Arial" w:hAnsi="Arial" w:cs="Arial"/>
          <w:b/>
          <w:bCs/>
          <w:szCs w:val="24"/>
        </w:rPr>
        <w:t>7.56.</w:t>
      </w:r>
      <w:r>
        <w:rPr>
          <w:rFonts w:ascii="Arial" w:hAnsi="Arial" w:cs="Arial"/>
          <w:szCs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ind w:right="38" w:rightChars="16"/>
        <w:jc w:val="both"/>
        <w:rPr>
          <w:rFonts w:ascii="Arial" w:hAnsi="Arial" w:cs="Arial"/>
          <w:szCs w:val="24"/>
        </w:rPr>
      </w:pPr>
    </w:p>
    <w:p>
      <w:pPr>
        <w:ind w:right="38" w:rightChars="16"/>
        <w:jc w:val="both"/>
        <w:rPr>
          <w:rFonts w:ascii="Arial" w:hAnsi="Arial" w:cs="Arial"/>
          <w:b/>
          <w:szCs w:val="24"/>
        </w:rPr>
      </w:pPr>
      <w:r>
        <w:rPr>
          <w:rFonts w:ascii="Arial" w:hAnsi="Arial" w:cs="Arial"/>
          <w:b/>
          <w:szCs w:val="24"/>
        </w:rPr>
        <w:t>8. CLÁUSULA OITAVA: DAS OBRIGAÇÕES DO CONTRATANTE</w:t>
      </w:r>
    </w:p>
    <w:p>
      <w:pPr>
        <w:ind w:right="38" w:rightChars="16"/>
        <w:jc w:val="both"/>
        <w:rPr>
          <w:rFonts w:ascii="Arial" w:hAnsi="Arial" w:cs="Arial"/>
          <w:szCs w:val="24"/>
        </w:rPr>
      </w:pPr>
      <w:r>
        <w:rPr>
          <w:rFonts w:ascii="Arial" w:hAnsi="Arial" w:cs="Arial"/>
          <w:b/>
          <w:bCs/>
          <w:szCs w:val="24"/>
        </w:rPr>
        <w:t xml:space="preserve">8.1. </w:t>
      </w:r>
      <w:r>
        <w:rPr>
          <w:rFonts w:ascii="Arial" w:hAnsi="Arial" w:cs="Arial"/>
          <w:szCs w:val="24"/>
        </w:rPr>
        <w:t xml:space="preserve">O CONTRATANTE obriga-se a: </w:t>
      </w:r>
    </w:p>
    <w:p>
      <w:pPr>
        <w:ind w:right="38" w:rightChars="16"/>
        <w:jc w:val="both"/>
        <w:rPr>
          <w:rFonts w:ascii="Arial" w:hAnsi="Arial" w:cs="Arial"/>
          <w:szCs w:val="24"/>
        </w:rPr>
      </w:pPr>
      <w:r>
        <w:rPr>
          <w:rFonts w:ascii="Arial" w:hAnsi="Arial" w:cs="Arial"/>
          <w:b/>
          <w:bCs/>
          <w:szCs w:val="24"/>
        </w:rPr>
        <w:t>8.2</w:t>
      </w:r>
      <w:r>
        <w:rPr>
          <w:rFonts w:ascii="Arial" w:hAnsi="Arial" w:cs="Arial"/>
          <w:szCs w:val="24"/>
        </w:rPr>
        <w:t xml:space="preserve">. Execução dos serviços; </w:t>
      </w:r>
    </w:p>
    <w:p>
      <w:pPr>
        <w:ind w:right="38" w:rightChars="16"/>
        <w:jc w:val="both"/>
        <w:rPr>
          <w:rFonts w:ascii="Arial" w:hAnsi="Arial" w:cs="Arial"/>
          <w:szCs w:val="24"/>
        </w:rPr>
      </w:pPr>
      <w:r>
        <w:rPr>
          <w:rFonts w:ascii="Arial" w:hAnsi="Arial" w:cs="Arial"/>
          <w:b/>
          <w:bCs/>
          <w:szCs w:val="24"/>
        </w:rPr>
        <w:t>8.3.</w:t>
      </w:r>
      <w:r>
        <w:rPr>
          <w:rFonts w:ascii="Arial" w:hAnsi="Arial" w:cs="Arial"/>
          <w:szCs w:val="24"/>
        </w:rPr>
        <w:t xml:space="preserve"> Efetuar os pagamentos devidos nas condições estabelecidas;</w:t>
      </w:r>
    </w:p>
    <w:p>
      <w:pPr>
        <w:ind w:right="38" w:rightChars="16"/>
        <w:jc w:val="both"/>
        <w:rPr>
          <w:rFonts w:ascii="Arial" w:hAnsi="Arial" w:cs="Arial"/>
          <w:szCs w:val="24"/>
        </w:rPr>
      </w:pPr>
      <w:r>
        <w:rPr>
          <w:rFonts w:ascii="Arial" w:hAnsi="Arial" w:cs="Arial"/>
          <w:b/>
          <w:bCs/>
          <w:szCs w:val="24"/>
        </w:rPr>
        <w:t>8.4.</w:t>
      </w:r>
      <w:r>
        <w:rPr>
          <w:rFonts w:ascii="Arial" w:hAnsi="Arial" w:cs="Arial"/>
          <w:szCs w:val="24"/>
        </w:rPr>
        <w:t xml:space="preserve"> Proporcionar todas as facilidades visando à boa execução dos serviços;</w:t>
      </w:r>
    </w:p>
    <w:p>
      <w:pPr>
        <w:ind w:right="38" w:rightChars="16"/>
        <w:jc w:val="both"/>
        <w:rPr>
          <w:rFonts w:ascii="Arial" w:hAnsi="Arial" w:cs="Arial"/>
          <w:szCs w:val="24"/>
        </w:rPr>
      </w:pPr>
      <w:r>
        <w:rPr>
          <w:rFonts w:ascii="Arial" w:hAnsi="Arial" w:cs="Arial"/>
          <w:b/>
          <w:bCs/>
          <w:szCs w:val="24"/>
        </w:rPr>
        <w:t>8.5.</w:t>
      </w:r>
      <w:r>
        <w:rPr>
          <w:rFonts w:ascii="Arial" w:hAnsi="Arial" w:cs="Arial"/>
          <w:szCs w:val="24"/>
        </w:rPr>
        <w:t xml:space="preserve"> Permitir livre acesso dos funcionários credenciados pela CONTRATADA aos locais de execução dos serviços;</w:t>
      </w:r>
    </w:p>
    <w:p>
      <w:pPr>
        <w:ind w:right="38" w:rightChars="16"/>
        <w:jc w:val="both"/>
        <w:rPr>
          <w:rFonts w:ascii="Arial" w:hAnsi="Arial" w:cs="Arial"/>
          <w:szCs w:val="24"/>
        </w:rPr>
      </w:pPr>
      <w:r>
        <w:rPr>
          <w:rFonts w:ascii="Arial" w:hAnsi="Arial" w:cs="Arial"/>
          <w:b/>
          <w:bCs/>
          <w:szCs w:val="24"/>
        </w:rPr>
        <w:t>8.6.</w:t>
      </w:r>
      <w:r>
        <w:rPr>
          <w:rFonts w:ascii="Arial" w:hAnsi="Arial" w:cs="Arial"/>
          <w:szCs w:val="24"/>
        </w:rPr>
        <w:t xml:space="preserve"> A Contratante manterá 01 (um) servidor fiscal para monitorar os serviços executados pela Contratada.</w:t>
      </w:r>
    </w:p>
    <w:p>
      <w:pPr>
        <w:ind w:right="38" w:rightChars="16"/>
        <w:jc w:val="both"/>
        <w:rPr>
          <w:rFonts w:ascii="Arial" w:hAnsi="Arial" w:cs="Arial"/>
          <w:szCs w:val="24"/>
        </w:rPr>
      </w:pPr>
    </w:p>
    <w:p>
      <w:pPr>
        <w:numPr>
          <w:ilvl w:val="0"/>
          <w:numId w:val="13"/>
        </w:numPr>
        <w:ind w:right="38" w:rightChars="16"/>
        <w:jc w:val="both"/>
        <w:rPr>
          <w:rFonts w:ascii="Arial" w:hAnsi="Arial" w:cs="Arial"/>
          <w:b/>
          <w:szCs w:val="24"/>
        </w:rPr>
      </w:pPr>
      <w:r>
        <w:rPr>
          <w:rFonts w:ascii="Arial" w:hAnsi="Arial" w:cs="Arial"/>
          <w:b/>
          <w:szCs w:val="24"/>
        </w:rPr>
        <w:t>CLÁUSULA NONA: DO VALOR ESTIMADO</w:t>
      </w:r>
    </w:p>
    <w:p>
      <w:pPr>
        <w:ind w:right="38" w:rightChars="16"/>
        <w:jc w:val="both"/>
        <w:rPr>
          <w:rFonts w:ascii="Arial" w:hAnsi="Arial" w:cs="Arial"/>
          <w:szCs w:val="24"/>
        </w:rPr>
      </w:pPr>
      <w:r>
        <w:rPr>
          <w:rFonts w:ascii="Arial" w:hAnsi="Arial" w:cs="Arial"/>
          <w:b/>
          <w:bCs/>
          <w:szCs w:val="24"/>
        </w:rPr>
        <w:t>9.1.</w:t>
      </w:r>
      <w:r>
        <w:rPr>
          <w:rFonts w:ascii="Arial" w:hAnsi="Arial" w:cs="Arial"/>
          <w:szCs w:val="24"/>
        </w:rPr>
        <w:t xml:space="preserve"> A estimativa de preços foi feita com base em pesquisa realizada junto à empresas do ramo compatível ao objeto licitado, bem como junto aos demais entes de atividade pública, tendo o valor médio total estimado em </w:t>
      </w:r>
      <w:r>
        <w:rPr>
          <w:rFonts w:ascii="Arial" w:hAnsi="Arial" w:cs="Arial"/>
          <w:b/>
          <w:szCs w:val="24"/>
        </w:rPr>
        <w:t xml:space="preserve">R$ </w:t>
      </w:r>
      <w:r>
        <w:rPr>
          <w:rFonts w:ascii="Calibri" w:hAnsi="Calibri" w:eastAsia="Times New Roman" w:cs="Calibri"/>
          <w:b/>
          <w:color w:val="000000"/>
        </w:rPr>
        <w:t>16.293.217,32</w:t>
      </w:r>
      <w:r>
        <w:rPr>
          <w:rFonts w:ascii="Arial" w:hAnsi="Arial" w:cs="Arial"/>
          <w:b/>
          <w:bCs/>
          <w:szCs w:val="24"/>
          <w:lang w:val="pt-BR" w:eastAsia="zh-CN" w:bidi="ar"/>
        </w:rPr>
        <w:t xml:space="preserve"> </w:t>
      </w:r>
      <w:r>
        <w:rPr>
          <w:rFonts w:ascii="Arial" w:hAnsi="Arial" w:cs="Arial"/>
          <w:b/>
          <w:szCs w:val="24"/>
        </w:rPr>
        <w:t>(Dezesseis milhões, duzentos e noventa e três mil, duzentos e dezessete reais e trinta e dois centavos).</w:t>
      </w:r>
    </w:p>
    <w:p>
      <w:pPr>
        <w:ind w:right="38" w:rightChars="16"/>
        <w:jc w:val="both"/>
        <w:rPr>
          <w:rFonts w:ascii="Arial" w:hAnsi="Arial" w:cs="Arial"/>
          <w:szCs w:val="24"/>
        </w:rPr>
      </w:pPr>
    </w:p>
    <w:p>
      <w:pPr>
        <w:ind w:right="38" w:rightChars="16"/>
        <w:jc w:val="both"/>
        <w:rPr>
          <w:rFonts w:ascii="Arial" w:hAnsi="Arial" w:cs="Arial"/>
          <w:b/>
          <w:szCs w:val="24"/>
        </w:rPr>
      </w:pPr>
      <w:r>
        <w:rPr>
          <w:rFonts w:ascii="Arial" w:hAnsi="Arial" w:cs="Arial"/>
          <w:b/>
          <w:szCs w:val="24"/>
        </w:rPr>
        <w:t>10. CLÁUSULA DÉCIMA: DAS DOTAÇÕES ORÇAMENTÁRIAS E DOS PEDIDOS</w:t>
      </w:r>
    </w:p>
    <w:p>
      <w:pPr>
        <w:pStyle w:val="134"/>
        <w:tabs>
          <w:tab w:val="left" w:pos="709"/>
          <w:tab w:val="center" w:pos="4419"/>
          <w:tab w:val="right" w:pos="8838"/>
        </w:tabs>
        <w:spacing w:before="0" w:beforeAutospacing="0" w:after="0" w:afterAutospacing="0"/>
        <w:ind w:right="38" w:rightChars="16"/>
        <w:jc w:val="both"/>
        <w:rPr>
          <w:rFonts w:ascii="Arial" w:hAnsi="Arial" w:cs="Arial"/>
        </w:rPr>
      </w:pPr>
      <w:r>
        <w:rPr>
          <w:rFonts w:ascii="Arial" w:hAnsi="Arial" w:cs="Arial"/>
          <w:b/>
          <w:bCs/>
        </w:rPr>
        <w:t>10.1.</w:t>
      </w:r>
      <w:r>
        <w:rPr>
          <w:rFonts w:ascii="Arial" w:hAnsi="Arial" w:cs="Arial"/>
        </w:rPr>
        <w:t xml:space="preserve"> As despesas oriundas da presente contratação correrão por conta de recursos próprios específicos consignados no orçamento da Prefeitura Municipal de Primavera do Leste, nas dotações orçamentárias relacionadas abaixo:</w:t>
      </w:r>
    </w:p>
    <w:tbl>
      <w:tblPr>
        <w:tblStyle w:val="12"/>
        <w:tblpPr w:leftFromText="180" w:rightFromText="180" w:vertAnchor="text" w:horzAnchor="page" w:tblpXSpec="center" w:tblpY="410"/>
        <w:tblOverlap w:val="never"/>
        <w:tblW w:w="9720" w:type="dxa"/>
        <w:jc w:val="center"/>
        <w:tblLayout w:type="fixed"/>
        <w:tblCellMar>
          <w:top w:w="0" w:type="dxa"/>
          <w:left w:w="0" w:type="dxa"/>
          <w:bottom w:w="0" w:type="dxa"/>
          <w:right w:w="0" w:type="dxa"/>
        </w:tblCellMar>
      </w:tblPr>
      <w:tblGrid>
        <w:gridCol w:w="3070"/>
        <w:gridCol w:w="1003"/>
        <w:gridCol w:w="5647"/>
      </w:tblGrid>
      <w:tr>
        <w:tblPrEx>
          <w:tblCellMar>
            <w:top w:w="0" w:type="dxa"/>
            <w:left w:w="0" w:type="dxa"/>
            <w:bottom w:w="0" w:type="dxa"/>
            <w:right w:w="0" w:type="dxa"/>
          </w:tblCellMar>
        </w:tblPrEx>
        <w:trPr>
          <w:trHeight w:val="240" w:hRule="atLeast"/>
          <w:jc w:val="center"/>
        </w:trPr>
        <w:tc>
          <w:tcPr>
            <w:tcW w:w="9720" w:type="dxa"/>
            <w:gridSpan w:val="3"/>
            <w:tcBorders>
              <w:top w:val="single" w:color="000000" w:sz="2" w:space="0"/>
              <w:left w:val="single" w:color="000000" w:sz="2" w:space="0"/>
              <w:bottom w:val="single" w:color="000000" w:sz="2" w:space="0"/>
              <w:right w:val="single" w:color="000000" w:sz="2" w:space="0"/>
            </w:tcBorders>
            <w:shd w:val="clear" w:color="auto" w:fill="9BC2E6"/>
            <w:noWrap/>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 xml:space="preserve">Órgão 6 - Secretaria </w:t>
            </w:r>
            <w:r>
              <w:rPr>
                <w:rFonts w:ascii="Calibri" w:hAnsi="Calibri" w:cs="Calibri"/>
                <w:b/>
                <w:sz w:val="20"/>
                <w:lang w:eastAsia="zh-CN" w:bidi="ar"/>
              </w:rPr>
              <w:t>d</w:t>
            </w:r>
            <w:r>
              <w:rPr>
                <w:rFonts w:ascii="Calibri" w:hAnsi="Calibri" w:cs="Calibri"/>
                <w:b/>
                <w:sz w:val="20"/>
                <w:lang w:val="pt-BR" w:eastAsia="zh-CN" w:bidi="ar"/>
              </w:rPr>
              <w:t xml:space="preserve">e </w:t>
            </w:r>
            <w:r>
              <w:rPr>
                <w:rFonts w:ascii="Calibri" w:hAnsi="Calibri" w:cs="Calibri"/>
                <w:b/>
                <w:sz w:val="20"/>
                <w:lang w:eastAsia="zh-CN" w:bidi="ar"/>
              </w:rPr>
              <w:t>Agricultura e Meio Ambiente</w:t>
            </w:r>
          </w:p>
        </w:tc>
      </w:tr>
      <w:tr>
        <w:tblPrEx>
          <w:tblCellMar>
            <w:top w:w="0" w:type="dxa"/>
            <w:left w:w="0" w:type="dxa"/>
            <w:bottom w:w="0" w:type="dxa"/>
            <w:right w:w="0" w:type="dxa"/>
          </w:tblCellMar>
        </w:tblPrEx>
        <w:trPr>
          <w:trHeight w:val="902" w:hRule="atLeast"/>
          <w:jc w:val="center"/>
        </w:trPr>
        <w:tc>
          <w:tcPr>
            <w:tcW w:w="3070"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Und. Orçamentária</w:t>
            </w:r>
            <w:r>
              <w:rPr>
                <w:rFonts w:ascii="Calibri" w:hAnsi="Calibri" w:cs="Calibri"/>
                <w:b/>
                <w:sz w:val="20"/>
                <w:lang w:eastAsia="zh-CN" w:bidi="ar"/>
              </w:rPr>
              <w:t xml:space="preserve"> </w:t>
            </w:r>
            <w:r>
              <w:rPr>
                <w:rFonts w:ascii="Calibri" w:hAnsi="Calibri" w:cs="Calibri"/>
                <w:b/>
                <w:sz w:val="20"/>
                <w:lang w:val="pt-BR" w:eastAsia="zh-CN" w:bidi="ar"/>
              </w:rPr>
              <w:t>/ Executora</w:t>
            </w:r>
          </w:p>
        </w:tc>
        <w:tc>
          <w:tcPr>
            <w:tcW w:w="100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03003</w:t>
            </w:r>
          </w:p>
        </w:tc>
        <w:tc>
          <w:tcPr>
            <w:tcW w:w="5647"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Coordenadoria do Meio Ambiente</w:t>
            </w:r>
          </w:p>
        </w:tc>
      </w:tr>
      <w:tr>
        <w:tblPrEx>
          <w:tblCellMar>
            <w:top w:w="0" w:type="dxa"/>
            <w:left w:w="0" w:type="dxa"/>
            <w:bottom w:w="0" w:type="dxa"/>
            <w:right w:w="0" w:type="dxa"/>
          </w:tblCellMar>
        </w:tblPrEx>
        <w:trPr>
          <w:trHeight w:val="510" w:hRule="atLeast"/>
          <w:jc w:val="center"/>
        </w:trPr>
        <w:tc>
          <w:tcPr>
            <w:tcW w:w="3070" w:type="dxa"/>
            <w:vMerge w:val="restart"/>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ind w:right="38" w:rightChars="16"/>
              <w:jc w:val="center"/>
              <w:textAlignment w:val="center"/>
              <w:rPr>
                <w:rFonts w:ascii="Calibri" w:hAnsi="Calibri" w:cs="Calibri"/>
                <w:b/>
                <w:sz w:val="20"/>
                <w:lang w:val="pt-BR" w:eastAsia="zh-CN" w:bidi="ar"/>
              </w:rPr>
            </w:pPr>
            <w:r>
              <w:rPr>
                <w:rFonts w:ascii="Calibri" w:hAnsi="Calibri" w:cs="Calibri"/>
                <w:b/>
                <w:sz w:val="20"/>
                <w:lang w:val="pt-BR" w:eastAsia="zh-CN" w:bidi="ar"/>
              </w:rPr>
              <w:t>Despesa</w:t>
            </w:r>
          </w:p>
          <w:p>
            <w:pPr>
              <w:ind w:right="38" w:rightChars="16"/>
              <w:jc w:val="center"/>
              <w:textAlignment w:val="center"/>
              <w:rPr>
                <w:rFonts w:ascii="Calibri" w:hAnsi="Calibri" w:cs="Calibri"/>
                <w:b/>
                <w:sz w:val="20"/>
              </w:rPr>
            </w:pPr>
            <w:r>
              <w:rPr>
                <w:rFonts w:ascii="Calibri" w:hAnsi="Calibri" w:cs="Calibri"/>
                <w:b/>
                <w:sz w:val="20"/>
                <w:lang w:val="pt-BR" w:eastAsia="zh-CN" w:bidi="ar"/>
              </w:rPr>
              <w:t>/</w:t>
            </w:r>
            <w:r>
              <w:rPr>
                <w:rFonts w:ascii="Calibri" w:hAnsi="Calibri" w:cs="Calibri"/>
                <w:b/>
                <w:sz w:val="20"/>
                <w:lang w:eastAsia="zh-CN" w:bidi="ar"/>
              </w:rPr>
              <w:t xml:space="preserve"> F</w:t>
            </w:r>
            <w:r>
              <w:rPr>
                <w:rFonts w:ascii="Calibri" w:hAnsi="Calibri" w:cs="Calibri"/>
                <w:b/>
                <w:sz w:val="20"/>
                <w:lang w:val="pt-BR" w:eastAsia="zh-CN" w:bidi="ar"/>
              </w:rPr>
              <w:t>onte</w:t>
            </w:r>
          </w:p>
        </w:tc>
        <w:tc>
          <w:tcPr>
            <w:tcW w:w="6650" w:type="dxa"/>
            <w:gridSpan w:val="2"/>
            <w:vMerge w:val="restart"/>
            <w:tcBorders>
              <w:top w:val="single" w:color="000000" w:sz="2" w:space="0"/>
              <w:left w:val="single" w:color="000000" w:sz="2" w:space="0"/>
              <w:right w:val="single" w:color="000000" w:sz="2" w:space="0"/>
            </w:tcBorders>
            <w:tcMar>
              <w:top w:w="15" w:type="dxa"/>
              <w:left w:w="15" w:type="dxa"/>
              <w:right w:w="15" w:type="dxa"/>
            </w:tcMar>
            <w:vAlign w:val="center"/>
          </w:tcPr>
          <w:p>
            <w:pPr>
              <w:ind w:right="38" w:rightChars="16"/>
              <w:jc w:val="center"/>
              <w:textAlignment w:val="center"/>
              <w:rPr>
                <w:rFonts w:ascii="Calibri" w:hAnsi="Calibri" w:eastAsia="CIDFont+F1" w:cs="Calibri"/>
                <w:sz w:val="20"/>
              </w:rPr>
            </w:pPr>
            <w:r>
              <w:rPr>
                <w:rFonts w:ascii="Calibri" w:hAnsi="Calibri" w:eastAsia="CIDFont+F1" w:cs="Calibri"/>
                <w:sz w:val="20"/>
              </w:rPr>
              <w:t>3.3.90.39.00 - 1500</w:t>
            </w:r>
          </w:p>
          <w:p>
            <w:pPr>
              <w:ind w:right="38" w:rightChars="16"/>
              <w:jc w:val="center"/>
              <w:textAlignment w:val="center"/>
              <w:rPr>
                <w:rFonts w:ascii="Calibri" w:hAnsi="Calibri" w:eastAsia="CIDFont+F1" w:cs="Calibri"/>
                <w:sz w:val="20"/>
              </w:rPr>
            </w:pPr>
            <w:r>
              <w:rPr>
                <w:rFonts w:ascii="Calibri" w:hAnsi="Calibri" w:eastAsia="CIDFont+F1" w:cs="Calibri"/>
                <w:sz w:val="20"/>
              </w:rPr>
              <w:t>Outros Serviços de Terceiros - Pessoa Jurídica</w:t>
            </w:r>
          </w:p>
        </w:tc>
      </w:tr>
      <w:tr>
        <w:tblPrEx>
          <w:tblCellMar>
            <w:top w:w="0" w:type="dxa"/>
            <w:left w:w="0" w:type="dxa"/>
            <w:bottom w:w="0" w:type="dxa"/>
            <w:right w:w="0" w:type="dxa"/>
          </w:tblCellMar>
        </w:tblPrEx>
        <w:trPr>
          <w:trHeight w:val="255" w:hRule="atLeast"/>
          <w:jc w:val="center"/>
        </w:trPr>
        <w:tc>
          <w:tcPr>
            <w:tcW w:w="3070" w:type="dxa"/>
            <w:vMerge w:val="continue"/>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ind w:right="38" w:rightChars="16"/>
              <w:jc w:val="center"/>
              <w:rPr>
                <w:rFonts w:ascii="Calibri" w:hAnsi="Calibri" w:cs="Calibri"/>
                <w:b/>
                <w:sz w:val="20"/>
              </w:rPr>
            </w:pPr>
          </w:p>
        </w:tc>
        <w:tc>
          <w:tcPr>
            <w:tcW w:w="6650" w:type="dxa"/>
            <w:gridSpan w:val="2"/>
            <w:vMerge w:val="continue"/>
            <w:tcBorders>
              <w:left w:val="single" w:color="000000" w:sz="2" w:space="0"/>
              <w:bottom w:val="single" w:color="000000" w:sz="2" w:space="0"/>
              <w:right w:val="single" w:color="000000" w:sz="2" w:space="0"/>
            </w:tcBorders>
            <w:tcMar>
              <w:top w:w="15" w:type="dxa"/>
              <w:left w:w="15" w:type="dxa"/>
              <w:right w:w="15" w:type="dxa"/>
            </w:tcMar>
            <w:vAlign w:val="center"/>
          </w:tcPr>
          <w:p>
            <w:pPr>
              <w:ind w:right="38" w:rightChars="16"/>
              <w:jc w:val="center"/>
              <w:textAlignment w:val="center"/>
              <w:rPr>
                <w:rFonts w:ascii="Calibri" w:hAnsi="Calibri" w:cs="Calibri"/>
                <w:sz w:val="20"/>
              </w:rPr>
            </w:pPr>
          </w:p>
        </w:tc>
      </w:tr>
      <w:tr>
        <w:tblPrEx>
          <w:tblCellMar>
            <w:top w:w="0" w:type="dxa"/>
            <w:left w:w="0" w:type="dxa"/>
            <w:bottom w:w="0" w:type="dxa"/>
            <w:right w:w="0" w:type="dxa"/>
          </w:tblCellMar>
        </w:tblPrEx>
        <w:trPr>
          <w:trHeight w:val="255" w:hRule="atLeast"/>
          <w:jc w:val="center"/>
        </w:trPr>
        <w:tc>
          <w:tcPr>
            <w:tcW w:w="3070"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Solicitação</w:t>
            </w:r>
          </w:p>
        </w:tc>
        <w:tc>
          <w:tcPr>
            <w:tcW w:w="6650" w:type="dxa"/>
            <w:gridSpan w:val="2"/>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ind w:right="38" w:rightChars="16"/>
              <w:jc w:val="center"/>
              <w:textAlignment w:val="center"/>
              <w:rPr>
                <w:rFonts w:ascii="Calibri" w:hAnsi="Calibri" w:cs="Calibri"/>
                <w:sz w:val="20"/>
                <w:lang w:eastAsia="zh-CN" w:bidi="ar"/>
              </w:rPr>
            </w:pPr>
            <w:r>
              <w:rPr>
                <w:rFonts w:ascii="Calibri" w:hAnsi="Calibri" w:cs="Calibri"/>
                <w:sz w:val="20"/>
              </w:rPr>
              <w:t>48/2023</w:t>
            </w:r>
          </w:p>
        </w:tc>
      </w:tr>
    </w:tbl>
    <w:p>
      <w:pPr>
        <w:ind w:right="38" w:rightChars="16"/>
        <w:jc w:val="both"/>
        <w:rPr>
          <w:rFonts w:ascii="Arial" w:hAnsi="Arial" w:cs="Arial"/>
          <w:b/>
          <w:szCs w:val="24"/>
        </w:rPr>
      </w:pPr>
    </w:p>
    <w:p>
      <w:pPr>
        <w:ind w:right="38" w:rightChars="16"/>
        <w:jc w:val="both"/>
        <w:rPr>
          <w:rFonts w:ascii="Arial" w:hAnsi="Arial" w:cs="Arial"/>
          <w:b/>
          <w:szCs w:val="24"/>
        </w:rPr>
      </w:pPr>
      <w:r>
        <w:rPr>
          <w:rFonts w:ascii="Arial" w:hAnsi="Arial" w:cs="Arial"/>
          <w:b/>
          <w:szCs w:val="24"/>
        </w:rPr>
        <w:t>11. CLÁUSULA DÉCIMA PRIMEIRA: DO PAGAMENTO</w:t>
      </w:r>
    </w:p>
    <w:p>
      <w:pPr>
        <w:ind w:right="38" w:rightChars="16"/>
        <w:jc w:val="both"/>
        <w:rPr>
          <w:rFonts w:ascii="Arial" w:hAnsi="Arial" w:cs="Arial"/>
          <w:szCs w:val="24"/>
        </w:rPr>
      </w:pPr>
      <w:r>
        <w:rPr>
          <w:rFonts w:ascii="Arial" w:hAnsi="Arial" w:cs="Arial"/>
          <w:b/>
          <w:bCs/>
          <w:szCs w:val="24"/>
        </w:rPr>
        <w:t>11.1.</w:t>
      </w:r>
      <w:r>
        <w:rPr>
          <w:rFonts w:ascii="Arial" w:hAnsi="Arial" w:cs="Arial"/>
          <w:szCs w:val="24"/>
        </w:rPr>
        <w:t xml:space="preserve"> O pagamento será efetuado em até </w:t>
      </w:r>
      <w:r>
        <w:rPr>
          <w:rFonts w:ascii="Arial" w:hAnsi="Arial" w:cs="Arial"/>
          <w:b/>
          <w:szCs w:val="24"/>
        </w:rPr>
        <w:t>30 trinta dias</w:t>
      </w:r>
      <w:r>
        <w:rPr>
          <w:rFonts w:ascii="Arial" w:hAnsi="Arial" w:cs="Arial"/>
          <w:szCs w:val="24"/>
        </w:rPr>
        <w:t xml:space="preserve"> após a entrega da nota fiscal devidamente atestada pelo setor competente, mediante controle emitido pelo fornecedor.</w:t>
      </w:r>
    </w:p>
    <w:p>
      <w:pPr>
        <w:ind w:right="38" w:rightChars="16"/>
        <w:jc w:val="both"/>
        <w:rPr>
          <w:rFonts w:ascii="Arial" w:hAnsi="Arial" w:cs="Arial"/>
          <w:szCs w:val="24"/>
        </w:rPr>
      </w:pPr>
    </w:p>
    <w:p>
      <w:pPr>
        <w:ind w:right="38" w:rightChars="16"/>
        <w:jc w:val="both"/>
        <w:rPr>
          <w:rFonts w:ascii="Arial" w:hAnsi="Arial" w:cs="Arial"/>
          <w:b/>
          <w:szCs w:val="24"/>
        </w:rPr>
      </w:pPr>
      <w:r>
        <w:rPr>
          <w:rFonts w:ascii="Arial" w:hAnsi="Arial" w:cs="Arial"/>
          <w:b/>
          <w:szCs w:val="24"/>
        </w:rPr>
        <w:t>12. CLÁUSULA DÉCIMA SEGUNDA: DA FISCALIZAÇÃO</w:t>
      </w:r>
    </w:p>
    <w:p>
      <w:pPr>
        <w:ind w:right="38" w:rightChars="16"/>
        <w:jc w:val="both"/>
        <w:rPr>
          <w:rFonts w:ascii="Arial" w:hAnsi="Arial" w:cs="Arial"/>
          <w:szCs w:val="24"/>
        </w:rPr>
      </w:pPr>
      <w:r>
        <w:rPr>
          <w:rFonts w:ascii="Arial" w:hAnsi="Arial" w:cs="Arial"/>
          <w:b/>
          <w:bCs/>
          <w:szCs w:val="24"/>
        </w:rPr>
        <w:t>12.1.</w:t>
      </w:r>
      <w:r>
        <w:rPr>
          <w:rFonts w:ascii="Arial" w:hAnsi="Arial" w:cs="Arial"/>
          <w:szCs w:val="24"/>
        </w:rPr>
        <w:t xml:space="preserve"> A fiscalização dos materiais e/ou serviços será exercido por representante legal da CONTRATANTE, neste ato denominado FISCAL DE CONTRATO, conforme Art. 67 da Lei nº 8.666/93, cabendo aos usuários a ratificação da qualidade dos serviços prestados. Para exercício da função ficam designados o senhor Paulo Marcos de Moraes Coimbra como oficial e Edson Marcio a Silva Xavier  como suplente.</w:t>
      </w:r>
    </w:p>
    <w:p>
      <w:pPr>
        <w:ind w:right="38" w:rightChars="16"/>
        <w:jc w:val="both"/>
        <w:rPr>
          <w:rFonts w:ascii="Arial" w:hAnsi="Arial" w:cs="Arial"/>
          <w:szCs w:val="24"/>
        </w:rPr>
      </w:pPr>
      <w:r>
        <w:rPr>
          <w:rFonts w:ascii="Arial" w:hAnsi="Arial" w:cs="Arial"/>
          <w:b/>
          <w:bCs/>
          <w:szCs w:val="24"/>
        </w:rPr>
        <w:t>12.2.</w:t>
      </w:r>
      <w:r>
        <w:rPr>
          <w:rFonts w:ascii="Arial" w:hAnsi="Arial" w:cs="Arial"/>
          <w:szCs w:val="24"/>
        </w:rPr>
        <w:t xml:space="preserve"> Não obstante a LICITANTE VENCEDORA seja a única e exclusiva responsável pela execução de todos os serviços, a Secretaria Municipal Participante possui o direito de, sem que de qualquer forma restrinja a plenitude desta responsabilidade, exercer diretamente a mais ampla e completa fiscalização sobre os serviços.</w:t>
      </w:r>
    </w:p>
    <w:p>
      <w:pPr>
        <w:ind w:right="38" w:rightChars="16"/>
        <w:jc w:val="both"/>
        <w:rPr>
          <w:rFonts w:ascii="Arial" w:hAnsi="Arial" w:cs="Arial"/>
          <w:b/>
          <w:bCs/>
          <w:szCs w:val="24"/>
        </w:rPr>
      </w:pPr>
      <w:r>
        <w:rPr>
          <w:rFonts w:ascii="Arial" w:hAnsi="Arial" w:cs="Arial"/>
          <w:b/>
          <w:bCs/>
          <w:szCs w:val="24"/>
        </w:rPr>
        <w:t>12.3</w:t>
      </w:r>
      <w:r>
        <w:rPr>
          <w:rFonts w:ascii="Arial" w:hAnsi="Arial" w:cs="Arial"/>
          <w:szCs w:val="24"/>
        </w:rPr>
        <w:t>. Exigir da empresa que o documento comprobatório de recolhimento do FGTS acompanhe a nota fiscal ou fatura mensal dos serviços.</w:t>
      </w:r>
    </w:p>
    <w:p>
      <w:pPr>
        <w:ind w:right="38" w:rightChars="16"/>
        <w:jc w:val="both"/>
        <w:rPr>
          <w:rFonts w:ascii="Arial" w:hAnsi="Arial" w:cs="Arial"/>
          <w:b/>
          <w:bCs/>
          <w:szCs w:val="24"/>
        </w:rPr>
      </w:pPr>
      <w:r>
        <w:rPr>
          <w:rFonts w:ascii="Arial" w:hAnsi="Arial" w:cs="Arial"/>
          <w:b/>
          <w:bCs/>
          <w:szCs w:val="24"/>
        </w:rPr>
        <w:t xml:space="preserve">12.4. </w:t>
      </w:r>
      <w:r>
        <w:rPr>
          <w:rFonts w:ascii="Arial" w:hAnsi="Arial" w:cs="Arial"/>
          <w:szCs w:val="24"/>
        </w:rPr>
        <w:t>Cópia da Guia da Previdência Social (GPS) com a autenticação mecânica ou acompanhada do comprovante de recolhimento bancário ou o comprovante emitido quando recolhimento for efetuado pela Internet.</w:t>
      </w:r>
    </w:p>
    <w:p>
      <w:pPr>
        <w:ind w:right="38" w:rightChars="16"/>
        <w:jc w:val="both"/>
        <w:rPr>
          <w:rFonts w:ascii="Arial" w:hAnsi="Arial" w:cs="Arial"/>
          <w:szCs w:val="24"/>
        </w:rPr>
      </w:pPr>
      <w:r>
        <w:rPr>
          <w:rFonts w:ascii="Arial" w:hAnsi="Arial" w:cs="Arial"/>
          <w:b/>
          <w:bCs/>
          <w:szCs w:val="24"/>
        </w:rPr>
        <w:t xml:space="preserve">12.5. </w:t>
      </w:r>
      <w:r>
        <w:rPr>
          <w:rFonts w:ascii="Arial" w:hAnsi="Arial" w:cs="Arial"/>
          <w:szCs w:val="24"/>
        </w:rPr>
        <w:t xml:space="preserve">Ordenar a imediata retirada do local, bem como a substituição de empregado da LICITANTE VENCEDORA que estiver sem uniforme ou crachá, que embaraçar ou dificultar a sua fiscalização, ou cuja permanência na área, a seu exclusivo critério, julgar desnecessárias. </w:t>
      </w:r>
    </w:p>
    <w:p>
      <w:pPr>
        <w:ind w:right="38" w:rightChars="16"/>
        <w:jc w:val="both"/>
        <w:rPr>
          <w:rFonts w:ascii="Arial" w:hAnsi="Arial" w:cs="Arial"/>
          <w:szCs w:val="24"/>
        </w:rPr>
      </w:pPr>
      <w:r>
        <w:rPr>
          <w:rFonts w:ascii="Arial" w:hAnsi="Arial" w:cs="Arial"/>
          <w:b/>
          <w:bCs/>
          <w:szCs w:val="24"/>
        </w:rPr>
        <w:t>12.6.</w:t>
      </w:r>
      <w:r>
        <w:rPr>
          <w:rFonts w:ascii="Arial" w:hAnsi="Arial" w:cs="Arial"/>
          <w:szCs w:val="24"/>
        </w:rPr>
        <w:t xml:space="preserve"> As decisões e providências que ultrapassarem a competência dos fiscais deverão ser solicitadas aos seus superiores em tempo hábil para a adoção das medidas convenientes.</w:t>
      </w:r>
    </w:p>
    <w:p>
      <w:pPr>
        <w:ind w:right="38" w:rightChars="16"/>
        <w:jc w:val="both"/>
        <w:rPr>
          <w:rFonts w:ascii="Arial" w:hAnsi="Arial" w:cs="Arial"/>
          <w:szCs w:val="24"/>
        </w:rPr>
      </w:pPr>
      <w:r>
        <w:rPr>
          <w:rFonts w:ascii="Arial" w:hAnsi="Arial" w:cs="Arial"/>
          <w:b/>
          <w:bCs/>
          <w:szCs w:val="24"/>
        </w:rPr>
        <w:t>12.7.</w:t>
      </w:r>
      <w:r>
        <w:rPr>
          <w:rFonts w:ascii="Arial" w:hAnsi="Arial" w:cs="Arial"/>
          <w:szCs w:val="24"/>
        </w:rPr>
        <w:t xml:space="preserve"> O fiscal do contrato, quando deparar com alguma dificuldade, cuja providência, razoavelmente, escapa ao seu domínio de conhecimento irá notificar o seu superior hierárquico para que seja tomada a medida cabível, dirigir-se as solicitações de ajustes de conduta diretamente ao PREPOSTO da empresa;</w:t>
      </w:r>
    </w:p>
    <w:p>
      <w:pPr>
        <w:ind w:right="38" w:rightChars="16"/>
        <w:jc w:val="both"/>
        <w:rPr>
          <w:rFonts w:ascii="Arial" w:hAnsi="Arial" w:cs="Arial"/>
          <w:szCs w:val="24"/>
        </w:rPr>
      </w:pPr>
      <w:r>
        <w:rPr>
          <w:rFonts w:ascii="Arial" w:hAnsi="Arial" w:cs="Arial"/>
          <w:b/>
          <w:bCs/>
          <w:szCs w:val="24"/>
        </w:rPr>
        <w:t>12.8.</w:t>
      </w:r>
      <w:r>
        <w:rPr>
          <w:rFonts w:ascii="Arial" w:hAnsi="Arial" w:cs="Arial"/>
          <w:szCs w:val="24"/>
        </w:rPr>
        <w:t xml:space="preserve"> O fiscal do contrato também poderá solicitar ao preposto que forneça os seguintes documentos: </w:t>
      </w:r>
    </w:p>
    <w:p>
      <w:pPr>
        <w:ind w:right="38" w:rightChars="16"/>
        <w:jc w:val="both"/>
        <w:rPr>
          <w:rFonts w:ascii="Arial" w:hAnsi="Arial" w:cs="Arial"/>
          <w:szCs w:val="24"/>
        </w:rPr>
      </w:pPr>
      <w:r>
        <w:rPr>
          <w:rFonts w:ascii="Arial" w:hAnsi="Arial" w:cs="Arial"/>
          <w:szCs w:val="24"/>
        </w:rPr>
        <w:t xml:space="preserve">a) Extrato da conta do INSS e do FGTS de qualquer empregado, a critério da Administração contratante; </w:t>
      </w:r>
    </w:p>
    <w:p>
      <w:pPr>
        <w:ind w:right="38" w:rightChars="16"/>
        <w:jc w:val="both"/>
        <w:rPr>
          <w:rFonts w:ascii="Arial" w:hAnsi="Arial" w:cs="Arial"/>
          <w:szCs w:val="24"/>
        </w:rPr>
      </w:pPr>
      <w:r>
        <w:rPr>
          <w:rFonts w:ascii="Arial" w:hAnsi="Arial" w:cs="Arial"/>
          <w:szCs w:val="24"/>
        </w:rPr>
        <w:t xml:space="preserve">b) Cópia da folha de pagamento analítica de qualquer mês da prestação dos serviços, em que conste como tomador o órgão ou entidade contratante; </w:t>
      </w:r>
    </w:p>
    <w:p>
      <w:pPr>
        <w:ind w:right="38" w:rightChars="16"/>
        <w:jc w:val="both"/>
        <w:rPr>
          <w:rFonts w:ascii="Arial" w:hAnsi="Arial" w:cs="Arial"/>
          <w:szCs w:val="24"/>
        </w:rPr>
      </w:pPr>
      <w:r>
        <w:rPr>
          <w:rFonts w:ascii="Arial" w:hAnsi="Arial" w:cs="Arial"/>
          <w:szCs w:val="24"/>
        </w:rPr>
        <w:t xml:space="preserve">c) Cópia dos contracheques dos empregados relativos a qualquer mês da prestação dos serviços ou, ainda, quando necessário, cópia de recibos de depósitos bancários; </w:t>
      </w:r>
    </w:p>
    <w:p>
      <w:pPr>
        <w:ind w:right="38" w:rightChars="16"/>
        <w:jc w:val="both"/>
        <w:rPr>
          <w:rFonts w:ascii="Arial" w:hAnsi="Arial" w:cs="Arial"/>
          <w:szCs w:val="24"/>
        </w:rPr>
      </w:pPr>
      <w:r>
        <w:rPr>
          <w:rFonts w:ascii="Arial" w:hAnsi="Arial" w:cs="Arial"/>
          <w:szCs w:val="24"/>
        </w:rPr>
        <w:t>d)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pPr>
        <w:ind w:right="38" w:rightChars="16"/>
        <w:jc w:val="both"/>
        <w:rPr>
          <w:rFonts w:ascii="Arial" w:hAnsi="Arial" w:cs="Arial"/>
          <w:szCs w:val="24"/>
        </w:rPr>
      </w:pPr>
      <w:r>
        <w:rPr>
          <w:rFonts w:ascii="Arial" w:hAnsi="Arial" w:cs="Arial"/>
          <w:szCs w:val="24"/>
        </w:rPr>
        <w:t>e) Comprovantes de realização de eventuais cursos de treinamento e reciclagem que forem exigidos por lei ou pelo contrato;</w:t>
      </w:r>
    </w:p>
    <w:p>
      <w:pPr>
        <w:ind w:right="38" w:rightChars="16"/>
        <w:jc w:val="both"/>
        <w:rPr>
          <w:rFonts w:ascii="Arial" w:hAnsi="Arial" w:cs="Arial"/>
          <w:szCs w:val="24"/>
        </w:rPr>
      </w:pPr>
      <w:r>
        <w:rPr>
          <w:rFonts w:ascii="Arial" w:hAnsi="Arial" w:cs="Arial"/>
          <w:b/>
          <w:bCs/>
          <w:szCs w:val="24"/>
        </w:rPr>
        <w:t>12.9</w:t>
      </w:r>
      <w:r>
        <w:rPr>
          <w:rFonts w:ascii="Arial" w:hAnsi="Arial" w:cs="Arial"/>
          <w:szCs w:val="24"/>
        </w:rPr>
        <w:t>. O fiscal do contrato poderá solicitar ao preposto os documentos comprobatórios da realização do pagamento de vale-transporte e auxílio-alimentação em nome dos empregados, relativos ao período de execução contratual, para fins de conferência pela fiscalização.</w:t>
      </w:r>
    </w:p>
    <w:p>
      <w:pPr>
        <w:ind w:right="38" w:rightChars="16"/>
        <w:jc w:val="both"/>
        <w:rPr>
          <w:rFonts w:ascii="Arial" w:hAnsi="Arial" w:cs="Arial"/>
          <w:szCs w:val="24"/>
        </w:rPr>
      </w:pPr>
      <w:r>
        <w:rPr>
          <w:rFonts w:ascii="Arial" w:hAnsi="Arial" w:cs="Arial"/>
          <w:b/>
          <w:bCs/>
          <w:szCs w:val="24"/>
        </w:rPr>
        <w:t>12.10.</w:t>
      </w:r>
      <w:r>
        <w:rPr>
          <w:rFonts w:ascii="Arial" w:hAnsi="Arial" w:cs="Arial"/>
          <w:szCs w:val="24"/>
        </w:rPr>
        <w:t xml:space="preserve"> Solicitar justificadamente a substituição de qualquer empregado da empresa que comprometa a perfeita execução dos serviços, que crie obstáculos à fiscalização, que não corresponda às exigências disciplinares do Órgão ou aquele cujo comportamento o fiscal do contrato julgue impróprio para a execução dos serviços ou que tenha frequentes faltas sem justificativas legais.</w:t>
      </w:r>
    </w:p>
    <w:p>
      <w:pPr>
        <w:ind w:right="38" w:rightChars="16"/>
        <w:jc w:val="both"/>
        <w:rPr>
          <w:rFonts w:ascii="Arial" w:hAnsi="Arial" w:cs="Arial"/>
          <w:szCs w:val="24"/>
        </w:rPr>
      </w:pPr>
      <w:r>
        <w:rPr>
          <w:rFonts w:ascii="Arial" w:hAnsi="Arial" w:cs="Arial"/>
          <w:b/>
          <w:bCs/>
          <w:szCs w:val="24"/>
        </w:rPr>
        <w:t>12.11.</w:t>
      </w:r>
      <w:r>
        <w:rPr>
          <w:rFonts w:ascii="Arial" w:hAnsi="Arial" w:cs="Arial"/>
          <w:szCs w:val="24"/>
        </w:rPr>
        <w:t xml:space="preserve"> Observar se o número de prestadores de serviço para atender a demanda prevista.</w:t>
      </w:r>
    </w:p>
    <w:p>
      <w:pPr>
        <w:ind w:right="38" w:rightChars="16"/>
        <w:jc w:val="both"/>
        <w:rPr>
          <w:rFonts w:ascii="Arial" w:hAnsi="Arial" w:cs="Arial"/>
          <w:szCs w:val="24"/>
        </w:rPr>
      </w:pPr>
      <w:r>
        <w:rPr>
          <w:rFonts w:ascii="Arial" w:hAnsi="Arial" w:cs="Arial"/>
          <w:b/>
          <w:bCs/>
          <w:szCs w:val="24"/>
        </w:rPr>
        <w:t>12.12.</w:t>
      </w:r>
      <w:r>
        <w:rPr>
          <w:rFonts w:ascii="Arial" w:hAnsi="Arial" w:cs="Arial"/>
          <w:szCs w:val="24"/>
        </w:rPr>
        <w:t xml:space="preserve"> Observar se os empregados estão cumprindo a risca a jornada de trabalho e se esta não está sendo cumprida em desacordo com as normas legais.</w:t>
      </w:r>
    </w:p>
    <w:p>
      <w:pPr>
        <w:numPr>
          <w:ilvl w:val="0"/>
          <w:numId w:val="14"/>
        </w:numPr>
        <w:ind w:right="38" w:rightChars="16"/>
        <w:rPr>
          <w:rFonts w:ascii="Arial" w:hAnsi="Arial" w:eastAsia="Arial Unicode MS" w:cs="Arial"/>
          <w:b/>
          <w:szCs w:val="24"/>
        </w:rPr>
      </w:pPr>
      <w:r>
        <w:rPr>
          <w:rFonts w:ascii="Arial" w:hAnsi="Arial" w:eastAsia="Arial Unicode MS" w:cs="Arial"/>
          <w:b/>
          <w:szCs w:val="24"/>
        </w:rPr>
        <w:t>CLÁUSULA DÉCIMA TERCEIRA: DAS SANÇÕES ADMINISTRATIVAS</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13.1.</w:t>
      </w:r>
      <w:r>
        <w:rPr>
          <w:rFonts w:ascii="Arial" w:hAnsi="Arial" w:cs="Arial"/>
          <w:szCs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13.1.1.</w:t>
      </w:r>
      <w:r>
        <w:rPr>
          <w:rFonts w:ascii="Arial" w:hAnsi="Arial" w:cs="Arial"/>
          <w:bCs/>
          <w:szCs w:val="24"/>
        </w:rPr>
        <w:t xml:space="preserve"> </w:t>
      </w:r>
      <w:r>
        <w:rPr>
          <w:rFonts w:ascii="Arial" w:hAnsi="Arial" w:cs="Arial"/>
          <w:szCs w:val="24"/>
        </w:rPr>
        <w:t>Por atraso injustificado na execução do objeto:</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13.1.1.1.</w:t>
      </w:r>
      <w:r>
        <w:rPr>
          <w:rFonts w:ascii="Arial" w:hAnsi="Arial" w:cs="Arial"/>
          <w:szCs w:val="24"/>
        </w:rPr>
        <w:t xml:space="preserve"> Atraso em até de 50% além do tempo previsto para entrega ou execução, multa diária de 0,25% (vinte e cinco centésimos por cento sobre o valor homologado;</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13.1.1.2.</w:t>
      </w:r>
      <w:r>
        <w:rPr>
          <w:rFonts w:ascii="Arial" w:hAnsi="Arial" w:cs="Arial"/>
          <w:szCs w:val="24"/>
        </w:rPr>
        <w:t xml:space="preserve"> Atraso superior a 50%, multa diária de 0,50% (cinquenta centésimos por cento) sobre o total dos dias em atraso, sem prejuízo das demais cominações legais considerando o valor homologado;</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13.1.1.3.</w:t>
      </w:r>
      <w:r>
        <w:rPr>
          <w:rFonts w:ascii="Arial" w:hAnsi="Arial" w:cs="Arial"/>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 considerando o valor homologado;</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13.1.2.</w:t>
      </w:r>
      <w:r>
        <w:rPr>
          <w:rFonts w:ascii="Arial" w:hAnsi="Arial" w:cs="Arial"/>
          <w:bCs/>
          <w:szCs w:val="24"/>
        </w:rPr>
        <w:t xml:space="preserve"> </w:t>
      </w:r>
      <w:r>
        <w:rPr>
          <w:rFonts w:ascii="Arial" w:hAnsi="Arial" w:cs="Arial"/>
          <w:szCs w:val="24"/>
        </w:rPr>
        <w:t>Pela inexecução parcial ou total das condições estabelecidas neste ato convocatório, a Prefeitura poderá garantida a prévia defesa, aplicar, também, as seguintes sanções:</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13.1.2.1</w:t>
      </w:r>
      <w:r>
        <w:rPr>
          <w:rFonts w:ascii="Arial" w:hAnsi="Arial" w:cs="Arial"/>
          <w:bCs/>
          <w:szCs w:val="24"/>
        </w:rPr>
        <w:t>.A</w:t>
      </w:r>
      <w:r>
        <w:rPr>
          <w:rFonts w:ascii="Arial" w:hAnsi="Arial" w:cs="Arial"/>
          <w:szCs w:val="24"/>
        </w:rPr>
        <w:t>dvertência;</w:t>
      </w:r>
    </w:p>
    <w:p>
      <w:pPr>
        <w:widowControl w:val="0"/>
        <w:tabs>
          <w:tab w:val="left" w:pos="993"/>
        </w:tabs>
        <w:autoSpaceDE w:val="0"/>
        <w:autoSpaceDN w:val="0"/>
        <w:adjustRightInd w:val="0"/>
        <w:ind w:right="38" w:rightChars="16"/>
        <w:jc w:val="both"/>
        <w:rPr>
          <w:rFonts w:ascii="Arial" w:hAnsi="Arial" w:cs="Arial"/>
          <w:szCs w:val="24"/>
        </w:rPr>
      </w:pPr>
      <w:r>
        <w:rPr>
          <w:rFonts w:ascii="Arial" w:hAnsi="Arial" w:cs="Arial"/>
          <w:b/>
          <w:szCs w:val="24"/>
        </w:rPr>
        <w:t>13.1.2.2.</w:t>
      </w:r>
      <w:r>
        <w:rPr>
          <w:rFonts w:ascii="Arial" w:hAnsi="Arial" w:cs="Arial"/>
          <w:szCs w:val="24"/>
        </w:rPr>
        <w:tab/>
      </w:r>
      <w:r>
        <w:rPr>
          <w:rFonts w:ascii="Arial" w:hAnsi="Arial" w:cs="Arial"/>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ind w:right="38" w:rightChars="16"/>
        <w:jc w:val="both"/>
        <w:rPr>
          <w:rFonts w:ascii="Arial" w:hAnsi="Arial" w:cs="Arial"/>
          <w:szCs w:val="24"/>
        </w:rPr>
      </w:pPr>
      <w:r>
        <w:rPr>
          <w:rFonts w:ascii="Arial" w:hAnsi="Arial" w:cs="Arial"/>
          <w:b/>
          <w:szCs w:val="24"/>
        </w:rPr>
        <w:t>13.1.2.3.</w:t>
      </w:r>
      <w:r>
        <w:rPr>
          <w:rFonts w:ascii="Arial" w:hAnsi="Arial" w:cs="Arial"/>
          <w:szCs w:val="24"/>
        </w:rPr>
        <w:tab/>
      </w:r>
      <w:r>
        <w:rPr>
          <w:rFonts w:ascii="Arial" w:hAnsi="Arial" w:cs="Arial"/>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ind w:right="38" w:rightChars="16"/>
        <w:jc w:val="both"/>
        <w:rPr>
          <w:rFonts w:ascii="Arial" w:hAnsi="Arial" w:cs="Arial"/>
          <w:szCs w:val="24"/>
        </w:rPr>
      </w:pPr>
      <w:r>
        <w:rPr>
          <w:rFonts w:ascii="Arial" w:hAnsi="Arial" w:cs="Arial"/>
          <w:b/>
          <w:szCs w:val="24"/>
        </w:rPr>
        <w:t>13.1.2.4.</w:t>
      </w:r>
      <w:r>
        <w:rPr>
          <w:rFonts w:ascii="Arial" w:hAnsi="Arial" w:cs="Arial"/>
          <w:b/>
          <w:szCs w:val="24"/>
        </w:rPr>
        <w:tab/>
      </w:r>
      <w:r>
        <w:rPr>
          <w:rFonts w:ascii="Arial" w:hAnsi="Arial" w:cs="Arial"/>
          <w:bCs/>
          <w:szCs w:val="24"/>
        </w:rPr>
        <w:t>D</w:t>
      </w:r>
      <w:r>
        <w:rPr>
          <w:rFonts w:ascii="Arial" w:hAnsi="Arial" w:cs="Arial"/>
          <w:szCs w:val="24"/>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ind w:right="38" w:rightChars="16"/>
        <w:jc w:val="both"/>
        <w:rPr>
          <w:rFonts w:ascii="Arial" w:hAnsi="Arial" w:cs="Arial"/>
          <w:szCs w:val="24"/>
        </w:rPr>
      </w:pPr>
      <w:r>
        <w:rPr>
          <w:rFonts w:ascii="Arial" w:hAnsi="Arial" w:cs="Arial"/>
          <w:b/>
          <w:szCs w:val="24"/>
        </w:rPr>
        <w:t xml:space="preserve">13.2. </w:t>
      </w:r>
      <w:r>
        <w:rPr>
          <w:rFonts w:ascii="Arial" w:hAnsi="Arial" w:cs="Arial"/>
          <w:szCs w:val="24"/>
        </w:rPr>
        <w:t xml:space="preserve">As multas serão descontadas dos créditos da empresa detentora da ata ou cobradas administrativa ou judicialmente; </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13.3.</w:t>
      </w:r>
      <w:r>
        <w:rPr>
          <w:rFonts w:ascii="Arial" w:hAnsi="Arial" w:cs="Arial"/>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13.4.</w:t>
      </w:r>
      <w:r>
        <w:rPr>
          <w:rFonts w:ascii="Arial" w:hAnsi="Arial" w:cs="Arial"/>
          <w:szCs w:val="24"/>
        </w:rPr>
        <w:t xml:space="preserve"> As penalidades são independentes e a aplicação de uma não exclui a das demais, quando cabíveis; </w:t>
      </w:r>
    </w:p>
    <w:p>
      <w:pPr>
        <w:widowControl w:val="0"/>
        <w:autoSpaceDE w:val="0"/>
        <w:autoSpaceDN w:val="0"/>
        <w:adjustRightInd w:val="0"/>
        <w:ind w:right="38" w:rightChars="16"/>
        <w:jc w:val="both"/>
        <w:rPr>
          <w:rFonts w:ascii="Arial" w:hAnsi="Arial" w:cs="Arial"/>
          <w:szCs w:val="24"/>
        </w:rPr>
      </w:pPr>
      <w:r>
        <w:rPr>
          <w:rFonts w:ascii="Arial" w:hAnsi="Arial" w:cs="Arial"/>
          <w:b/>
          <w:szCs w:val="24"/>
        </w:rPr>
        <w:t xml:space="preserve">13.5. </w:t>
      </w:r>
      <w:r>
        <w:rPr>
          <w:rFonts w:ascii="Arial" w:hAnsi="Arial" w:cs="Arial"/>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ind w:right="38" w:rightChars="16"/>
        <w:jc w:val="both"/>
        <w:rPr>
          <w:rFonts w:ascii="Arial" w:hAnsi="Arial" w:cs="Arial"/>
          <w:szCs w:val="24"/>
        </w:rPr>
      </w:pPr>
      <w:r>
        <w:rPr>
          <w:rFonts w:ascii="Arial" w:hAnsi="Arial" w:cs="Arial"/>
          <w:b/>
          <w:szCs w:val="24"/>
        </w:rPr>
        <w:t>13.5.1.</w:t>
      </w:r>
      <w:r>
        <w:rPr>
          <w:rFonts w:ascii="Arial" w:hAnsi="Arial" w:cs="Arial"/>
          <w:bCs/>
          <w:szCs w:val="24"/>
        </w:rPr>
        <w:t xml:space="preserve"> </w:t>
      </w:r>
      <w:r>
        <w:rPr>
          <w:rFonts w:ascii="Arial" w:hAnsi="Arial" w:cs="Arial"/>
          <w:szCs w:val="24"/>
        </w:rPr>
        <w:t>Desclassificação ou inabilitação caso o procedimento se encontre em fase de julgamento;</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13.5.2.</w:t>
      </w:r>
      <w:r>
        <w:rPr>
          <w:rFonts w:ascii="Arial" w:hAnsi="Arial" w:cs="Arial"/>
          <w:szCs w:val="24"/>
        </w:rPr>
        <w:t xml:space="preserve"> Cancelamento da ata de registro de preços, se esta já estiver assinada, procedendo-se a paralisação do fornecimento;</w:t>
      </w:r>
    </w:p>
    <w:p>
      <w:pPr>
        <w:widowControl w:val="0"/>
        <w:autoSpaceDE w:val="0"/>
        <w:autoSpaceDN w:val="0"/>
        <w:adjustRightInd w:val="0"/>
        <w:ind w:right="38" w:rightChars="16"/>
        <w:jc w:val="both"/>
        <w:rPr>
          <w:rFonts w:ascii="Arial" w:hAnsi="Arial" w:cs="Arial"/>
          <w:szCs w:val="24"/>
        </w:rPr>
      </w:pPr>
      <w:r>
        <w:rPr>
          <w:rFonts w:ascii="Arial" w:hAnsi="Arial" w:cs="Arial"/>
          <w:b/>
          <w:szCs w:val="24"/>
        </w:rPr>
        <w:t>13.6.</w:t>
      </w:r>
      <w:r>
        <w:rPr>
          <w:rFonts w:ascii="Arial" w:hAnsi="Arial" w:cs="Arial"/>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ind w:right="38" w:rightChars="16"/>
        <w:jc w:val="both"/>
        <w:rPr>
          <w:rFonts w:ascii="Arial" w:hAnsi="Arial" w:eastAsia="Calibri" w:cs="Arial"/>
          <w:b/>
          <w:szCs w:val="24"/>
          <w:lang w:eastAsia="en-US"/>
        </w:rPr>
      </w:pPr>
      <w:r>
        <w:rPr>
          <w:rFonts w:ascii="Arial" w:hAnsi="Arial" w:cs="Arial"/>
          <w:b/>
          <w:bCs/>
          <w:szCs w:val="24"/>
        </w:rPr>
        <w:t>13.7.</w:t>
      </w:r>
      <w:r>
        <w:rPr>
          <w:rFonts w:ascii="Arial" w:hAnsi="Arial" w:cs="Arial"/>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numPr>
          <w:ilvl w:val="0"/>
          <w:numId w:val="14"/>
        </w:numPr>
        <w:ind w:right="38" w:rightChars="16"/>
        <w:jc w:val="both"/>
        <w:rPr>
          <w:rFonts w:ascii="Arial" w:hAnsi="Arial" w:cs="Arial"/>
          <w:b/>
          <w:bCs/>
          <w:szCs w:val="24"/>
        </w:rPr>
      </w:pPr>
      <w:r>
        <w:rPr>
          <w:rFonts w:ascii="Arial" w:hAnsi="Arial" w:cs="Arial"/>
          <w:b/>
          <w:bCs/>
          <w:szCs w:val="24"/>
        </w:rPr>
        <w:t>CLÁUSULA DÉCIMA QUARTA: DAS GARANTIAS E ASSISTÊNCIA TÉCNICA</w:t>
      </w:r>
    </w:p>
    <w:p>
      <w:pPr>
        <w:pStyle w:val="26"/>
        <w:tabs>
          <w:tab w:val="left" w:pos="4945"/>
        </w:tabs>
        <w:spacing w:after="0"/>
        <w:ind w:right="38" w:rightChars="16"/>
        <w:jc w:val="both"/>
        <w:rPr>
          <w:rFonts w:ascii="Arial" w:hAnsi="Arial" w:cs="Arial"/>
          <w:szCs w:val="24"/>
        </w:rPr>
      </w:pPr>
      <w:r>
        <w:rPr>
          <w:rFonts w:ascii="Arial" w:hAnsi="Arial" w:cs="Arial"/>
          <w:b/>
          <w:bCs/>
          <w:szCs w:val="24"/>
        </w:rPr>
        <w:t>14.1.</w:t>
      </w:r>
      <w:r>
        <w:rPr>
          <w:rFonts w:ascii="Arial" w:hAnsi="Arial" w:cs="Arial"/>
          <w:szCs w:val="24"/>
        </w:rPr>
        <w:t>A(s) CONTRATADA(s) compromete(m)-se-à dar total garantia quanto a qualidade dos produtos fornecidos, bem como efetuar a substituição imediata, e totalmente às suas expensas de qualquer produto entregue comprovadamente adulterado ou inutilizável, portanto, fora das especificações técnicas e padrões de qualidade;</w:t>
      </w:r>
    </w:p>
    <w:p>
      <w:pPr>
        <w:pStyle w:val="26"/>
        <w:tabs>
          <w:tab w:val="left" w:pos="4945"/>
        </w:tabs>
        <w:spacing w:after="0"/>
        <w:ind w:right="38" w:rightChars="16"/>
        <w:jc w:val="both"/>
        <w:rPr>
          <w:rFonts w:ascii="Arial" w:hAnsi="Arial" w:cs="Arial"/>
          <w:szCs w:val="24"/>
        </w:rPr>
      </w:pPr>
      <w:r>
        <w:rPr>
          <w:rFonts w:ascii="Arial" w:hAnsi="Arial" w:cs="Arial"/>
          <w:b/>
          <w:bCs/>
          <w:szCs w:val="24"/>
        </w:rPr>
        <w:t>14.2</w:t>
      </w:r>
      <w:r>
        <w:rPr>
          <w:rFonts w:ascii="Arial" w:hAnsi="Arial" w:cs="Arial"/>
          <w:szCs w:val="24"/>
        </w:rPr>
        <w:t>.Quanto a garantia contratual, não será aplicada a esse processo.</w:t>
      </w:r>
    </w:p>
    <w:p>
      <w:pPr>
        <w:pStyle w:val="26"/>
        <w:tabs>
          <w:tab w:val="left" w:pos="4945"/>
        </w:tabs>
        <w:spacing w:after="0"/>
        <w:ind w:right="38" w:rightChars="16"/>
        <w:jc w:val="both"/>
        <w:rPr>
          <w:rFonts w:ascii="Arial" w:hAnsi="Arial" w:cs="Arial"/>
          <w:szCs w:val="24"/>
        </w:rPr>
      </w:pPr>
    </w:p>
    <w:p>
      <w:pPr>
        <w:ind w:right="38" w:rightChars="16"/>
        <w:jc w:val="both"/>
        <w:rPr>
          <w:rFonts w:ascii="Arial" w:hAnsi="Arial" w:cs="Arial"/>
          <w:szCs w:val="24"/>
        </w:rPr>
      </w:pPr>
      <w:r>
        <w:rPr>
          <w:rFonts w:ascii="Arial" w:hAnsi="Arial" w:cs="Arial"/>
          <w:b/>
          <w:bCs/>
          <w:szCs w:val="24"/>
        </w:rPr>
        <w:t xml:space="preserve">15.CLÁUSULA DÉCIMA QUINTA: DAS AMOSTRAS </w:t>
      </w:r>
    </w:p>
    <w:p>
      <w:pPr>
        <w:ind w:right="38" w:rightChars="16"/>
        <w:jc w:val="both"/>
        <w:rPr>
          <w:rFonts w:ascii="Arial" w:hAnsi="Arial" w:cs="Arial"/>
          <w:bCs/>
          <w:szCs w:val="24"/>
        </w:rPr>
      </w:pPr>
      <w:r>
        <w:rPr>
          <w:rFonts w:ascii="Arial" w:hAnsi="Arial" w:cs="Arial"/>
          <w:b/>
          <w:szCs w:val="24"/>
        </w:rPr>
        <w:t xml:space="preserve">15.1. </w:t>
      </w:r>
      <w:r>
        <w:rPr>
          <w:rFonts w:ascii="Arial" w:hAnsi="Arial" w:cs="Arial"/>
          <w:bCs/>
          <w:szCs w:val="24"/>
        </w:rPr>
        <w:t>Para esse processo, não se aplica</w:t>
      </w:r>
    </w:p>
    <w:p>
      <w:pPr>
        <w:ind w:right="38" w:rightChars="16"/>
        <w:jc w:val="both"/>
        <w:rPr>
          <w:rFonts w:ascii="Arial" w:hAnsi="Arial" w:cs="Arial"/>
          <w:bCs/>
          <w:szCs w:val="24"/>
        </w:rPr>
      </w:pPr>
    </w:p>
    <w:p>
      <w:pPr>
        <w:pStyle w:val="62"/>
        <w:spacing w:before="0" w:after="0" w:line="240" w:lineRule="auto"/>
        <w:ind w:right="38" w:rightChars="16"/>
        <w:rPr>
          <w:rFonts w:cs="Arial"/>
          <w:i/>
          <w:color w:val="auto"/>
          <w:sz w:val="24"/>
          <w:szCs w:val="24"/>
          <w:lang w:eastAsia="en-US"/>
        </w:rPr>
      </w:pPr>
      <w:r>
        <w:rPr>
          <w:rFonts w:cs="Arial"/>
          <w:bCs/>
          <w:color w:val="auto"/>
          <w:sz w:val="24"/>
          <w:szCs w:val="24"/>
        </w:rPr>
        <w:t xml:space="preserve">16.CLÁUSULA DÉCIMA SEXTA: </w:t>
      </w:r>
      <w:r>
        <w:rPr>
          <w:rFonts w:cs="Arial"/>
          <w:color w:val="auto"/>
          <w:sz w:val="24"/>
          <w:szCs w:val="24"/>
          <w:lang w:eastAsia="en-US"/>
        </w:rPr>
        <w:t>DA ADESÃO À ATA DE REGISTRO DE PREÇOS</w:t>
      </w:r>
    </w:p>
    <w:p>
      <w:pPr>
        <w:ind w:right="38" w:rightChars="16"/>
        <w:jc w:val="both"/>
        <w:rPr>
          <w:rFonts w:ascii="Arial" w:hAnsi="Arial" w:cs="Arial"/>
          <w:bCs/>
          <w:szCs w:val="24"/>
        </w:rPr>
      </w:pPr>
      <w:r>
        <w:rPr>
          <w:rFonts w:ascii="Arial" w:hAnsi="Arial" w:cs="Arial"/>
          <w:b/>
          <w:szCs w:val="24"/>
        </w:rPr>
        <w:t xml:space="preserve">16.1. </w:t>
      </w:r>
      <w:r>
        <w:rPr>
          <w:rFonts w:ascii="Arial" w:hAnsi="Arial" w:cs="Arial"/>
          <w:bCs/>
          <w:szCs w:val="24"/>
        </w:rPr>
        <w:t>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10.520/02, Decreto Federal nº 9.488/2018 e no Decreto Federal nº 7.892/2013;</w:t>
      </w:r>
    </w:p>
    <w:p>
      <w:pPr>
        <w:ind w:right="38" w:rightChars="16"/>
        <w:jc w:val="both"/>
        <w:rPr>
          <w:rFonts w:ascii="Arial" w:hAnsi="Arial" w:cs="Arial"/>
          <w:bCs/>
          <w:szCs w:val="24"/>
        </w:rPr>
      </w:pPr>
      <w:r>
        <w:rPr>
          <w:rFonts w:ascii="Arial" w:hAnsi="Arial" w:cs="Arial"/>
          <w:b/>
          <w:szCs w:val="24"/>
        </w:rPr>
        <w:t xml:space="preserve">16.2. </w:t>
      </w:r>
      <w:r>
        <w:rPr>
          <w:rFonts w:ascii="Arial" w:hAnsi="Arial" w:cs="Arial"/>
          <w:bCs/>
          <w:szCs w:val="24"/>
        </w:rPr>
        <w:t>Caberá ao fornecedor detentor do registro na Ata de Registro de Preço, observadas as condições nela estabelecidas, optar pela aceitação ou não do fornecimento, desde que não seja prejudicial às obrigações anteriormente assumidas;</w:t>
      </w:r>
    </w:p>
    <w:p>
      <w:pPr>
        <w:ind w:right="38" w:rightChars="16"/>
        <w:jc w:val="both"/>
        <w:rPr>
          <w:rFonts w:ascii="Arial" w:hAnsi="Arial" w:cs="Arial"/>
          <w:bCs/>
          <w:szCs w:val="24"/>
        </w:rPr>
      </w:pPr>
      <w:r>
        <w:rPr>
          <w:rFonts w:ascii="Arial" w:hAnsi="Arial" w:cs="Arial"/>
          <w:b/>
          <w:szCs w:val="24"/>
        </w:rPr>
        <w:t xml:space="preserve">16.3. </w:t>
      </w:r>
      <w:r>
        <w:rPr>
          <w:rFonts w:ascii="Arial" w:hAnsi="Arial" w:cs="Arial"/>
          <w:bCs/>
          <w:szCs w:val="24"/>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pPr>
        <w:ind w:right="38" w:rightChars="16"/>
        <w:jc w:val="both"/>
        <w:rPr>
          <w:rFonts w:ascii="Arial" w:hAnsi="Arial" w:cs="Arial"/>
          <w:bCs/>
          <w:szCs w:val="24"/>
        </w:rPr>
      </w:pPr>
      <w:r>
        <w:rPr>
          <w:rFonts w:ascii="Arial" w:hAnsi="Arial" w:cs="Arial"/>
          <w:b/>
          <w:szCs w:val="24"/>
        </w:rPr>
        <w:t xml:space="preserve">16.4. </w:t>
      </w:r>
      <w:r>
        <w:rPr>
          <w:rFonts w:ascii="Arial" w:hAnsi="Arial" w:cs="Arial"/>
          <w:bCs/>
          <w:szCs w:val="24"/>
        </w:rPr>
        <w:t>Os quantitativos decorrentes das adesões à ata de registro de preços efetuadas por Órgãos não participantes, não poderão exceder, na totalidade, ao dobro do quantitativo de cada item registrado na Ata de Registro de Preço decorrente deste certame, constantes no Termo de Referência, Anexo I deste Edital, independente do número de órgãos não participantes que aderirem;</w:t>
      </w:r>
    </w:p>
    <w:p>
      <w:pPr>
        <w:ind w:right="38" w:rightChars="16"/>
        <w:jc w:val="both"/>
        <w:rPr>
          <w:rFonts w:ascii="Arial" w:hAnsi="Arial" w:cs="Arial"/>
          <w:bCs/>
          <w:szCs w:val="24"/>
        </w:rPr>
      </w:pPr>
      <w:r>
        <w:rPr>
          <w:rFonts w:ascii="Arial" w:hAnsi="Arial" w:cs="Arial"/>
          <w:b/>
          <w:szCs w:val="24"/>
        </w:rPr>
        <w:t xml:space="preserve">16.5. </w:t>
      </w:r>
      <w:r>
        <w:rPr>
          <w:rFonts w:ascii="Arial" w:hAnsi="Arial" w:cs="Arial"/>
          <w:bCs/>
          <w:szCs w:val="24"/>
        </w:rPr>
        <w:t>No presente certame será possível a adesão a ata de registro de preços por órgãos não participantes vez que a adesão é permitida pelo artigo 22 do Decreto Federal 7.892/2013, pelos órgãos de controle e ainda praticada por diversos órgãos ou entes da administração publica. Ressalta-se ainda que os quantitativos ora licitados serão para atender as necessidades reais da administração e em caso de adesão não ultrapassaram os limites estabelecidos no §4º da do artigo 22 da do Decreto 7892/2013. Desta forma restou justificado a adesão à ata de registro de preços por outros órgãos ou entidade da administração (art. 22 do Decreto 7.892/2013), não ferindo assim o o art. 3º da Lei 8.666/1993, o princípio da motivação dos atos administrativos e o art. 9º, III, do Decreto 7.892/2013;</w:t>
      </w:r>
    </w:p>
    <w:p>
      <w:pPr>
        <w:ind w:right="38" w:rightChars="16"/>
        <w:jc w:val="both"/>
        <w:rPr>
          <w:rFonts w:ascii="Arial" w:hAnsi="Arial" w:cs="Arial"/>
          <w:bCs/>
          <w:szCs w:val="24"/>
        </w:rPr>
      </w:pPr>
      <w:r>
        <w:rPr>
          <w:rFonts w:ascii="Arial" w:hAnsi="Arial" w:cs="Arial"/>
          <w:b/>
          <w:szCs w:val="24"/>
        </w:rPr>
        <w:t xml:space="preserve">16.6. </w:t>
      </w:r>
      <w:r>
        <w:rPr>
          <w:rFonts w:ascii="Arial" w:hAnsi="Arial" w:cs="Arial"/>
          <w:bCs/>
          <w:szCs w:val="24"/>
        </w:rPr>
        <w:t>A Secretaria Municipal de Administração será o órgão responsável pelos atos de controle e administração da Ata de Registro de Preços decorrentes desta licitação, por meio do Setor de Licitações e Contratos.</w:t>
      </w:r>
    </w:p>
    <w:p>
      <w:pPr>
        <w:ind w:right="38" w:rightChars="16"/>
        <w:jc w:val="both"/>
        <w:rPr>
          <w:rFonts w:ascii="Arial" w:hAnsi="Arial" w:cs="Arial"/>
          <w:bCs/>
          <w:szCs w:val="24"/>
        </w:rPr>
      </w:pPr>
    </w:p>
    <w:p>
      <w:pPr>
        <w:jc w:val="both"/>
        <w:rPr>
          <w:rFonts w:ascii="Arial" w:hAnsi="Arial" w:cs="Arial"/>
          <w:b/>
          <w:bCs/>
          <w:szCs w:val="24"/>
        </w:rPr>
      </w:pPr>
      <w:r>
        <w:rPr>
          <w:rFonts w:ascii="Arial" w:hAnsi="Arial" w:cs="Arial"/>
          <w:b/>
          <w:bCs/>
          <w:szCs w:val="24"/>
        </w:rPr>
        <w:t>17.QUANTO A VISITA NO LOCAL DO SERVIÇO</w:t>
      </w:r>
    </w:p>
    <w:p>
      <w:pPr>
        <w:jc w:val="both"/>
        <w:rPr>
          <w:rFonts w:ascii="Arial" w:hAnsi="Arial" w:cs="Arial"/>
          <w:szCs w:val="24"/>
        </w:rPr>
      </w:pPr>
      <w:r>
        <w:rPr>
          <w:rFonts w:ascii="Arial" w:hAnsi="Arial" w:cs="Arial"/>
          <w:b/>
          <w:bCs/>
          <w:szCs w:val="24"/>
        </w:rPr>
        <w:t xml:space="preserve"> </w:t>
      </w:r>
      <w:r>
        <w:rPr>
          <w:rFonts w:ascii="Arial" w:hAnsi="Arial" w:cs="Arial"/>
          <w:szCs w:val="24"/>
        </w:rPr>
        <w:t>Os interessados poderão efetuar a visita em todos os locais da prestação dos serviços, com objetivo de tomar conhecimento de todos os detalhes e particularidades de cada prédio onde serão prestados os serviços, ocasião em que estará disponível um servidor desta municipalidade para acompanhar a referida visita.</w:t>
      </w:r>
    </w:p>
    <w:p>
      <w:pPr>
        <w:jc w:val="both"/>
        <w:rPr>
          <w:rFonts w:ascii="Arial" w:hAnsi="Arial" w:cs="Arial"/>
          <w:szCs w:val="24"/>
        </w:rPr>
      </w:pPr>
      <w:r>
        <w:rPr>
          <w:rFonts w:ascii="Arial" w:hAnsi="Arial" w:cs="Arial"/>
          <w:szCs w:val="24"/>
        </w:rPr>
        <w:t xml:space="preserve"> Após a realização da visita será emitido o ATESTADO DE VISITA pela contratante, através de servidor designado para o fim, documento este necessário para participação da licitação. Em caso de a empresa optar por não realizar a visita técnica, a mesma deverá apresentar em substituição ao atestado de vistoria uma DECLARAÇÃO formal, assinada pelo responsável técnico que fará parte da Documentação de HABILITAÇÃO, de que conhece todo o objeto deste certame e no caso de ser declarada vencedora, que tem totais condições de realizar/executar o serviço desta licitação sem prejuízo na efetiva execução do objeto, e que não utilizará deste para quaisquer questionamentos futuros que ensejem avenças técnicas ou financeiras com a PREFEITURA. Não podendo alegar posteriormente, desconhecimento de qualquer fato relativo às condições dos locais de prestação dos serviços, podendo incorrer em sanções administrativas previstas neste Edital em consonância com a Lei 8.666/93.</w:t>
      </w:r>
    </w:p>
    <w:p>
      <w:pPr>
        <w:jc w:val="both"/>
        <w:rPr>
          <w:rFonts w:ascii="Arial" w:hAnsi="Arial" w:cs="Arial"/>
          <w:szCs w:val="24"/>
        </w:rPr>
      </w:pPr>
      <w:r>
        <w:rPr>
          <w:rFonts w:ascii="Arial" w:hAnsi="Arial" w:cs="Arial"/>
          <w:szCs w:val="24"/>
        </w:rPr>
        <w:t>O presente atestado de visita técnica ou a declaração mencionada no item 22.2. será exigido para habilitação dos interessados no certame licitatório.</w:t>
      </w:r>
    </w:p>
    <w:p>
      <w:pPr>
        <w:jc w:val="both"/>
        <w:rPr>
          <w:rFonts w:ascii="Arial" w:hAnsi="Arial" w:cs="Arial"/>
          <w:szCs w:val="24"/>
        </w:rPr>
      </w:pPr>
    </w:p>
    <w:p>
      <w:pPr>
        <w:jc w:val="both"/>
        <w:rPr>
          <w:rFonts w:ascii="Arial" w:hAnsi="Arial" w:cs="Arial"/>
          <w:b/>
          <w:bCs/>
          <w:szCs w:val="24"/>
        </w:rPr>
      </w:pPr>
      <w:r>
        <w:rPr>
          <w:rFonts w:ascii="Arial" w:hAnsi="Arial" w:cs="Arial"/>
          <w:b/>
          <w:bCs/>
          <w:szCs w:val="24"/>
        </w:rPr>
        <w:t>18. QUANTO AOS UNIFORMES</w:t>
      </w:r>
    </w:p>
    <w:p>
      <w:pPr>
        <w:jc w:val="both"/>
        <w:rPr>
          <w:rFonts w:ascii="Arial" w:hAnsi="Arial" w:cs="Arial"/>
          <w:szCs w:val="24"/>
        </w:rPr>
      </w:pPr>
      <w:r>
        <w:rPr>
          <w:rFonts w:ascii="Arial" w:hAnsi="Arial" w:cs="Arial"/>
          <w:szCs w:val="24"/>
        </w:rPr>
        <w:t>Os profissionais indicados para a prestação dos serviços devem se apresentar trajando uniformes sempre limpos, fornecidos às expensas da CONTRATADA.</w:t>
      </w:r>
    </w:p>
    <w:p>
      <w:pPr>
        <w:jc w:val="both"/>
        <w:rPr>
          <w:rFonts w:ascii="Arial" w:hAnsi="Arial" w:cs="Arial"/>
          <w:szCs w:val="24"/>
        </w:rPr>
      </w:pPr>
      <w:r>
        <w:rPr>
          <w:rFonts w:ascii="Arial" w:hAnsi="Arial" w:cs="Arial"/>
          <w:szCs w:val="24"/>
        </w:rPr>
        <w:t>O uniforme deve ser aprovado previamente pela unidade fiscalizadora da PREFEITURA.</w:t>
      </w:r>
    </w:p>
    <w:p>
      <w:pPr>
        <w:jc w:val="both"/>
        <w:rPr>
          <w:rFonts w:ascii="Arial" w:hAnsi="Arial" w:cs="Arial"/>
          <w:szCs w:val="24"/>
        </w:rPr>
      </w:pPr>
      <w:r>
        <w:rPr>
          <w:rFonts w:ascii="Arial" w:hAnsi="Arial" w:cs="Arial"/>
          <w:szCs w:val="24"/>
        </w:rPr>
        <w:t>A entrega do conjunto de uniforme ao(s) funcionário(s) deverá acontecer na presença do executor do contrato, que assinará o recibo de entrega junto com o funcionário.</w:t>
      </w:r>
    </w:p>
    <w:p>
      <w:pPr>
        <w:jc w:val="both"/>
        <w:rPr>
          <w:rFonts w:ascii="Arial" w:hAnsi="Arial" w:cs="Arial"/>
          <w:szCs w:val="24"/>
        </w:rPr>
      </w:pPr>
      <w:r>
        <w:rPr>
          <w:rFonts w:ascii="Arial" w:hAnsi="Arial" w:cs="Arial"/>
          <w:szCs w:val="24"/>
        </w:rPr>
        <w:t>A CONTRATADA não poderá repassar os custos do uniforme a seus empregados.</w:t>
      </w:r>
    </w:p>
    <w:p>
      <w:pPr>
        <w:jc w:val="both"/>
        <w:rPr>
          <w:rFonts w:ascii="Arial" w:hAnsi="Arial" w:cs="Arial"/>
          <w:b/>
          <w:bCs/>
          <w:szCs w:val="24"/>
        </w:rPr>
      </w:pPr>
    </w:p>
    <w:p>
      <w:pPr>
        <w:jc w:val="both"/>
        <w:rPr>
          <w:rFonts w:ascii="Arial" w:hAnsi="Arial" w:cs="Arial"/>
          <w:b/>
          <w:bCs/>
          <w:szCs w:val="24"/>
        </w:rPr>
      </w:pPr>
    </w:p>
    <w:p>
      <w:pPr>
        <w:numPr>
          <w:ilvl w:val="0"/>
          <w:numId w:val="0"/>
        </w:numPr>
        <w:jc w:val="both"/>
        <w:rPr>
          <w:rFonts w:ascii="Arial" w:hAnsi="Arial" w:cs="Arial"/>
          <w:b/>
          <w:bCs/>
          <w:szCs w:val="24"/>
        </w:rPr>
      </w:pPr>
      <w:r>
        <w:rPr>
          <w:rFonts w:ascii="Arial" w:hAnsi="Arial" w:cs="Arial"/>
          <w:b/>
          <w:bCs/>
          <w:szCs w:val="24"/>
        </w:rPr>
        <w:t xml:space="preserve">19. QUANTO AS PLANILHAS DE CUSTOS E FORMAÇÃO DE PREÇOS </w:t>
      </w:r>
    </w:p>
    <w:p>
      <w:pPr>
        <w:jc w:val="both"/>
        <w:rPr>
          <w:rFonts w:ascii="Arial" w:hAnsi="Arial" w:cs="Arial"/>
          <w:szCs w:val="24"/>
        </w:rPr>
      </w:pPr>
      <w:r>
        <w:rPr>
          <w:rFonts w:ascii="Arial" w:hAnsi="Arial" w:cs="Arial"/>
          <w:szCs w:val="24"/>
        </w:rPr>
        <w:t>A indicação, nas tabelas ao final deste documento (em anexo), da jornada de trabalho dos empregados alocados para a prestação dos serviços foi efetuada apenas como exemplo de elaboração do orçamento estimado da Administração, levando em conta observância à legislação trabalhista, bem como a composição dos demais custos para o bom andamento da prestação de serviços, sendo que os insumos deverão ser levados em conta principalmente km rodados, para que posteriormente não se alegue a não cotação correta de km rodados diariamente .</w:t>
      </w: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rPr>
          <w:sz w:val="20"/>
          <w:szCs w:val="24"/>
        </w:rPr>
      </w:pPr>
    </w:p>
    <w:p>
      <w:pPr>
        <w:spacing w:before="89"/>
        <w:ind w:left="686" w:right="237"/>
        <w:jc w:val="center"/>
        <w:rPr>
          <w:rFonts w:ascii="Arial" w:hAnsi="Arial" w:cs="Arial"/>
          <w:b/>
          <w:szCs w:val="24"/>
        </w:rPr>
      </w:pPr>
      <w:r>
        <w:rPr>
          <w:rFonts w:ascii="Arial" w:hAnsi="Arial" w:cs="Arial"/>
          <w:b/>
          <w:szCs w:val="24"/>
        </w:rPr>
        <w:t>ANEXOS</w:t>
      </w:r>
      <w:r>
        <w:rPr>
          <w:rFonts w:ascii="Arial" w:hAnsi="Arial" w:cs="Arial"/>
          <w:b/>
          <w:spacing w:val="-3"/>
          <w:szCs w:val="24"/>
        </w:rPr>
        <w:t xml:space="preserve"> </w:t>
      </w:r>
      <w:r>
        <w:rPr>
          <w:rFonts w:ascii="Arial" w:hAnsi="Arial" w:cs="Arial"/>
          <w:b/>
          <w:szCs w:val="24"/>
        </w:rPr>
        <w:t>ITEM</w:t>
      </w:r>
      <w:r>
        <w:rPr>
          <w:rFonts w:ascii="Arial" w:hAnsi="Arial" w:cs="Arial"/>
          <w:b/>
          <w:spacing w:val="-6"/>
          <w:szCs w:val="24"/>
        </w:rPr>
        <w:t xml:space="preserve"> </w:t>
      </w:r>
      <w:r>
        <w:rPr>
          <w:rFonts w:ascii="Arial" w:hAnsi="Arial" w:cs="Arial"/>
          <w:b/>
          <w:szCs w:val="24"/>
        </w:rPr>
        <w:t>PLANILHAS</w:t>
      </w:r>
      <w:r>
        <w:rPr>
          <w:rFonts w:ascii="Arial" w:hAnsi="Arial" w:cs="Arial"/>
          <w:b/>
          <w:spacing w:val="-2"/>
          <w:szCs w:val="24"/>
        </w:rPr>
        <w:t xml:space="preserve"> </w:t>
      </w:r>
      <w:r>
        <w:rPr>
          <w:rFonts w:ascii="Arial" w:hAnsi="Arial" w:cs="Arial"/>
          <w:b/>
          <w:szCs w:val="24"/>
        </w:rPr>
        <w:t>DE</w:t>
      </w:r>
      <w:r>
        <w:rPr>
          <w:rFonts w:ascii="Arial" w:hAnsi="Arial" w:cs="Arial"/>
          <w:b/>
          <w:spacing w:val="-1"/>
          <w:szCs w:val="24"/>
        </w:rPr>
        <w:t xml:space="preserve"> </w:t>
      </w:r>
      <w:r>
        <w:rPr>
          <w:rFonts w:ascii="Arial" w:hAnsi="Arial" w:cs="Arial"/>
          <w:b/>
          <w:szCs w:val="24"/>
        </w:rPr>
        <w:t>CUSTOS</w:t>
      </w:r>
      <w:r>
        <w:rPr>
          <w:rFonts w:ascii="Arial" w:hAnsi="Arial" w:cs="Arial"/>
          <w:b/>
          <w:spacing w:val="-2"/>
          <w:szCs w:val="24"/>
        </w:rPr>
        <w:t xml:space="preserve"> </w:t>
      </w:r>
      <w:r>
        <w:rPr>
          <w:rFonts w:ascii="Arial" w:hAnsi="Arial" w:cs="Arial"/>
          <w:b/>
          <w:szCs w:val="24"/>
        </w:rPr>
        <w:t>E</w:t>
      </w:r>
      <w:r>
        <w:rPr>
          <w:rFonts w:ascii="Arial" w:hAnsi="Arial" w:cs="Arial"/>
          <w:b/>
          <w:spacing w:val="-3"/>
          <w:szCs w:val="24"/>
        </w:rPr>
        <w:t xml:space="preserve"> </w:t>
      </w:r>
      <w:r>
        <w:rPr>
          <w:rFonts w:ascii="Arial" w:hAnsi="Arial" w:cs="Arial"/>
          <w:b/>
          <w:szCs w:val="24"/>
        </w:rPr>
        <w:t>FORMAÇÃO</w:t>
      </w:r>
      <w:r>
        <w:rPr>
          <w:rFonts w:ascii="Arial" w:hAnsi="Arial" w:cs="Arial"/>
          <w:b/>
          <w:spacing w:val="-3"/>
          <w:szCs w:val="24"/>
        </w:rPr>
        <w:t xml:space="preserve"> </w:t>
      </w:r>
      <w:r>
        <w:rPr>
          <w:rFonts w:ascii="Arial" w:hAnsi="Arial" w:cs="Arial"/>
          <w:b/>
          <w:szCs w:val="24"/>
        </w:rPr>
        <w:t>DE</w:t>
      </w:r>
      <w:r>
        <w:rPr>
          <w:rFonts w:ascii="Arial" w:hAnsi="Arial" w:cs="Arial"/>
          <w:b/>
          <w:spacing w:val="-2"/>
          <w:szCs w:val="24"/>
        </w:rPr>
        <w:t xml:space="preserve"> </w:t>
      </w:r>
      <w:r>
        <w:rPr>
          <w:rFonts w:ascii="Arial" w:hAnsi="Arial" w:cs="Arial"/>
          <w:b/>
          <w:szCs w:val="24"/>
        </w:rPr>
        <w:t>PREÇOS</w:t>
      </w:r>
    </w:p>
    <w:p>
      <w:pPr>
        <w:pStyle w:val="21"/>
        <w:spacing w:before="3"/>
        <w:jc w:val="center"/>
        <w:rPr>
          <w:rFonts w:ascii="Arial" w:hAnsi="Arial" w:cs="Arial"/>
          <w:b/>
          <w:szCs w:val="24"/>
        </w:rPr>
      </w:pPr>
    </w:p>
    <w:p>
      <w:pPr>
        <w:ind w:left="682" w:right="237"/>
        <w:jc w:val="center"/>
        <w:rPr>
          <w:rFonts w:ascii="Arial" w:hAnsi="Arial" w:cs="Arial"/>
          <w:szCs w:val="24"/>
        </w:rPr>
      </w:pPr>
      <w:r>
        <w:rPr>
          <w:rFonts w:ascii="Arial" w:hAnsi="Arial" w:cs="Arial"/>
          <w:szCs w:val="24"/>
        </w:rPr>
        <w:t>PLANILHA</w:t>
      </w:r>
      <w:r>
        <w:rPr>
          <w:rFonts w:ascii="Arial" w:hAnsi="Arial" w:cs="Arial"/>
          <w:spacing w:val="-7"/>
          <w:szCs w:val="24"/>
        </w:rPr>
        <w:t xml:space="preserve"> </w:t>
      </w:r>
      <w:r>
        <w:rPr>
          <w:rFonts w:ascii="Arial" w:hAnsi="Arial" w:cs="Arial"/>
          <w:szCs w:val="24"/>
        </w:rPr>
        <w:t>PARA</w:t>
      </w:r>
      <w:r>
        <w:rPr>
          <w:rFonts w:ascii="Arial" w:hAnsi="Arial" w:cs="Arial"/>
          <w:spacing w:val="-2"/>
          <w:szCs w:val="24"/>
        </w:rPr>
        <w:t xml:space="preserve"> </w:t>
      </w:r>
      <w:r>
        <w:rPr>
          <w:rFonts w:ascii="Arial" w:hAnsi="Arial" w:cs="Arial"/>
          <w:szCs w:val="24"/>
        </w:rPr>
        <w:t>COMPOSIÇÃO</w:t>
      </w:r>
      <w:r>
        <w:rPr>
          <w:rFonts w:ascii="Arial" w:hAnsi="Arial" w:cs="Arial"/>
          <w:spacing w:val="-4"/>
          <w:szCs w:val="24"/>
        </w:rPr>
        <w:t xml:space="preserve"> </w:t>
      </w:r>
      <w:r>
        <w:rPr>
          <w:rFonts w:ascii="Arial" w:hAnsi="Arial" w:cs="Arial"/>
          <w:szCs w:val="24"/>
        </w:rPr>
        <w:t>DOS</w:t>
      </w:r>
      <w:r>
        <w:rPr>
          <w:rFonts w:ascii="Arial" w:hAnsi="Arial" w:cs="Arial"/>
          <w:spacing w:val="-7"/>
          <w:szCs w:val="24"/>
        </w:rPr>
        <w:t xml:space="preserve"> </w:t>
      </w:r>
      <w:r>
        <w:rPr>
          <w:rFonts w:ascii="Arial" w:hAnsi="Arial" w:cs="Arial"/>
          <w:szCs w:val="24"/>
        </w:rPr>
        <w:t>CUSTOS</w:t>
      </w:r>
      <w:r>
        <w:rPr>
          <w:rFonts w:ascii="Arial" w:hAnsi="Arial" w:cs="Arial"/>
          <w:spacing w:val="-6"/>
          <w:szCs w:val="24"/>
        </w:rPr>
        <w:t xml:space="preserve"> </w:t>
      </w:r>
      <w:r>
        <w:rPr>
          <w:rFonts w:ascii="Arial" w:hAnsi="Arial" w:cs="Arial"/>
          <w:szCs w:val="24"/>
        </w:rPr>
        <w:t>COM</w:t>
      </w:r>
      <w:r>
        <w:rPr>
          <w:rFonts w:ascii="Arial" w:hAnsi="Arial" w:cs="Arial"/>
          <w:spacing w:val="-5"/>
          <w:szCs w:val="24"/>
        </w:rPr>
        <w:t xml:space="preserve"> </w:t>
      </w:r>
      <w:r>
        <w:rPr>
          <w:rFonts w:ascii="Arial" w:hAnsi="Arial" w:cs="Arial"/>
          <w:szCs w:val="24"/>
        </w:rPr>
        <w:t>MÃO-DE-OBRA</w:t>
      </w:r>
    </w:p>
    <w:p>
      <w:pPr>
        <w:pStyle w:val="21"/>
        <w:spacing w:before="6"/>
        <w:jc w:val="center"/>
        <w:rPr>
          <w:rFonts w:ascii="Arial" w:hAnsi="Arial" w:cs="Arial"/>
          <w:szCs w:val="24"/>
        </w:rPr>
      </w:pPr>
    </w:p>
    <w:p>
      <w:pPr>
        <w:ind w:left="212"/>
        <w:jc w:val="center"/>
        <w:rPr>
          <w:rFonts w:ascii="Arial" w:hAnsi="Arial" w:cs="Arial"/>
          <w:b/>
          <w:szCs w:val="24"/>
        </w:rPr>
      </w:pPr>
      <w:r>
        <w:rPr>
          <w:rFonts w:ascii="Arial" w:hAnsi="Arial" w:cs="Arial"/>
          <w:b/>
          <w:szCs w:val="24"/>
        </w:rPr>
        <w:t>COMPOSIÇÃO</w:t>
      </w:r>
      <w:r>
        <w:rPr>
          <w:rFonts w:ascii="Arial" w:hAnsi="Arial" w:cs="Arial"/>
          <w:b/>
          <w:spacing w:val="-5"/>
          <w:szCs w:val="24"/>
        </w:rPr>
        <w:t xml:space="preserve"> </w:t>
      </w:r>
      <w:r>
        <w:rPr>
          <w:rFonts w:ascii="Arial" w:hAnsi="Arial" w:cs="Arial"/>
          <w:b/>
          <w:szCs w:val="24"/>
        </w:rPr>
        <w:t>DE</w:t>
      </w:r>
      <w:r>
        <w:rPr>
          <w:rFonts w:ascii="Arial" w:hAnsi="Arial" w:cs="Arial"/>
          <w:b/>
          <w:spacing w:val="-3"/>
          <w:szCs w:val="24"/>
        </w:rPr>
        <w:t xml:space="preserve"> </w:t>
      </w:r>
      <w:r>
        <w:rPr>
          <w:rFonts w:ascii="Arial" w:hAnsi="Arial" w:cs="Arial"/>
          <w:b/>
          <w:szCs w:val="24"/>
        </w:rPr>
        <w:t>PREÇO</w:t>
      </w:r>
      <w:r>
        <w:rPr>
          <w:rFonts w:ascii="Arial" w:hAnsi="Arial" w:cs="Arial"/>
          <w:b/>
          <w:spacing w:val="-4"/>
          <w:szCs w:val="24"/>
        </w:rPr>
        <w:t xml:space="preserve"> </w:t>
      </w:r>
      <w:r>
        <w:rPr>
          <w:rFonts w:ascii="Arial" w:hAnsi="Arial" w:cs="Arial"/>
          <w:b/>
          <w:szCs w:val="24"/>
        </w:rPr>
        <w:t>UNITÁRIO</w:t>
      </w:r>
    </w:p>
    <w:p>
      <w:pPr>
        <w:pStyle w:val="21"/>
        <w:spacing w:before="3"/>
        <w:jc w:val="center"/>
        <w:rPr>
          <w:rFonts w:ascii="Arial" w:hAnsi="Arial" w:cs="Arial"/>
          <w:b/>
          <w:szCs w:val="24"/>
        </w:rPr>
      </w:pPr>
    </w:p>
    <w:p>
      <w:pPr>
        <w:ind w:left="212"/>
        <w:jc w:val="center"/>
        <w:rPr>
          <w:rFonts w:ascii="Arial" w:hAnsi="Arial" w:cs="Arial"/>
          <w:b/>
          <w:szCs w:val="24"/>
        </w:rPr>
      </w:pPr>
      <w:r>
        <w:rPr>
          <w:rFonts w:ascii="Arial" w:hAnsi="Arial" w:cs="Arial"/>
          <w:b/>
          <w:szCs w:val="24"/>
        </w:rPr>
        <w:t>OBS:</w:t>
      </w:r>
      <w:r>
        <w:rPr>
          <w:rFonts w:ascii="Arial" w:hAnsi="Arial" w:cs="Arial"/>
          <w:b/>
          <w:spacing w:val="44"/>
          <w:szCs w:val="24"/>
        </w:rPr>
        <w:t xml:space="preserve"> </w:t>
      </w:r>
      <w:r>
        <w:rPr>
          <w:rFonts w:ascii="Arial" w:hAnsi="Arial" w:cs="Arial"/>
          <w:b/>
          <w:szCs w:val="24"/>
        </w:rPr>
        <w:t>AS</w:t>
      </w:r>
      <w:r>
        <w:rPr>
          <w:rFonts w:ascii="Arial" w:hAnsi="Arial" w:cs="Arial"/>
          <w:b/>
          <w:spacing w:val="48"/>
          <w:szCs w:val="24"/>
        </w:rPr>
        <w:t xml:space="preserve"> </w:t>
      </w:r>
      <w:r>
        <w:rPr>
          <w:rFonts w:ascii="Arial" w:hAnsi="Arial" w:cs="Arial"/>
          <w:b/>
          <w:szCs w:val="24"/>
        </w:rPr>
        <w:t>PLANILHAS</w:t>
      </w:r>
      <w:r>
        <w:rPr>
          <w:rFonts w:ascii="Arial" w:hAnsi="Arial" w:cs="Arial"/>
          <w:b/>
          <w:spacing w:val="50"/>
          <w:szCs w:val="24"/>
        </w:rPr>
        <w:t xml:space="preserve"> </w:t>
      </w:r>
      <w:r>
        <w:rPr>
          <w:rFonts w:ascii="Arial" w:hAnsi="Arial" w:cs="Arial"/>
          <w:b/>
          <w:szCs w:val="24"/>
        </w:rPr>
        <w:t>DESTE</w:t>
      </w:r>
      <w:r>
        <w:rPr>
          <w:rFonts w:ascii="Arial" w:hAnsi="Arial" w:cs="Arial"/>
          <w:b/>
          <w:spacing w:val="48"/>
          <w:szCs w:val="24"/>
        </w:rPr>
        <w:t xml:space="preserve"> </w:t>
      </w:r>
      <w:r>
        <w:rPr>
          <w:rFonts w:ascii="Arial" w:hAnsi="Arial" w:cs="Arial"/>
          <w:b/>
          <w:szCs w:val="24"/>
        </w:rPr>
        <w:t>ANEXO</w:t>
      </w:r>
      <w:r>
        <w:rPr>
          <w:rFonts w:ascii="Arial" w:hAnsi="Arial" w:cs="Arial"/>
          <w:b/>
          <w:spacing w:val="47"/>
          <w:szCs w:val="24"/>
        </w:rPr>
        <w:t xml:space="preserve"> </w:t>
      </w:r>
      <w:r>
        <w:rPr>
          <w:rFonts w:ascii="Arial" w:hAnsi="Arial" w:cs="Arial"/>
          <w:b/>
          <w:szCs w:val="24"/>
        </w:rPr>
        <w:t>DEVERÃO</w:t>
      </w:r>
      <w:r>
        <w:rPr>
          <w:rFonts w:ascii="Arial" w:hAnsi="Arial" w:cs="Arial"/>
          <w:b/>
          <w:spacing w:val="48"/>
          <w:szCs w:val="24"/>
        </w:rPr>
        <w:t xml:space="preserve"> </w:t>
      </w:r>
      <w:r>
        <w:rPr>
          <w:rFonts w:ascii="Arial" w:hAnsi="Arial" w:cs="Arial"/>
          <w:b/>
          <w:szCs w:val="24"/>
        </w:rPr>
        <w:t>SER</w:t>
      </w:r>
      <w:r>
        <w:rPr>
          <w:rFonts w:ascii="Arial" w:hAnsi="Arial" w:cs="Arial"/>
          <w:b/>
          <w:spacing w:val="45"/>
          <w:szCs w:val="24"/>
        </w:rPr>
        <w:t xml:space="preserve"> </w:t>
      </w:r>
      <w:r>
        <w:rPr>
          <w:rFonts w:ascii="Arial" w:hAnsi="Arial" w:cs="Arial"/>
          <w:b/>
          <w:szCs w:val="24"/>
        </w:rPr>
        <w:t>APRESENTADAS</w:t>
      </w:r>
      <w:r>
        <w:rPr>
          <w:rFonts w:ascii="Arial" w:hAnsi="Arial" w:cs="Arial"/>
          <w:b/>
          <w:spacing w:val="51"/>
          <w:szCs w:val="24"/>
        </w:rPr>
        <w:t xml:space="preserve"> </w:t>
      </w:r>
      <w:r>
        <w:rPr>
          <w:rFonts w:ascii="Arial" w:hAnsi="Arial" w:cs="Arial"/>
          <w:b/>
          <w:szCs w:val="24"/>
        </w:rPr>
        <w:t>JUNTAMENTE</w:t>
      </w:r>
      <w:r>
        <w:rPr>
          <w:rFonts w:ascii="Arial" w:hAnsi="Arial" w:cs="Arial"/>
          <w:b/>
          <w:spacing w:val="-58"/>
          <w:szCs w:val="24"/>
        </w:rPr>
        <w:t xml:space="preserve"> </w:t>
      </w:r>
      <w:r>
        <w:rPr>
          <w:rFonts w:ascii="Arial" w:hAnsi="Arial" w:cs="Arial"/>
          <w:b/>
          <w:szCs w:val="24"/>
        </w:rPr>
        <w:t>COM</w:t>
      </w:r>
      <w:r>
        <w:rPr>
          <w:rFonts w:ascii="Arial" w:hAnsi="Arial" w:cs="Arial"/>
          <w:b/>
          <w:spacing w:val="-4"/>
          <w:szCs w:val="24"/>
        </w:rPr>
        <w:t xml:space="preserve"> </w:t>
      </w:r>
      <w:r>
        <w:rPr>
          <w:rFonts w:ascii="Arial" w:hAnsi="Arial" w:cs="Arial"/>
          <w:b/>
          <w:szCs w:val="24"/>
        </w:rPr>
        <w:t>A PROPOSTA DE</w:t>
      </w:r>
      <w:r>
        <w:rPr>
          <w:rFonts w:ascii="Arial" w:hAnsi="Arial" w:cs="Arial"/>
          <w:b/>
          <w:spacing w:val="-3"/>
          <w:szCs w:val="24"/>
        </w:rPr>
        <w:t xml:space="preserve"> </w:t>
      </w:r>
      <w:r>
        <w:rPr>
          <w:rFonts w:ascii="Arial" w:hAnsi="Arial" w:cs="Arial"/>
          <w:b/>
          <w:szCs w:val="24"/>
        </w:rPr>
        <w:t>PREÇOS</w:t>
      </w:r>
      <w:r>
        <w:rPr>
          <w:rFonts w:ascii="Arial" w:hAnsi="Arial" w:cs="Arial"/>
          <w:b/>
          <w:spacing w:val="-3"/>
          <w:szCs w:val="24"/>
        </w:rPr>
        <w:t xml:space="preserve"> </w:t>
      </w:r>
      <w:r>
        <w:rPr>
          <w:rFonts w:ascii="Arial" w:hAnsi="Arial" w:cs="Arial"/>
          <w:b/>
          <w:szCs w:val="24"/>
        </w:rPr>
        <w:t>REALINHADA.</w:t>
      </w:r>
    </w:p>
    <w:p>
      <w:pPr>
        <w:ind w:left="212"/>
        <w:jc w:val="center"/>
        <w:rPr>
          <w:rFonts w:ascii="Arial" w:hAnsi="Arial" w:cs="Arial"/>
          <w:b/>
          <w:szCs w:val="24"/>
        </w:rPr>
      </w:pPr>
    </w:p>
    <w:p>
      <w:pPr>
        <w:spacing w:before="2"/>
        <w:ind w:left="1002" w:right="1002"/>
        <w:jc w:val="center"/>
        <w:rPr>
          <w:rFonts w:ascii="Arial" w:hAnsi="Arial" w:cs="Arial"/>
          <w:b/>
          <w:szCs w:val="24"/>
        </w:rPr>
      </w:pPr>
      <w:r>
        <w:rPr>
          <w:rFonts w:ascii="Arial" w:hAnsi="Arial" w:cs="Arial"/>
          <w:b/>
          <w:szCs w:val="24"/>
        </w:rPr>
        <w:t>PLANILHA</w:t>
      </w:r>
      <w:r>
        <w:rPr>
          <w:rFonts w:ascii="Arial" w:hAnsi="Arial" w:cs="Arial"/>
          <w:b/>
          <w:spacing w:val="-5"/>
          <w:szCs w:val="24"/>
        </w:rPr>
        <w:t xml:space="preserve"> </w:t>
      </w:r>
      <w:r>
        <w:rPr>
          <w:rFonts w:ascii="Arial" w:hAnsi="Arial" w:cs="Arial"/>
          <w:b/>
          <w:szCs w:val="24"/>
        </w:rPr>
        <w:t>DE</w:t>
      </w:r>
      <w:r>
        <w:rPr>
          <w:rFonts w:ascii="Arial" w:hAnsi="Arial" w:cs="Arial"/>
          <w:b/>
          <w:spacing w:val="-1"/>
          <w:szCs w:val="24"/>
        </w:rPr>
        <w:t xml:space="preserve"> </w:t>
      </w:r>
      <w:r>
        <w:rPr>
          <w:rFonts w:ascii="Arial" w:hAnsi="Arial" w:cs="Arial"/>
          <w:b/>
          <w:szCs w:val="24"/>
        </w:rPr>
        <w:t>CUSTOS</w:t>
      </w:r>
      <w:r>
        <w:rPr>
          <w:rFonts w:ascii="Arial" w:hAnsi="Arial" w:cs="Arial"/>
          <w:b/>
          <w:spacing w:val="-2"/>
          <w:szCs w:val="24"/>
        </w:rPr>
        <w:t xml:space="preserve"> </w:t>
      </w:r>
      <w:r>
        <w:rPr>
          <w:rFonts w:ascii="Arial" w:hAnsi="Arial" w:cs="Arial"/>
          <w:b/>
          <w:szCs w:val="24"/>
        </w:rPr>
        <w:t>E</w:t>
      </w:r>
      <w:r>
        <w:rPr>
          <w:rFonts w:ascii="Arial" w:hAnsi="Arial" w:cs="Arial"/>
          <w:b/>
          <w:spacing w:val="-4"/>
          <w:szCs w:val="24"/>
        </w:rPr>
        <w:t xml:space="preserve"> </w:t>
      </w:r>
      <w:r>
        <w:rPr>
          <w:rFonts w:ascii="Arial" w:hAnsi="Arial" w:cs="Arial"/>
          <w:b/>
          <w:szCs w:val="24"/>
        </w:rPr>
        <w:t>FORMAÇÃO</w:t>
      </w:r>
      <w:r>
        <w:rPr>
          <w:rFonts w:ascii="Arial" w:hAnsi="Arial" w:cs="Arial"/>
          <w:b/>
          <w:spacing w:val="-5"/>
          <w:szCs w:val="24"/>
        </w:rPr>
        <w:t xml:space="preserve"> </w:t>
      </w:r>
      <w:r>
        <w:rPr>
          <w:rFonts w:ascii="Arial" w:hAnsi="Arial" w:cs="Arial"/>
          <w:b/>
          <w:szCs w:val="24"/>
        </w:rPr>
        <w:t>DE</w:t>
      </w:r>
      <w:r>
        <w:rPr>
          <w:rFonts w:ascii="Arial" w:hAnsi="Arial" w:cs="Arial"/>
          <w:b/>
          <w:spacing w:val="-1"/>
          <w:szCs w:val="24"/>
        </w:rPr>
        <w:t xml:space="preserve"> </w:t>
      </w:r>
      <w:r>
        <w:rPr>
          <w:rFonts w:ascii="Arial" w:hAnsi="Arial" w:cs="Arial"/>
          <w:b/>
          <w:szCs w:val="24"/>
        </w:rPr>
        <w:t>PREÇOS</w:t>
      </w:r>
    </w:p>
    <w:p>
      <w:pPr>
        <w:jc w:val="center"/>
        <w:rPr>
          <w:rFonts w:ascii="Arial" w:hAnsi="Arial" w:cs="Arial"/>
          <w:b/>
          <w:szCs w:val="24"/>
        </w:rPr>
      </w:pPr>
      <w:r>
        <w:rPr>
          <w:rFonts w:ascii="Arial" w:hAnsi="Arial" w:cs="Arial"/>
          <w:b/>
          <w:szCs w:val="24"/>
        </w:rPr>
        <w:t>MODELO</w:t>
      </w:r>
      <w:r>
        <w:rPr>
          <w:rFonts w:ascii="Arial" w:hAnsi="Arial" w:cs="Arial"/>
          <w:b/>
          <w:spacing w:val="-4"/>
          <w:szCs w:val="24"/>
        </w:rPr>
        <w:t xml:space="preserve"> </w:t>
      </w:r>
      <w:r>
        <w:rPr>
          <w:rFonts w:ascii="Arial" w:hAnsi="Arial" w:cs="Arial"/>
          <w:b/>
          <w:szCs w:val="24"/>
        </w:rPr>
        <w:t>PARA</w:t>
      </w:r>
      <w:r>
        <w:rPr>
          <w:rFonts w:ascii="Arial" w:hAnsi="Arial" w:cs="Arial"/>
          <w:b/>
          <w:spacing w:val="-3"/>
          <w:szCs w:val="24"/>
        </w:rPr>
        <w:t xml:space="preserve"> </w:t>
      </w:r>
      <w:r>
        <w:rPr>
          <w:rFonts w:ascii="Arial" w:hAnsi="Arial" w:cs="Arial"/>
          <w:b/>
          <w:szCs w:val="24"/>
        </w:rPr>
        <w:t>A</w:t>
      </w:r>
      <w:r>
        <w:rPr>
          <w:rFonts w:ascii="Arial" w:hAnsi="Arial" w:cs="Arial"/>
          <w:b/>
          <w:spacing w:val="-5"/>
          <w:szCs w:val="24"/>
        </w:rPr>
        <w:t xml:space="preserve"> </w:t>
      </w:r>
      <w:r>
        <w:rPr>
          <w:rFonts w:ascii="Arial" w:hAnsi="Arial" w:cs="Arial"/>
          <w:b/>
          <w:szCs w:val="24"/>
        </w:rPr>
        <w:t>CONSOLIDAÇÃO</w:t>
      </w:r>
      <w:r>
        <w:rPr>
          <w:rFonts w:ascii="Arial" w:hAnsi="Arial" w:cs="Arial"/>
          <w:b/>
          <w:spacing w:val="-4"/>
          <w:szCs w:val="24"/>
        </w:rPr>
        <w:t xml:space="preserve"> </w:t>
      </w:r>
      <w:r>
        <w:rPr>
          <w:rFonts w:ascii="Arial" w:hAnsi="Arial" w:cs="Arial"/>
          <w:b/>
          <w:szCs w:val="24"/>
        </w:rPr>
        <w:t>E</w:t>
      </w:r>
      <w:r>
        <w:rPr>
          <w:rFonts w:ascii="Arial" w:hAnsi="Arial" w:cs="Arial"/>
          <w:b/>
          <w:spacing w:val="-6"/>
          <w:szCs w:val="24"/>
        </w:rPr>
        <w:t xml:space="preserve"> </w:t>
      </w:r>
      <w:r>
        <w:rPr>
          <w:rFonts w:ascii="Arial" w:hAnsi="Arial" w:cs="Arial"/>
          <w:b/>
          <w:szCs w:val="24"/>
        </w:rPr>
        <w:t>APRESENTAÇÃO</w:t>
      </w:r>
      <w:r>
        <w:rPr>
          <w:rFonts w:ascii="Arial" w:hAnsi="Arial" w:cs="Arial"/>
          <w:b/>
          <w:spacing w:val="-5"/>
          <w:szCs w:val="24"/>
        </w:rPr>
        <w:t xml:space="preserve"> </w:t>
      </w:r>
      <w:r>
        <w:rPr>
          <w:rFonts w:ascii="Arial" w:hAnsi="Arial" w:cs="Arial"/>
          <w:b/>
          <w:szCs w:val="24"/>
        </w:rPr>
        <w:t>DE</w:t>
      </w:r>
      <w:r>
        <w:rPr>
          <w:rFonts w:ascii="Arial" w:hAnsi="Arial" w:cs="Arial"/>
          <w:b/>
          <w:spacing w:val="-3"/>
          <w:szCs w:val="24"/>
        </w:rPr>
        <w:t xml:space="preserve"> </w:t>
      </w:r>
      <w:r>
        <w:rPr>
          <w:rFonts w:ascii="Arial" w:hAnsi="Arial" w:cs="Arial"/>
          <w:b/>
          <w:szCs w:val="24"/>
        </w:rPr>
        <w:t>PROPOSTAS</w:t>
      </w:r>
    </w:p>
    <w:p>
      <w:pPr>
        <w:jc w:val="center"/>
        <w:rPr>
          <w:rFonts w:ascii="Arial" w:hAnsi="Arial" w:cs="Arial"/>
          <w:b/>
          <w:szCs w:val="24"/>
        </w:rPr>
      </w:pPr>
    </w:p>
    <w:p>
      <w:pPr>
        <w:pStyle w:val="31"/>
        <w:widowControl w:val="0"/>
        <w:spacing w:before="120" w:after="120"/>
        <w:jc w:val="center"/>
        <w:rPr>
          <w:rFonts w:ascii="Arial" w:hAnsi="Arial" w:eastAsia="Calibri"/>
          <w:b/>
        </w:rPr>
      </w:pPr>
      <w:r>
        <w:rPr>
          <w:rFonts w:ascii="Arial" w:hAnsi="Arial" w:eastAsia="Calibri"/>
          <w:b/>
        </w:rPr>
        <w:t>PREGÃO ELETRÔNICO Nº 040/2023</w:t>
      </w:r>
    </w:p>
    <w:p>
      <w:pPr>
        <w:pStyle w:val="20"/>
        <w:widowControl w:val="0"/>
        <w:spacing w:before="120" w:after="120"/>
        <w:ind w:left="0" w:firstLine="0"/>
        <w:jc w:val="center"/>
        <w:rPr>
          <w:rFonts w:ascii="Arial" w:hAnsi="Arial" w:eastAsia="Calibri"/>
          <w:b/>
        </w:rPr>
      </w:pPr>
      <w:r>
        <w:rPr>
          <w:rFonts w:ascii="Arial" w:hAnsi="Arial" w:eastAsia="Calibri"/>
          <w:b/>
        </w:rPr>
        <w:t>ANEXO I-A</w:t>
      </w:r>
    </w:p>
    <w:p>
      <w:pPr>
        <w:widowControl w:val="0"/>
        <w:spacing w:before="120" w:after="120"/>
        <w:jc w:val="center"/>
        <w:rPr>
          <w:rFonts w:ascii="Arial" w:hAnsi="Arial" w:eastAsia="Calibri"/>
          <w:b/>
        </w:rPr>
      </w:pPr>
      <w:r>
        <w:rPr>
          <w:rFonts w:ascii="Arial" w:hAnsi="Arial" w:eastAsia="Calibri"/>
          <w:b/>
        </w:rPr>
        <w:t>Ampla Participação</w:t>
      </w:r>
    </w:p>
    <w:tbl>
      <w:tblPr>
        <w:tblStyle w:val="12"/>
        <w:tblW w:w="9300" w:type="dxa"/>
        <w:tblInd w:w="0" w:type="dxa"/>
        <w:tblLayout w:type="fixed"/>
        <w:tblCellMar>
          <w:top w:w="0" w:type="dxa"/>
          <w:left w:w="0" w:type="dxa"/>
          <w:bottom w:w="0" w:type="dxa"/>
          <w:right w:w="0" w:type="dxa"/>
        </w:tblCellMar>
      </w:tblPr>
      <w:tblGrid>
        <w:gridCol w:w="597"/>
        <w:gridCol w:w="4238"/>
        <w:gridCol w:w="283"/>
        <w:gridCol w:w="270"/>
        <w:gridCol w:w="1195"/>
        <w:gridCol w:w="2717"/>
      </w:tblGrid>
      <w:tr>
        <w:tblPrEx>
          <w:tblCellMar>
            <w:top w:w="0" w:type="dxa"/>
            <w:left w:w="0" w:type="dxa"/>
            <w:bottom w:w="0" w:type="dxa"/>
            <w:right w:w="0" w:type="dxa"/>
          </w:tblCellMar>
        </w:tblPrEx>
        <w:trPr>
          <w:trHeight w:val="1211" w:hRule="atLeast"/>
        </w:trPr>
        <w:tc>
          <w:tcPr>
            <w:tcW w:w="9300" w:type="dxa"/>
            <w:gridSpan w:val="6"/>
            <w:tcBorders>
              <w:top w:val="nil"/>
              <w:left w:val="nil"/>
              <w:bottom w:val="nil"/>
              <w:right w:val="nil"/>
            </w:tcBorders>
            <w:tcMar>
              <w:top w:w="15" w:type="dxa"/>
              <w:left w:w="15" w:type="dxa"/>
              <w:right w:w="15" w:type="dxa"/>
            </w:tcMar>
            <w:vAlign w:val="center"/>
          </w:tcPr>
          <w:p>
            <w:pPr>
              <w:jc w:val="center"/>
              <w:textAlignment w:val="center"/>
              <w:rPr>
                <w:b/>
                <w:color w:val="000000"/>
              </w:rPr>
            </w:pPr>
            <w:r>
              <w:rPr>
                <w:b/>
                <w:color w:val="000000"/>
                <w:szCs w:val="24"/>
                <w:lang w:val="pt-BR" w:eastAsia="zh-CN" w:bidi="ar"/>
              </w:rPr>
              <w:t>O modelo a seguir deve ser obrigatoriamente observado por todos os órgãos ou entidades contratantes, podendo ser adaptado às eventuais disposições contrárias constantes em Lei, Acordos, Convenções e Dissídios Coletivos de Trabalho. Na hipótese de adaptação, os órgãos e entidades deverão validar as alterações junto à Secretaria de Estado de Planejamento e Gestão.</w:t>
            </w:r>
          </w:p>
        </w:tc>
      </w:tr>
      <w:tr>
        <w:tblPrEx>
          <w:tblCellMar>
            <w:top w:w="0" w:type="dxa"/>
            <w:left w:w="0" w:type="dxa"/>
            <w:bottom w:w="0" w:type="dxa"/>
            <w:right w:w="0" w:type="dxa"/>
          </w:tblCellMar>
        </w:tblPrEx>
        <w:trPr>
          <w:trHeight w:val="393" w:hRule="atLeast"/>
        </w:trPr>
        <w:tc>
          <w:tcPr>
            <w:tcW w:w="597" w:type="dxa"/>
            <w:tcBorders>
              <w:top w:val="nil"/>
              <w:left w:val="nil"/>
              <w:bottom w:val="nil"/>
              <w:right w:val="nil"/>
            </w:tcBorders>
            <w:tcMar>
              <w:top w:w="15" w:type="dxa"/>
              <w:left w:w="15" w:type="dxa"/>
              <w:right w:w="15" w:type="dxa"/>
            </w:tcMar>
            <w:vAlign w:val="center"/>
          </w:tcPr>
          <w:p>
            <w:pPr>
              <w:jc w:val="center"/>
              <w:rPr>
                <w:b/>
                <w:color w:val="000000"/>
                <w:szCs w:val="24"/>
              </w:rPr>
            </w:pPr>
          </w:p>
        </w:tc>
        <w:tc>
          <w:tcPr>
            <w:tcW w:w="4791" w:type="dxa"/>
            <w:gridSpan w:val="3"/>
            <w:tcBorders>
              <w:top w:val="nil"/>
              <w:left w:val="nil"/>
              <w:bottom w:val="nil"/>
              <w:right w:val="nil"/>
            </w:tcBorders>
            <w:tcMar>
              <w:top w:w="15" w:type="dxa"/>
              <w:left w:w="15" w:type="dxa"/>
              <w:right w:w="15" w:type="dxa"/>
            </w:tcMar>
            <w:vAlign w:val="center"/>
          </w:tcPr>
          <w:p>
            <w:pPr>
              <w:jc w:val="center"/>
              <w:rPr>
                <w:b/>
                <w:color w:val="000000"/>
                <w:szCs w:val="24"/>
              </w:rPr>
            </w:pPr>
          </w:p>
        </w:tc>
        <w:tc>
          <w:tcPr>
            <w:tcW w:w="1195" w:type="dxa"/>
            <w:tcBorders>
              <w:top w:val="nil"/>
              <w:left w:val="nil"/>
              <w:bottom w:val="nil"/>
              <w:right w:val="nil"/>
            </w:tcBorders>
            <w:tcMar>
              <w:top w:w="15" w:type="dxa"/>
              <w:left w:w="15" w:type="dxa"/>
              <w:right w:w="15" w:type="dxa"/>
            </w:tcMar>
            <w:vAlign w:val="center"/>
          </w:tcPr>
          <w:p>
            <w:pPr>
              <w:jc w:val="center"/>
              <w:rPr>
                <w:b/>
                <w:color w:val="000000"/>
                <w:szCs w:val="24"/>
              </w:rPr>
            </w:pPr>
          </w:p>
        </w:tc>
        <w:tc>
          <w:tcPr>
            <w:tcW w:w="2717" w:type="dxa"/>
            <w:tcBorders>
              <w:top w:val="nil"/>
              <w:left w:val="nil"/>
              <w:bottom w:val="nil"/>
              <w:right w:val="nil"/>
            </w:tcBorders>
            <w:tcMar>
              <w:top w:w="15" w:type="dxa"/>
              <w:left w:w="15" w:type="dxa"/>
              <w:right w:w="15" w:type="dxa"/>
            </w:tcMar>
            <w:vAlign w:val="center"/>
          </w:tcPr>
          <w:p>
            <w:pPr>
              <w:jc w:val="center"/>
              <w:rPr>
                <w:b/>
                <w:color w:val="000000"/>
                <w:szCs w:val="24"/>
              </w:rPr>
            </w:pPr>
          </w:p>
        </w:tc>
      </w:tr>
      <w:tr>
        <w:tblPrEx>
          <w:tblCellMar>
            <w:top w:w="0" w:type="dxa"/>
            <w:left w:w="0" w:type="dxa"/>
            <w:bottom w:w="0" w:type="dxa"/>
            <w:right w:w="0" w:type="dxa"/>
          </w:tblCellMar>
        </w:tblPrEx>
        <w:trPr>
          <w:trHeight w:val="1211" w:hRule="atLeast"/>
        </w:trPr>
        <w:tc>
          <w:tcPr>
            <w:tcW w:w="9300" w:type="dxa"/>
            <w:gridSpan w:val="6"/>
            <w:tcBorders>
              <w:top w:val="nil"/>
              <w:left w:val="nil"/>
              <w:bottom w:val="nil"/>
              <w:right w:val="nil"/>
            </w:tcBorders>
            <w:tcMar>
              <w:top w:w="15" w:type="dxa"/>
              <w:left w:w="15" w:type="dxa"/>
              <w:right w:w="15" w:type="dxa"/>
            </w:tcMar>
            <w:vAlign w:val="center"/>
          </w:tcPr>
          <w:p>
            <w:pPr>
              <w:jc w:val="center"/>
              <w:textAlignment w:val="center"/>
              <w:rPr>
                <w:color w:val="000000"/>
              </w:rPr>
            </w:pPr>
            <w:r>
              <w:rPr>
                <w:color w:val="000000"/>
                <w:szCs w:val="24"/>
                <w:lang w:val="pt-BR" w:eastAsia="zh-CN" w:bidi="ar"/>
              </w:rPr>
              <w:t xml:space="preserve">Este modelo está arquitetado de acordo com a Instrução Normativa 01, de 17 de janeiro de 2020, </w:t>
            </w:r>
            <w:r>
              <w:rPr>
                <w:color w:val="000000"/>
                <w:szCs w:val="24"/>
                <w:lang w:eastAsia="zh-CN" w:bidi="ar"/>
              </w:rPr>
              <w:t xml:space="preserve"> </w:t>
            </w:r>
            <w:r>
              <w:rPr>
                <w:color w:val="000000"/>
                <w:szCs w:val="24"/>
                <w:lang w:val="pt-BR" w:eastAsia="zh-CN" w:bidi="ar"/>
              </w:rPr>
              <w:t>da Secretaria de Estado de Planejamento e Gestão de Mato Grosso.</w:t>
            </w:r>
          </w:p>
        </w:tc>
      </w:tr>
      <w:tr>
        <w:tblPrEx>
          <w:tblCellMar>
            <w:top w:w="0" w:type="dxa"/>
            <w:left w:w="0" w:type="dxa"/>
            <w:bottom w:w="0" w:type="dxa"/>
            <w:right w:w="0" w:type="dxa"/>
          </w:tblCellMar>
        </w:tblPrEx>
        <w:trPr>
          <w:trHeight w:val="372" w:hRule="atLeast"/>
        </w:trPr>
        <w:tc>
          <w:tcPr>
            <w:tcW w:w="597" w:type="dxa"/>
            <w:tcBorders>
              <w:top w:val="nil"/>
              <w:left w:val="nil"/>
              <w:bottom w:val="nil"/>
              <w:right w:val="nil"/>
            </w:tcBorders>
            <w:tcMar>
              <w:top w:w="15" w:type="dxa"/>
              <w:left w:w="15" w:type="dxa"/>
              <w:right w:w="15" w:type="dxa"/>
            </w:tcMar>
            <w:vAlign w:val="center"/>
          </w:tcPr>
          <w:p>
            <w:pPr>
              <w:jc w:val="center"/>
              <w:rPr>
                <w:b/>
                <w:color w:val="000000"/>
                <w:szCs w:val="24"/>
              </w:rPr>
            </w:pPr>
          </w:p>
        </w:tc>
        <w:tc>
          <w:tcPr>
            <w:tcW w:w="4791" w:type="dxa"/>
            <w:gridSpan w:val="3"/>
            <w:tcBorders>
              <w:top w:val="nil"/>
              <w:left w:val="nil"/>
              <w:bottom w:val="nil"/>
              <w:right w:val="nil"/>
            </w:tcBorders>
            <w:tcMar>
              <w:top w:w="15" w:type="dxa"/>
              <w:left w:w="15" w:type="dxa"/>
              <w:right w:w="15" w:type="dxa"/>
            </w:tcMar>
            <w:vAlign w:val="center"/>
          </w:tcPr>
          <w:p>
            <w:pPr>
              <w:jc w:val="center"/>
              <w:rPr>
                <w:b/>
                <w:color w:val="000000"/>
                <w:szCs w:val="24"/>
              </w:rPr>
            </w:pPr>
          </w:p>
        </w:tc>
        <w:tc>
          <w:tcPr>
            <w:tcW w:w="1195" w:type="dxa"/>
            <w:tcBorders>
              <w:top w:val="nil"/>
              <w:left w:val="nil"/>
              <w:bottom w:val="nil"/>
              <w:right w:val="nil"/>
            </w:tcBorders>
            <w:tcMar>
              <w:top w:w="15" w:type="dxa"/>
              <w:left w:w="15" w:type="dxa"/>
              <w:right w:w="15" w:type="dxa"/>
            </w:tcMar>
            <w:vAlign w:val="center"/>
          </w:tcPr>
          <w:p>
            <w:pPr>
              <w:jc w:val="center"/>
              <w:rPr>
                <w:b/>
                <w:color w:val="000000"/>
                <w:szCs w:val="24"/>
              </w:rPr>
            </w:pPr>
          </w:p>
        </w:tc>
        <w:tc>
          <w:tcPr>
            <w:tcW w:w="2717" w:type="dxa"/>
            <w:tcBorders>
              <w:top w:val="nil"/>
              <w:left w:val="nil"/>
              <w:bottom w:val="nil"/>
              <w:right w:val="nil"/>
            </w:tcBorders>
            <w:tcMar>
              <w:top w:w="15" w:type="dxa"/>
              <w:left w:w="15" w:type="dxa"/>
              <w:right w:w="15" w:type="dxa"/>
            </w:tcMar>
            <w:vAlign w:val="center"/>
          </w:tcPr>
          <w:p>
            <w:pPr>
              <w:jc w:val="center"/>
              <w:rPr>
                <w:b/>
                <w:color w:val="000000"/>
                <w:szCs w:val="24"/>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Insira todas as informações necessárias nos campos editáveis destacados com esta cor</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498" w:hRule="atLeast"/>
        </w:trPr>
        <w:tc>
          <w:tcPr>
            <w:tcW w:w="9300" w:type="dxa"/>
            <w:gridSpan w:val="6"/>
            <w:tcBorders>
              <w:top w:val="nil"/>
              <w:left w:val="nil"/>
              <w:bottom w:val="nil"/>
              <w:right w:val="nil"/>
            </w:tcBorders>
            <w:shd w:val="clear" w:color="auto" w:fill="305496"/>
            <w:noWrap/>
            <w:tcMar>
              <w:top w:w="15" w:type="dxa"/>
              <w:left w:w="15" w:type="dxa"/>
              <w:right w:w="15" w:type="dxa"/>
            </w:tcMar>
            <w:vAlign w:val="center"/>
          </w:tcPr>
          <w:p>
            <w:pPr>
              <w:jc w:val="center"/>
              <w:textAlignment w:val="center"/>
              <w:rPr>
                <w:color w:val="FFFFFF"/>
                <w:sz w:val="20"/>
              </w:rPr>
            </w:pPr>
            <w:r>
              <w:rPr>
                <w:color w:val="FFFFFF"/>
                <w:sz w:val="20"/>
                <w:szCs w:val="21"/>
                <w:lang w:val="pt-BR" w:eastAsia="zh-CN" w:bidi="ar"/>
              </w:rPr>
              <w:t>PLANILHA DE CUSTOS E FORMAÇÃO DE PREÇOS</w:t>
            </w:r>
          </w:p>
        </w:tc>
      </w:tr>
      <w:tr>
        <w:tblPrEx>
          <w:tblCellMar>
            <w:top w:w="0" w:type="dxa"/>
            <w:left w:w="0" w:type="dxa"/>
            <w:bottom w:w="0" w:type="dxa"/>
            <w:right w:w="0" w:type="dxa"/>
          </w:tblCellMar>
        </w:tblPrEx>
        <w:trPr>
          <w:trHeight w:val="498" w:hRule="atLeast"/>
        </w:trPr>
        <w:tc>
          <w:tcPr>
            <w:tcW w:w="9300" w:type="dxa"/>
            <w:gridSpan w:val="6"/>
            <w:tcBorders>
              <w:top w:val="nil"/>
              <w:left w:val="nil"/>
              <w:bottom w:val="nil"/>
              <w:right w:val="nil"/>
            </w:tcBorders>
            <w:shd w:val="clear" w:color="auto" w:fill="305496"/>
            <w:noWrap/>
            <w:tcMar>
              <w:top w:w="15" w:type="dxa"/>
              <w:left w:w="15" w:type="dxa"/>
              <w:right w:w="15" w:type="dxa"/>
            </w:tcMar>
            <w:vAlign w:val="center"/>
          </w:tcPr>
          <w:p>
            <w:pPr>
              <w:jc w:val="center"/>
              <w:textAlignment w:val="center"/>
              <w:rPr>
                <w:color w:val="FFFFFF"/>
                <w:sz w:val="20"/>
              </w:rPr>
            </w:pPr>
            <w:r>
              <w:rPr>
                <w:color w:val="FFFFFF"/>
                <w:sz w:val="20"/>
                <w:szCs w:val="21"/>
                <w:lang w:val="pt-BR" w:eastAsia="zh-CN" w:bidi="ar"/>
              </w:rPr>
              <w:t>MODELO PARA A CONSOLIDAÇÃO E APRESENTAÇÃO DE PROPOSTAS</w:t>
            </w: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noWrap/>
            <w:tcMar>
              <w:top w:w="15" w:type="dxa"/>
              <w:left w:w="15" w:type="dxa"/>
              <w:right w:w="15" w:type="dxa"/>
            </w:tcMar>
            <w:vAlign w:val="center"/>
          </w:tcPr>
          <w:p>
            <w:pPr>
              <w:jc w:val="center"/>
              <w:rPr>
                <w:color w:val="FF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1. DISCRIMINAÇÃO DOS SERVIÇOS (DADOS REFERENTES À CONTRATAÇÃO)</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c>
          <w:tcPr>
            <w:tcW w:w="4791" w:type="dxa"/>
            <w:gridSpan w:val="3"/>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c>
          <w:tcPr>
            <w:tcW w:w="1195" w:type="dxa"/>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c>
          <w:tcPr>
            <w:tcW w:w="2717" w:type="dxa"/>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Nº do Processo</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B</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Licitação Nº</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C</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Data de apresentação da proposta (dia/mês/ano):</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D</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Município/UF</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E</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textAlignment w:val="center"/>
              <w:rPr>
                <w:color w:val="000000"/>
                <w:sz w:val="20"/>
              </w:rPr>
            </w:pPr>
            <w:r>
              <w:rPr>
                <w:color w:val="000000"/>
                <w:sz w:val="20"/>
                <w:szCs w:val="21"/>
                <w:lang w:val="pt-BR" w:eastAsia="zh-CN" w:bidi="ar"/>
              </w:rPr>
              <w:t>Número de meses de execução contratual:</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F</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textAlignment w:val="center"/>
              <w:rPr>
                <w:color w:val="000000"/>
                <w:sz w:val="20"/>
              </w:rPr>
            </w:pPr>
            <w:r>
              <w:rPr>
                <w:color w:val="000000"/>
                <w:sz w:val="20"/>
                <w:szCs w:val="21"/>
                <w:lang w:val="pt-BR" w:eastAsia="zh-CN" w:bidi="ar"/>
              </w:rPr>
              <w:t>Tipo de Serviço (mesmo serviço com características distintas)</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G</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textAlignment w:val="center"/>
              <w:rPr>
                <w:color w:val="000000"/>
                <w:sz w:val="20"/>
              </w:rPr>
            </w:pPr>
            <w:r>
              <w:rPr>
                <w:color w:val="000000"/>
                <w:sz w:val="20"/>
                <w:szCs w:val="21"/>
                <w:lang w:val="pt-BR" w:eastAsia="zh-CN" w:bidi="ar"/>
              </w:rPr>
              <w:t>Unidade de Medida</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H</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Classificação Brasileira de Ocupações (CBO)</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I</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Salário Normativo da Categoria Profissional</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J</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Categoria Profissional (vinculada à execução contratual)</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K</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Ano Acordo, Convenção ou Dissídio Coletivo</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L</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Nº de registro do Acordo, Convenção ou Dissídio Coletivo</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Data-Base da Categoria (dia/mês/ano)</w:t>
            </w:r>
          </w:p>
        </w:tc>
        <w:tc>
          <w:tcPr>
            <w:tcW w:w="3912"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Módulo 1 - Composição da Remuneração</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1</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Composição da Remuneração</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Percentual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Salário-Base</w:t>
            </w:r>
          </w:p>
        </w:tc>
        <w:tc>
          <w:tcPr>
            <w:tcW w:w="1195"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textAlignment w:val="center"/>
              <w:rPr>
                <w:color w:val="000000"/>
                <w:sz w:val="20"/>
              </w:rPr>
            </w:pPr>
            <w:r>
              <w:rPr>
                <w:color w:val="000000"/>
                <w:sz w:val="20"/>
                <w:szCs w:val="21"/>
                <w:lang w:val="pt-BR" w:eastAsia="zh-CN" w:bidi="ar"/>
              </w:rPr>
              <w:t>Gratificação por Assiduidade</w:t>
            </w:r>
          </w:p>
        </w:tc>
        <w:tc>
          <w:tcPr>
            <w:tcW w:w="1195"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C</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textAlignment w:val="center"/>
              <w:rPr>
                <w:color w:val="000000"/>
                <w:sz w:val="20"/>
              </w:rPr>
            </w:pPr>
            <w:r>
              <w:rPr>
                <w:color w:val="000000"/>
                <w:sz w:val="20"/>
                <w:szCs w:val="21"/>
                <w:lang w:val="pt-BR" w:eastAsia="zh-CN" w:bidi="ar"/>
              </w:rPr>
              <w:t>Outros (especificar)</w:t>
            </w:r>
          </w:p>
        </w:tc>
        <w:tc>
          <w:tcPr>
            <w:tcW w:w="1195"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rPr>
                <w:color w:val="000000"/>
                <w:sz w:val="20"/>
                <w:szCs w:val="21"/>
              </w:rPr>
            </w:pPr>
          </w:p>
        </w:tc>
        <w:tc>
          <w:tcPr>
            <w:tcW w:w="1195"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rPr>
                <w:color w:val="000000"/>
                <w:sz w:val="20"/>
                <w:szCs w:val="21"/>
              </w:rPr>
            </w:pPr>
          </w:p>
        </w:tc>
        <w:tc>
          <w:tcPr>
            <w:tcW w:w="1195"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388"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w:t>
            </w:r>
          </w:p>
        </w:tc>
        <w:tc>
          <w:tcPr>
            <w:tcW w:w="1195"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rPr>
                <w:b/>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Módulo 2 - Encargos, Benefícios (anuais, mensais e diários) e Intrajornada Suprimido</w:t>
            </w:r>
          </w:p>
        </w:tc>
      </w:tr>
      <w:tr>
        <w:tblPrEx>
          <w:tblCellMar>
            <w:top w:w="0" w:type="dxa"/>
            <w:left w:w="0" w:type="dxa"/>
            <w:bottom w:w="0" w:type="dxa"/>
            <w:right w:w="0" w:type="dxa"/>
          </w:tblCellMar>
        </w:tblPrEx>
        <w:trPr>
          <w:trHeight w:val="351" w:hRule="atLeast"/>
        </w:trPr>
        <w:tc>
          <w:tcPr>
            <w:tcW w:w="597" w:type="dxa"/>
            <w:tcBorders>
              <w:top w:val="nil"/>
              <w:left w:val="nil"/>
              <w:bottom w:val="nil"/>
              <w:right w:val="nil"/>
            </w:tcBorders>
            <w:noWrap/>
            <w:tcMar>
              <w:top w:w="15" w:type="dxa"/>
              <w:left w:w="15" w:type="dxa"/>
              <w:right w:w="15" w:type="dxa"/>
            </w:tcMar>
            <w:vAlign w:val="center"/>
          </w:tcPr>
          <w:p>
            <w:pPr>
              <w:rPr>
                <w:b/>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98" w:hRule="atLeast"/>
        </w:trPr>
        <w:tc>
          <w:tcPr>
            <w:tcW w:w="5118" w:type="dxa"/>
            <w:gridSpan w:val="3"/>
            <w:vMerge w:val="restart"/>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BASE DE CÁLCULO PARA O MÓDULO 2.1: </w:t>
            </w: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 MÓDULO 1</w:t>
            </w:r>
          </w:p>
        </w:tc>
        <w:tc>
          <w:tcPr>
            <w:tcW w:w="2717"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445" w:hRule="atLeast"/>
        </w:trPr>
        <w:tc>
          <w:tcPr>
            <w:tcW w:w="5118" w:type="dxa"/>
            <w:gridSpan w:val="3"/>
            <w:vMerge w:val="continue"/>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rPr>
                <w:rFonts w:ascii="Verdana" w:hAnsi="Verdana" w:cs="Verdana"/>
                <w:b/>
                <w:color w:val="FFFFFF"/>
                <w:sz w:val="20"/>
                <w:szCs w:val="21"/>
              </w:rPr>
            </w:pP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TOTAL</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56" w:hRule="atLeast"/>
        </w:trPr>
        <w:tc>
          <w:tcPr>
            <w:tcW w:w="597" w:type="dxa"/>
            <w:tcBorders>
              <w:top w:val="nil"/>
              <w:left w:val="nil"/>
              <w:bottom w:val="nil"/>
              <w:right w:val="nil"/>
            </w:tcBorders>
            <w:noWrap/>
            <w:tcMar>
              <w:top w:w="15" w:type="dxa"/>
              <w:left w:w="15" w:type="dxa"/>
              <w:right w:w="15" w:type="dxa"/>
            </w:tcMar>
            <w:vAlign w:val="center"/>
          </w:tcPr>
          <w:p>
            <w:pPr>
              <w:rPr>
                <w:b/>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D9E1F2"/>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Submódulo 2.1 - 13º (décimo terceiro) Salário, Férias e Adicional de Férias</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2.1</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13º (décimo terceiro) Salário, Férias e Adicional de Férias</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Percentual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13º (décimo terceiro) Salário</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8,33%</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 xml:space="preserve">Férias </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8,33%</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C</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Adicional de Férias</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2,78%</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388"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w:t>
            </w:r>
          </w:p>
        </w:tc>
        <w:tc>
          <w:tcPr>
            <w:tcW w:w="119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19,44%</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FF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98" w:hRule="atLeast"/>
        </w:trPr>
        <w:tc>
          <w:tcPr>
            <w:tcW w:w="4835" w:type="dxa"/>
            <w:gridSpan w:val="2"/>
            <w:vMerge w:val="restart"/>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BASE DE CÁLCULO PARA O MÓDULO 2.2:</w:t>
            </w: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 MÓDULO 1</w:t>
            </w:r>
          </w:p>
        </w:tc>
        <w:tc>
          <w:tcPr>
            <w:tcW w:w="2717"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 MÓDULO 2.1</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445" w:hRule="atLeast"/>
        </w:trPr>
        <w:tc>
          <w:tcPr>
            <w:tcW w:w="4835" w:type="dxa"/>
            <w:gridSpan w:val="2"/>
            <w:vMerge w:val="continue"/>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TOTAL</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D9E1F2"/>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Submódulo 2.2 - Encargos Previdenciários (GPS), Fundo de Garantia por Tempo de Serviço (FGTS) e outras contribuições.</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2.2</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GPS, FGTS e outras contribuições</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Percentual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INSS</w:t>
            </w:r>
          </w:p>
        </w:tc>
        <w:tc>
          <w:tcPr>
            <w:tcW w:w="11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20,00%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Salário Educação</w:t>
            </w:r>
          </w:p>
        </w:tc>
        <w:tc>
          <w:tcPr>
            <w:tcW w:w="11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2,50%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C</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RAT x FAP</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3,00%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D</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SESC ou SESI</w:t>
            </w:r>
          </w:p>
        </w:tc>
        <w:tc>
          <w:tcPr>
            <w:tcW w:w="11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1,50%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E</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SENAI - SENAC</w:t>
            </w:r>
          </w:p>
        </w:tc>
        <w:tc>
          <w:tcPr>
            <w:tcW w:w="11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1,00%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F</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SEBRAE</w:t>
            </w:r>
          </w:p>
        </w:tc>
        <w:tc>
          <w:tcPr>
            <w:tcW w:w="11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0,60%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G</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INCRA</w:t>
            </w:r>
          </w:p>
        </w:tc>
        <w:tc>
          <w:tcPr>
            <w:tcW w:w="119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0,20%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H</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FGTS</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8,00%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388"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 xml:space="preserve">Total </w:t>
            </w:r>
          </w:p>
        </w:tc>
        <w:tc>
          <w:tcPr>
            <w:tcW w:w="119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36,80%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FF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D9E1F2"/>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Submódulo 2.3 - Benefícios Mensais e Diários.</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2.3</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Benefícios Mensais e Diários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A.1</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Auxílio Transporte Bruto</w:t>
            </w: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A.2</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 xml:space="preserve">(-) Dedução do Vale Transporte </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A.3</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Auxílio Transporte Líquido ( A.1 - A.2 )</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B.1</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Auxílio-Refeição/Alimentação Bruto</w:t>
            </w: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B.2</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 Dedução do Auxílio-Refeição/Alimentação</w:t>
            </w: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B.3</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Auxílio-Refeição/Alimentação Líquido  ( B.1 - B.2 )</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C</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textAlignment w:val="center"/>
              <w:rPr>
                <w:color w:val="000000"/>
                <w:sz w:val="20"/>
              </w:rPr>
            </w:pPr>
            <w:r>
              <w:rPr>
                <w:color w:val="000000"/>
                <w:sz w:val="20"/>
                <w:szCs w:val="21"/>
                <w:lang w:eastAsia="zh-CN" w:bidi="ar"/>
              </w:rPr>
              <w:t>Prêmio</w:t>
            </w:r>
            <w:r>
              <w:rPr>
                <w:color w:val="000000"/>
                <w:sz w:val="20"/>
                <w:szCs w:val="21"/>
                <w:lang w:val="pt-BR" w:eastAsia="zh-CN" w:bidi="ar"/>
              </w:rPr>
              <w:t xml:space="preserve"> Cesta Básica por Assiduidade</w:t>
            </w: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D</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textAlignment w:val="center"/>
              <w:rPr>
                <w:color w:val="000000"/>
                <w:sz w:val="20"/>
              </w:rPr>
            </w:pPr>
            <w:r>
              <w:rPr>
                <w:color w:val="000000"/>
                <w:sz w:val="20"/>
                <w:szCs w:val="21"/>
                <w:lang w:val="pt-BR" w:eastAsia="zh-CN" w:bidi="ar"/>
              </w:rPr>
              <w:t>Seguro de vida, invalidez, funeral e PCMSO</w:t>
            </w: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E</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textAlignment w:val="center"/>
              <w:rPr>
                <w:color w:val="000000"/>
                <w:sz w:val="20"/>
              </w:rPr>
            </w:pPr>
            <w:r>
              <w:rPr>
                <w:color w:val="000000"/>
                <w:sz w:val="20"/>
                <w:szCs w:val="21"/>
                <w:lang w:val="pt-BR" w:eastAsia="zh-CN" w:bidi="ar"/>
              </w:rPr>
              <w:t>Outros (especificar)</w:t>
            </w: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09" w:hRule="atLeast"/>
        </w:trPr>
        <w:tc>
          <w:tcPr>
            <w:tcW w:w="6583" w:type="dxa"/>
            <w:gridSpan w:val="5"/>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 ( A.3 + B.3 + C + D + E + ...)</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D9E1F2"/>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Submódulo 2.4 - Intrajornada Suprimido</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2.4</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Intrajornada Suprimido</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Intrajornada Suprimido</w:t>
            </w: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tcMar>
              <w:top w:w="15" w:type="dxa"/>
              <w:left w:w="15" w:type="dxa"/>
              <w:right w:w="15" w:type="dxa"/>
            </w:tcMar>
            <w:vAlign w:val="center"/>
          </w:tcPr>
          <w:p>
            <w:pPr>
              <w:jc w:val="center"/>
              <w:rPr>
                <w:b/>
                <w:color w:val="000000"/>
                <w:sz w:val="20"/>
                <w:szCs w:val="21"/>
              </w:rPr>
            </w:pPr>
          </w:p>
        </w:tc>
        <w:tc>
          <w:tcPr>
            <w:tcW w:w="4791" w:type="dxa"/>
            <w:gridSpan w:val="3"/>
            <w:tcBorders>
              <w:top w:val="nil"/>
              <w:left w:val="nil"/>
              <w:bottom w:val="nil"/>
              <w:right w:val="nil"/>
            </w:tcBorders>
            <w:tcMar>
              <w:top w:w="15" w:type="dxa"/>
              <w:left w:w="15" w:type="dxa"/>
              <w:right w:w="15" w:type="dxa"/>
            </w:tcMar>
            <w:vAlign w:val="center"/>
          </w:tcPr>
          <w:p>
            <w:pPr>
              <w:jc w:val="center"/>
              <w:rPr>
                <w:b/>
                <w:color w:val="000000"/>
                <w:sz w:val="20"/>
                <w:szCs w:val="21"/>
              </w:rPr>
            </w:pPr>
          </w:p>
        </w:tc>
        <w:tc>
          <w:tcPr>
            <w:tcW w:w="1195" w:type="dxa"/>
            <w:tcBorders>
              <w:top w:val="nil"/>
              <w:left w:val="nil"/>
              <w:bottom w:val="nil"/>
              <w:right w:val="nil"/>
            </w:tcBorders>
            <w:tcMar>
              <w:top w:w="15" w:type="dxa"/>
              <w:left w:w="15" w:type="dxa"/>
              <w:right w:w="15" w:type="dxa"/>
            </w:tcMar>
            <w:vAlign w:val="center"/>
          </w:tcPr>
          <w:p>
            <w:pPr>
              <w:jc w:val="cente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tcMar>
              <w:top w:w="15" w:type="dxa"/>
              <w:left w:w="15" w:type="dxa"/>
              <w:right w:w="15" w:type="dxa"/>
            </w:tcMar>
            <w:vAlign w:val="center"/>
          </w:tcPr>
          <w:p>
            <w:pPr>
              <w:jc w:val="center"/>
              <w:rPr>
                <w:b/>
                <w:color w:val="000000"/>
                <w:sz w:val="20"/>
                <w:szCs w:val="21"/>
              </w:rPr>
            </w:pPr>
          </w:p>
        </w:tc>
        <w:tc>
          <w:tcPr>
            <w:tcW w:w="4791" w:type="dxa"/>
            <w:gridSpan w:val="3"/>
            <w:tcBorders>
              <w:top w:val="nil"/>
              <w:left w:val="nil"/>
              <w:bottom w:val="nil"/>
              <w:right w:val="nil"/>
            </w:tcBorders>
            <w:tcMar>
              <w:top w:w="15" w:type="dxa"/>
              <w:left w:w="15" w:type="dxa"/>
              <w:right w:w="15" w:type="dxa"/>
            </w:tcMar>
            <w:vAlign w:val="center"/>
          </w:tcPr>
          <w:p>
            <w:pPr>
              <w:jc w:val="center"/>
              <w:rPr>
                <w:b/>
                <w:color w:val="000000"/>
                <w:sz w:val="20"/>
                <w:szCs w:val="21"/>
              </w:rPr>
            </w:pPr>
          </w:p>
        </w:tc>
        <w:tc>
          <w:tcPr>
            <w:tcW w:w="1195" w:type="dxa"/>
            <w:tcBorders>
              <w:top w:val="nil"/>
              <w:left w:val="nil"/>
              <w:bottom w:val="nil"/>
              <w:right w:val="nil"/>
            </w:tcBorders>
            <w:tcMar>
              <w:top w:w="15" w:type="dxa"/>
              <w:left w:w="15" w:type="dxa"/>
              <w:right w:w="15" w:type="dxa"/>
            </w:tcMar>
            <w:vAlign w:val="center"/>
          </w:tcPr>
          <w:p>
            <w:pPr>
              <w:jc w:val="cente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Quadro-Resumo do Módulo 2 - Encargos, Benefícios (anuais, mensais e diários) e Intrajornada Suprimido</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2</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Encargos e Benefícios Anuais, Mensais e Diários e Intrajornada Suprimido</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2.1</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13º (décimo terceiro) Salário, Férias e Adicional de Férias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2.2</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GPS, FGTS e outras contribuições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2.3</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Benefícios Mensais e Diários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2.4</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Intrajornada Suprimido</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98" w:hRule="atLeast"/>
        </w:trPr>
        <w:tc>
          <w:tcPr>
            <w:tcW w:w="5118" w:type="dxa"/>
            <w:gridSpan w:val="3"/>
            <w:vMerge w:val="restart"/>
            <w:tcBorders>
              <w:top w:val="single" w:color="FFFFFF" w:sz="8" w:space="0"/>
              <w:left w:val="nil"/>
              <w:bottom w:val="nil"/>
              <w:right w:val="nil"/>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BASE DE CÁLCULO PARA O MÓDULO 3:</w:t>
            </w: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 MÓDULO 1</w:t>
            </w:r>
          </w:p>
        </w:tc>
        <w:tc>
          <w:tcPr>
            <w:tcW w:w="2717"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5118" w:type="dxa"/>
            <w:gridSpan w:val="3"/>
            <w:vMerge w:val="continue"/>
            <w:tcBorders>
              <w:top w:val="single" w:color="FFFFFF" w:sz="8" w:space="0"/>
              <w:left w:val="nil"/>
              <w:bottom w:val="nil"/>
              <w:right w:val="nil"/>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2.1</w:t>
            </w:r>
          </w:p>
        </w:tc>
        <w:tc>
          <w:tcPr>
            <w:tcW w:w="2717"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445" w:hRule="atLeast"/>
        </w:trPr>
        <w:tc>
          <w:tcPr>
            <w:tcW w:w="5118" w:type="dxa"/>
            <w:gridSpan w:val="3"/>
            <w:vMerge w:val="continue"/>
            <w:tcBorders>
              <w:top w:val="single" w:color="FFFFFF" w:sz="8" w:space="0"/>
              <w:left w:val="nil"/>
              <w:bottom w:val="nil"/>
              <w:right w:val="nil"/>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TOTAL</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Módulo 3 - Provisão para Rescisão</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3</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Provisão para Rescisão</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Percentual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both"/>
              <w:textAlignment w:val="center"/>
              <w:rPr>
                <w:color w:val="000000"/>
                <w:sz w:val="20"/>
              </w:rPr>
            </w:pPr>
            <w:r>
              <w:rPr>
                <w:color w:val="000000"/>
                <w:sz w:val="20"/>
                <w:szCs w:val="21"/>
                <w:lang w:val="pt-BR" w:eastAsia="zh-CN" w:bidi="ar"/>
              </w:rPr>
              <w:t>Aviso Prévio Indenizado</w:t>
            </w:r>
          </w:p>
        </w:tc>
        <w:tc>
          <w:tcPr>
            <w:tcW w:w="1195"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0,46%</w:t>
            </w: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both"/>
              <w:textAlignment w:val="center"/>
              <w:rPr>
                <w:color w:val="000000"/>
                <w:sz w:val="20"/>
              </w:rPr>
            </w:pPr>
            <w:r>
              <w:rPr>
                <w:color w:val="000000"/>
                <w:sz w:val="20"/>
                <w:szCs w:val="21"/>
                <w:lang w:val="pt-BR" w:eastAsia="zh-CN" w:bidi="ar"/>
              </w:rPr>
              <w:t>Incidência do FGTS sobre o Aviso Prévio Indenizado</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0,037%</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C</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both"/>
              <w:textAlignment w:val="center"/>
              <w:rPr>
                <w:color w:val="000000"/>
                <w:sz w:val="20"/>
              </w:rPr>
            </w:pPr>
            <w:r>
              <w:rPr>
                <w:color w:val="000000"/>
                <w:sz w:val="20"/>
                <w:szCs w:val="21"/>
                <w:lang w:val="pt-BR" w:eastAsia="zh-CN" w:bidi="ar"/>
              </w:rPr>
              <w:t>Multa do FGTS sobre o Aviso Prévio Indenizado</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0,18%</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D</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both"/>
              <w:textAlignment w:val="center"/>
              <w:rPr>
                <w:color w:val="000000"/>
                <w:sz w:val="20"/>
              </w:rPr>
            </w:pPr>
            <w:r>
              <w:rPr>
                <w:color w:val="000000"/>
                <w:sz w:val="20"/>
                <w:szCs w:val="21"/>
                <w:lang w:val="pt-BR" w:eastAsia="zh-CN" w:bidi="ar"/>
              </w:rPr>
              <w:t>Aviso Prévio Trabalhado</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1,94%</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E</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both"/>
              <w:textAlignment w:val="center"/>
              <w:rPr>
                <w:color w:val="000000"/>
                <w:sz w:val="20"/>
              </w:rPr>
            </w:pPr>
            <w:r>
              <w:rPr>
                <w:color w:val="000000"/>
                <w:sz w:val="20"/>
                <w:szCs w:val="21"/>
                <w:lang w:val="pt-BR" w:eastAsia="zh-CN" w:bidi="ar"/>
              </w:rPr>
              <w:t>Incidência dos encargos do submódulo 2.2 sobre o Aviso Prévio Trabalhado</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0,72%</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F</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both"/>
              <w:textAlignment w:val="center"/>
              <w:rPr>
                <w:color w:val="000000"/>
                <w:sz w:val="20"/>
              </w:rPr>
            </w:pPr>
            <w:r>
              <w:rPr>
                <w:color w:val="000000"/>
                <w:sz w:val="20"/>
                <w:szCs w:val="21"/>
                <w:lang w:val="pt-BR" w:eastAsia="zh-CN" w:bidi="ar"/>
              </w:rPr>
              <w:t>Multa do FGTS sobre o Aviso Prévio Trabalhado</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3,20%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388" w:type="dxa"/>
            <w:gridSpan w:val="4"/>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w:t>
            </w:r>
          </w:p>
        </w:tc>
        <w:tc>
          <w:tcPr>
            <w:tcW w:w="1195"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6,54%</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98" w:hRule="atLeast"/>
        </w:trPr>
        <w:tc>
          <w:tcPr>
            <w:tcW w:w="5118" w:type="dxa"/>
            <w:gridSpan w:val="3"/>
            <w:vMerge w:val="restart"/>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textAlignment w:val="center"/>
              <w:rPr>
                <w:rFonts w:ascii="Times New Roman" w:hAnsi="Times New Roman" w:cs="Times New Roman"/>
                <w:b/>
                <w:color w:val="FFFFFF"/>
                <w:sz w:val="20"/>
              </w:rPr>
            </w:pPr>
            <w:r>
              <w:rPr>
                <w:rFonts w:ascii="Times New Roman" w:hAnsi="Times New Roman" w:cs="Times New Roman"/>
                <w:b/>
                <w:color w:val="FFFFFF"/>
                <w:sz w:val="20"/>
                <w:szCs w:val="21"/>
                <w:lang w:val="pt-BR" w:eastAsia="zh-CN" w:bidi="ar"/>
              </w:rPr>
              <w:t xml:space="preserve">BASE DE CÁLCULO PARA O MÓDULO 4: </w:t>
            </w:r>
            <w:r>
              <w:rPr>
                <w:rFonts w:ascii="Times New Roman" w:hAnsi="Times New Roman" w:cs="Times New Roman"/>
                <w:b/>
                <w:color w:val="FFFFFF"/>
                <w:sz w:val="20"/>
                <w:szCs w:val="21"/>
                <w:lang w:val="pt-BR" w:eastAsia="zh-CN" w:bidi="ar"/>
              </w:rPr>
              <w:br w:type="textWrapping"/>
            </w:r>
            <w:r>
              <w:rPr>
                <w:rFonts w:ascii="Times New Roman" w:hAnsi="Times New Roman" w:cs="Times New Roman"/>
                <w:b/>
                <w:color w:val="FFFFFF"/>
                <w:sz w:val="20"/>
                <w:szCs w:val="21"/>
                <w:lang w:val="pt-BR" w:eastAsia="zh-CN" w:bidi="ar"/>
              </w:rPr>
              <w:t>MÓDULO 1 + MÓDULO 2.1 + (MÓDULO 2.3 - Aux. Transp. Liq. - Aux. Alimentação Liq.) + MÓDULO 3</w:t>
            </w: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Times New Roman" w:hAnsi="Times New Roman" w:cs="Times New Roman"/>
                <w:b/>
                <w:color w:val="FFFFFF"/>
                <w:sz w:val="20"/>
              </w:rPr>
            </w:pPr>
            <w:r>
              <w:rPr>
                <w:rFonts w:ascii="Times New Roman" w:hAnsi="Times New Roman" w:cs="Times New Roman"/>
                <w:b/>
                <w:color w:val="FFFFFF"/>
                <w:sz w:val="20"/>
                <w:szCs w:val="21"/>
                <w:lang w:val="pt-BR" w:eastAsia="zh-CN" w:bidi="ar"/>
              </w:rPr>
              <w:t>MÓDULO 1</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5118" w:type="dxa"/>
            <w:gridSpan w:val="3"/>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Times New Roman" w:hAnsi="Times New Roman" w:cs="Times New Roman"/>
                <w:b/>
                <w:color w:val="FFFFFF"/>
                <w:sz w:val="20"/>
                <w:szCs w:val="21"/>
              </w:rPr>
            </w:pP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Times New Roman" w:hAnsi="Times New Roman" w:cs="Times New Roman"/>
                <w:b/>
                <w:color w:val="FFFFFF"/>
                <w:sz w:val="20"/>
              </w:rPr>
            </w:pPr>
            <w:r>
              <w:rPr>
                <w:rFonts w:ascii="Times New Roman" w:hAnsi="Times New Roman" w:cs="Times New Roman"/>
                <w:b/>
                <w:color w:val="FFFFFF"/>
                <w:sz w:val="20"/>
                <w:szCs w:val="21"/>
                <w:lang w:val="pt-BR" w:eastAsia="zh-CN" w:bidi="ar"/>
              </w:rPr>
              <w:t>MÓDULO 2.1</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647" w:hRule="atLeast"/>
        </w:trPr>
        <w:tc>
          <w:tcPr>
            <w:tcW w:w="5118" w:type="dxa"/>
            <w:gridSpan w:val="3"/>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Times New Roman" w:hAnsi="Times New Roman" w:cs="Times New Roman"/>
                <w:b/>
                <w:color w:val="FFFFFF"/>
                <w:sz w:val="20"/>
                <w:szCs w:val="21"/>
              </w:rPr>
            </w:pP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Times New Roman" w:hAnsi="Times New Roman" w:cs="Times New Roman"/>
                <w:b/>
                <w:color w:val="FFFFFF"/>
                <w:sz w:val="20"/>
              </w:rPr>
            </w:pPr>
            <w:r>
              <w:rPr>
                <w:rFonts w:ascii="Times New Roman" w:hAnsi="Times New Roman" w:cs="Times New Roman"/>
                <w:b/>
                <w:color w:val="FFFFFF"/>
                <w:sz w:val="20"/>
                <w:szCs w:val="21"/>
                <w:lang w:val="pt-BR" w:eastAsia="zh-CN" w:bidi="ar"/>
              </w:rPr>
              <w:t>MÓDULO 2.3*</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5118" w:type="dxa"/>
            <w:gridSpan w:val="3"/>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3</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445" w:hRule="atLeast"/>
        </w:trPr>
        <w:tc>
          <w:tcPr>
            <w:tcW w:w="5118" w:type="dxa"/>
            <w:gridSpan w:val="3"/>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465" w:type="dxa"/>
            <w:gridSpan w:val="2"/>
            <w:tcBorders>
              <w:top w:val="single" w:color="FFFFFF" w:sz="8" w:space="0"/>
              <w:left w:val="single" w:color="FFFFFF" w:sz="8" w:space="0"/>
              <w:bottom w:val="single" w:color="FFFFFF" w:sz="8" w:space="0"/>
              <w:right w:val="single" w:color="FFFFFF" w:sz="8" w:space="0"/>
            </w:tcBorders>
            <w:shd w:val="thinHorzCross" w:color="auto" w:fill="1F4E78"/>
            <w:noWrap/>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TOTAL </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Módulo 4 - Custo de Reposição do Profissional Ausente</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c>
          <w:tcPr>
            <w:tcW w:w="4791" w:type="dxa"/>
            <w:gridSpan w:val="3"/>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c>
          <w:tcPr>
            <w:tcW w:w="1195" w:type="dxa"/>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c>
          <w:tcPr>
            <w:tcW w:w="2717" w:type="dxa"/>
            <w:tcBorders>
              <w:top w:val="nil"/>
              <w:left w:val="nil"/>
              <w:bottom w:val="nil"/>
              <w:right w:val="nil"/>
            </w:tcBorders>
            <w:shd w:val="clear" w:color="auto" w:fill="FFFFFF"/>
            <w:noWrap/>
            <w:tcMar>
              <w:top w:w="15" w:type="dxa"/>
              <w:left w:w="15" w:type="dxa"/>
              <w:right w:w="15" w:type="dxa"/>
            </w:tcMar>
            <w:vAlign w:val="center"/>
          </w:tcPr>
          <w:p>
            <w:pPr>
              <w:jc w:val="center"/>
              <w:rPr>
                <w:b/>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D9E1F2"/>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Submódulo 4.1  - Substituto nas Ausências Legais</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4.1</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Substituto nas Ausências Legais</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Percentual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Substituto na cobertura de Férias</w:t>
            </w:r>
          </w:p>
        </w:tc>
        <w:tc>
          <w:tcPr>
            <w:tcW w:w="1195"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Substituto na cobertura de Ausências Legais</w:t>
            </w:r>
          </w:p>
        </w:tc>
        <w:tc>
          <w:tcPr>
            <w:tcW w:w="1195"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1,63%</w:t>
            </w: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C</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Substituto na cobertura de Licença-Paternidade</w:t>
            </w:r>
          </w:p>
        </w:tc>
        <w:tc>
          <w:tcPr>
            <w:tcW w:w="1195"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0,02%</w:t>
            </w: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D</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Substituto na cobertura de Ausência por acidente de trabalho</w:t>
            </w:r>
          </w:p>
        </w:tc>
        <w:tc>
          <w:tcPr>
            <w:tcW w:w="1195"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0,33%</w:t>
            </w: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E</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Substituto na cobertura de Afastamento Maternidade</w:t>
            </w:r>
          </w:p>
        </w:tc>
        <w:tc>
          <w:tcPr>
            <w:tcW w:w="1195"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0,056%</w:t>
            </w: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F</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textAlignment w:val="center"/>
              <w:rPr>
                <w:color w:val="000000"/>
                <w:sz w:val="20"/>
              </w:rPr>
            </w:pPr>
            <w:r>
              <w:rPr>
                <w:color w:val="000000"/>
                <w:sz w:val="20"/>
                <w:szCs w:val="21"/>
                <w:lang w:val="pt-BR" w:eastAsia="zh-CN" w:bidi="ar"/>
              </w:rPr>
              <w:t>Outros (especificar)</w:t>
            </w:r>
          </w:p>
        </w:tc>
        <w:tc>
          <w:tcPr>
            <w:tcW w:w="1195"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rPr>
                <w:color w:val="000000"/>
                <w:sz w:val="20"/>
                <w:szCs w:val="21"/>
              </w:rPr>
            </w:pPr>
          </w:p>
        </w:tc>
        <w:tc>
          <w:tcPr>
            <w:tcW w:w="1195"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388"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 xml:space="preserve">Total </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2,043%</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tcMar>
              <w:top w:w="15" w:type="dxa"/>
              <w:left w:w="15" w:type="dxa"/>
              <w:right w:w="15" w:type="dxa"/>
            </w:tcMar>
            <w:vAlign w:val="center"/>
          </w:tcPr>
          <w:p>
            <w:pPr>
              <w:rPr>
                <w:b/>
                <w:color w:val="000000"/>
                <w:sz w:val="20"/>
                <w:szCs w:val="21"/>
              </w:rPr>
            </w:pPr>
          </w:p>
        </w:tc>
        <w:tc>
          <w:tcPr>
            <w:tcW w:w="4791" w:type="dxa"/>
            <w:gridSpan w:val="3"/>
            <w:tcBorders>
              <w:top w:val="nil"/>
              <w:left w:val="nil"/>
              <w:bottom w:val="nil"/>
              <w:right w:val="nil"/>
            </w:tcBorders>
            <w:tcMar>
              <w:top w:w="15" w:type="dxa"/>
              <w:left w:w="15" w:type="dxa"/>
              <w:right w:w="15" w:type="dxa"/>
            </w:tcMar>
            <w:vAlign w:val="center"/>
          </w:tcPr>
          <w:p>
            <w:pPr>
              <w:rPr>
                <w:b/>
                <w:color w:val="000000"/>
                <w:sz w:val="20"/>
                <w:szCs w:val="21"/>
              </w:rPr>
            </w:pPr>
          </w:p>
        </w:tc>
        <w:tc>
          <w:tcPr>
            <w:tcW w:w="1195" w:type="dxa"/>
            <w:tcBorders>
              <w:top w:val="nil"/>
              <w:left w:val="nil"/>
              <w:bottom w:val="nil"/>
              <w:right w:val="nil"/>
            </w:tcBorders>
            <w:tcMar>
              <w:top w:w="15" w:type="dxa"/>
              <w:left w:w="15" w:type="dxa"/>
              <w:right w:w="15" w:type="dxa"/>
            </w:tcMar>
            <w:vAlign w:val="center"/>
          </w:tcPr>
          <w:p>
            <w:pPr>
              <w:jc w:val="center"/>
              <w:rPr>
                <w:b/>
                <w:color w:val="000000"/>
                <w:sz w:val="20"/>
                <w:szCs w:val="21"/>
              </w:rPr>
            </w:pPr>
          </w:p>
        </w:tc>
        <w:tc>
          <w:tcPr>
            <w:tcW w:w="2717" w:type="dxa"/>
            <w:tcBorders>
              <w:top w:val="nil"/>
              <w:left w:val="nil"/>
              <w:bottom w:val="nil"/>
              <w:right w:val="nil"/>
            </w:tcBorders>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D9E1F2"/>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Submódulo 4.2  - Incidências sobre o Substituto nas Ausências Legais</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4.2</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Incidencia do Submódulo 2.2 sobre o Substituto nas Ausências Legais</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Percentual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Incidencia do Submódulo 2.2 sobre o Substituto nas Ausências Legais</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0,752%</w:t>
            </w:r>
          </w:p>
        </w:tc>
        <w:tc>
          <w:tcPr>
            <w:tcW w:w="2717"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388"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 xml:space="preserve">Total </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0,752%</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tcMar>
              <w:top w:w="15" w:type="dxa"/>
              <w:left w:w="15" w:type="dxa"/>
              <w:right w:w="15" w:type="dxa"/>
            </w:tcMar>
            <w:vAlign w:val="center"/>
          </w:tcPr>
          <w:p>
            <w:pPr>
              <w:rPr>
                <w:b/>
                <w:color w:val="000000"/>
                <w:sz w:val="20"/>
                <w:szCs w:val="21"/>
              </w:rPr>
            </w:pPr>
          </w:p>
        </w:tc>
        <w:tc>
          <w:tcPr>
            <w:tcW w:w="4791" w:type="dxa"/>
            <w:gridSpan w:val="3"/>
            <w:tcBorders>
              <w:top w:val="nil"/>
              <w:left w:val="nil"/>
              <w:bottom w:val="nil"/>
              <w:right w:val="nil"/>
            </w:tcBorders>
            <w:tcMar>
              <w:top w:w="15" w:type="dxa"/>
              <w:left w:w="15" w:type="dxa"/>
              <w:right w:w="15" w:type="dxa"/>
            </w:tcMar>
            <w:vAlign w:val="center"/>
          </w:tcPr>
          <w:p>
            <w:pPr>
              <w:rPr>
                <w:b/>
                <w:color w:val="000000"/>
                <w:sz w:val="20"/>
                <w:szCs w:val="21"/>
              </w:rPr>
            </w:pPr>
          </w:p>
        </w:tc>
        <w:tc>
          <w:tcPr>
            <w:tcW w:w="1195" w:type="dxa"/>
            <w:tcBorders>
              <w:top w:val="nil"/>
              <w:left w:val="nil"/>
              <w:bottom w:val="nil"/>
              <w:right w:val="nil"/>
            </w:tcBorders>
            <w:tcMar>
              <w:top w:w="15" w:type="dxa"/>
              <w:left w:w="15" w:type="dxa"/>
              <w:right w:w="15" w:type="dxa"/>
            </w:tcMar>
            <w:vAlign w:val="center"/>
          </w:tcPr>
          <w:p>
            <w:pPr>
              <w:jc w:val="center"/>
              <w:rPr>
                <w:b/>
                <w:color w:val="000000"/>
                <w:sz w:val="20"/>
                <w:szCs w:val="21"/>
              </w:rPr>
            </w:pPr>
          </w:p>
        </w:tc>
        <w:tc>
          <w:tcPr>
            <w:tcW w:w="2717" w:type="dxa"/>
            <w:tcBorders>
              <w:top w:val="nil"/>
              <w:left w:val="nil"/>
              <w:bottom w:val="nil"/>
              <w:right w:val="nil"/>
            </w:tcBorders>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Quadro-Resumo do Módulo 4 - Custo de Reposição do Profissional Ausente</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4</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Custo de Reposição do Profissional Ausente</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4.1</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Substituto nas Ausências Legais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4.2</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Incidencia do Submódulo 2.2 sobre o Substituto nas Ausências Legais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w:t>
            </w:r>
          </w:p>
        </w:tc>
        <w:tc>
          <w:tcPr>
            <w:tcW w:w="2717" w:type="dxa"/>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tcMar>
              <w:top w:w="15" w:type="dxa"/>
              <w:left w:w="15" w:type="dxa"/>
              <w:right w:w="15" w:type="dxa"/>
            </w:tcMar>
            <w:vAlign w:val="center"/>
          </w:tcPr>
          <w:p>
            <w:pPr>
              <w:rPr>
                <w:b/>
                <w:color w:val="000000"/>
                <w:sz w:val="20"/>
                <w:szCs w:val="21"/>
              </w:rPr>
            </w:pPr>
          </w:p>
        </w:tc>
        <w:tc>
          <w:tcPr>
            <w:tcW w:w="4791" w:type="dxa"/>
            <w:gridSpan w:val="3"/>
            <w:tcBorders>
              <w:top w:val="nil"/>
              <w:left w:val="nil"/>
              <w:bottom w:val="nil"/>
              <w:right w:val="nil"/>
            </w:tcBorders>
            <w:tcMar>
              <w:top w:w="15" w:type="dxa"/>
              <w:left w:w="15" w:type="dxa"/>
              <w:right w:w="15" w:type="dxa"/>
            </w:tcMar>
            <w:vAlign w:val="center"/>
          </w:tcPr>
          <w:p>
            <w:pPr>
              <w:rPr>
                <w:b/>
                <w:color w:val="000000"/>
                <w:sz w:val="20"/>
                <w:szCs w:val="21"/>
              </w:rPr>
            </w:pPr>
          </w:p>
        </w:tc>
        <w:tc>
          <w:tcPr>
            <w:tcW w:w="1195" w:type="dxa"/>
            <w:tcBorders>
              <w:top w:val="nil"/>
              <w:left w:val="nil"/>
              <w:bottom w:val="nil"/>
              <w:right w:val="nil"/>
            </w:tcBorders>
            <w:tcMar>
              <w:top w:w="15" w:type="dxa"/>
              <w:left w:w="15" w:type="dxa"/>
              <w:right w:w="15" w:type="dxa"/>
            </w:tcMar>
            <w:vAlign w:val="center"/>
          </w:tcPr>
          <w:p>
            <w:pPr>
              <w:jc w:val="center"/>
              <w:rPr>
                <w:b/>
                <w:color w:val="000000"/>
                <w:sz w:val="20"/>
                <w:szCs w:val="21"/>
              </w:rPr>
            </w:pPr>
          </w:p>
        </w:tc>
        <w:tc>
          <w:tcPr>
            <w:tcW w:w="2717" w:type="dxa"/>
            <w:tcBorders>
              <w:top w:val="nil"/>
              <w:left w:val="nil"/>
              <w:bottom w:val="nil"/>
              <w:right w:val="nil"/>
            </w:tcBorders>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66" w:hRule="atLeast"/>
        </w:trPr>
        <w:tc>
          <w:tcPr>
            <w:tcW w:w="9300" w:type="dxa"/>
            <w:gridSpan w:val="6"/>
            <w:vMerge w:val="restart"/>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BASE DE CÁLCULO PARA O MÓDULO 5:</w:t>
            </w:r>
            <w:r>
              <w:rPr>
                <w:rFonts w:ascii="Verdana" w:hAnsi="Verdana" w:cs="Verdana"/>
                <w:b/>
                <w:color w:val="FFFFFF"/>
                <w:sz w:val="20"/>
                <w:szCs w:val="21"/>
                <w:lang w:val="pt-BR" w:eastAsia="zh-CN" w:bidi="ar"/>
              </w:rPr>
              <w:br w:type="textWrapping"/>
            </w:r>
            <w:r>
              <w:rPr>
                <w:rFonts w:ascii="Verdana" w:hAnsi="Verdana" w:cs="Verdana"/>
                <w:b/>
                <w:color w:val="FFFFFF"/>
                <w:sz w:val="20"/>
                <w:szCs w:val="21"/>
                <w:lang w:val="pt-BR" w:eastAsia="zh-CN" w:bidi="ar"/>
              </w:rPr>
              <w:t xml:space="preserve">(PLANILHA ESPECÍFICA DOS INSUMOS) </w:t>
            </w:r>
          </w:p>
        </w:tc>
      </w:tr>
      <w:tr>
        <w:tblPrEx>
          <w:tblCellMar>
            <w:top w:w="0" w:type="dxa"/>
            <w:left w:w="0" w:type="dxa"/>
            <w:bottom w:w="0" w:type="dxa"/>
            <w:right w:w="0" w:type="dxa"/>
          </w:tblCellMar>
        </w:tblPrEx>
        <w:trPr>
          <w:trHeight w:val="650" w:hRule="atLeast"/>
        </w:trPr>
        <w:tc>
          <w:tcPr>
            <w:tcW w:w="9300" w:type="dxa"/>
            <w:gridSpan w:val="6"/>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Módulo 5 - Insumos Diversos</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5</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Insumos Diversos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A</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Uniformes</w:t>
            </w: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B</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Materiais</w:t>
            </w: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C</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color w:val="000000"/>
                <w:sz w:val="20"/>
              </w:rPr>
            </w:pPr>
            <w:r>
              <w:rPr>
                <w:color w:val="000000"/>
                <w:sz w:val="20"/>
                <w:szCs w:val="21"/>
                <w:lang w:val="pt-BR" w:eastAsia="zh-CN" w:bidi="ar"/>
              </w:rPr>
              <w:t>Equipamentos</w:t>
            </w: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D</w:t>
            </w: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textAlignment w:val="center"/>
              <w:rPr>
                <w:color w:val="000000"/>
                <w:sz w:val="20"/>
              </w:rPr>
            </w:pPr>
            <w:r>
              <w:rPr>
                <w:color w:val="000000"/>
                <w:sz w:val="20"/>
                <w:szCs w:val="21"/>
                <w:lang w:val="pt-BR" w:eastAsia="zh-CN" w:bidi="ar"/>
              </w:rPr>
              <w:t>Outros (especificar)</w:t>
            </w: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c>
          <w:tcPr>
            <w:tcW w:w="5986" w:type="dxa"/>
            <w:gridSpan w:val="4"/>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rPr>
                <w:color w:val="000000"/>
                <w:sz w:val="20"/>
                <w:szCs w:val="21"/>
              </w:rPr>
            </w:pPr>
          </w:p>
        </w:tc>
        <w:tc>
          <w:tcPr>
            <w:tcW w:w="2717" w:type="dxa"/>
            <w:tcBorders>
              <w:top w:val="single" w:color="000000" w:sz="2" w:space="0"/>
              <w:left w:val="single" w:color="000000" w:sz="2" w:space="0"/>
              <w:bottom w:val="single" w:color="000000" w:sz="2" w:space="0"/>
              <w:right w:val="single" w:color="000000" w:sz="2" w:space="0"/>
            </w:tcBorders>
            <w:shd w:val="clear" w:color="auto" w:fill="FCE4D6"/>
            <w:tcMar>
              <w:top w:w="15" w:type="dxa"/>
              <w:left w:w="15" w:type="dxa"/>
              <w:right w:w="15" w:type="dxa"/>
            </w:tcMar>
            <w:vAlign w:val="center"/>
          </w:tcPr>
          <w:p>
            <w:pPr>
              <w:jc w:val="center"/>
              <w:rPr>
                <w:color w:val="000000"/>
                <w:sz w:val="20"/>
                <w:szCs w:val="21"/>
              </w:rPr>
            </w:pP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 xml:space="preserve">Total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98" w:hRule="atLeast"/>
        </w:trPr>
        <w:tc>
          <w:tcPr>
            <w:tcW w:w="4835" w:type="dxa"/>
            <w:gridSpan w:val="2"/>
            <w:vMerge w:val="restart"/>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BASE DE CÁLCULO PARA O CUSTO INDIRETO: MÓDULO 1 + MÓDULO 2 + MÓDULO 3 + MÓDULO 4 + MÓDULO 5</w:t>
            </w: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1</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2</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3</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4</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5</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445" w:hRule="atLeast"/>
        </w:trPr>
        <w:tc>
          <w:tcPr>
            <w:tcW w:w="4835" w:type="dxa"/>
            <w:gridSpan w:val="2"/>
            <w:vMerge w:val="continue"/>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noWrap/>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TOTAL </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restart"/>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BASE DE CÁLCULO PARA O LUCRO: </w:t>
            </w:r>
            <w:r>
              <w:rPr>
                <w:rFonts w:ascii="Verdana" w:hAnsi="Verdana" w:cs="Verdana"/>
                <w:b/>
                <w:color w:val="FFFFFF"/>
                <w:sz w:val="20"/>
                <w:szCs w:val="21"/>
                <w:lang w:val="pt-BR" w:eastAsia="zh-CN" w:bidi="ar"/>
              </w:rPr>
              <w:br w:type="textWrapping"/>
            </w:r>
            <w:r>
              <w:rPr>
                <w:rFonts w:ascii="Verdana" w:hAnsi="Verdana" w:cs="Verdana"/>
                <w:b/>
                <w:color w:val="FFFFFF"/>
                <w:sz w:val="20"/>
                <w:szCs w:val="21"/>
                <w:lang w:val="pt-BR" w:eastAsia="zh-CN" w:bidi="ar"/>
              </w:rPr>
              <w:t>MÓDULO 1 + MÓDULO 2 + MÓDULO 3 + MÓDULO 4 + MÓDULO 5 + CUSTO INDIRETO</w:t>
            </w: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1</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2</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3</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4</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98" w:hRule="atLeast"/>
        </w:trPr>
        <w:tc>
          <w:tcPr>
            <w:tcW w:w="4835" w:type="dxa"/>
            <w:gridSpan w:val="2"/>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MÓDULO 5</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647" w:hRule="atLeast"/>
        </w:trPr>
        <w:tc>
          <w:tcPr>
            <w:tcW w:w="4835" w:type="dxa"/>
            <w:gridSpan w:val="2"/>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CUSTO INDIRETO</w:t>
            </w:r>
          </w:p>
        </w:tc>
        <w:tc>
          <w:tcPr>
            <w:tcW w:w="2717" w:type="dxa"/>
            <w:tcBorders>
              <w:top w:val="single" w:color="FFFFFF" w:sz="8" w:space="0"/>
              <w:left w:val="single" w:color="FFFFFF" w:sz="8" w:space="0"/>
              <w:bottom w:val="single" w:color="FFFFFF" w:sz="8" w:space="0"/>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445" w:hRule="atLeast"/>
        </w:trPr>
        <w:tc>
          <w:tcPr>
            <w:tcW w:w="4835" w:type="dxa"/>
            <w:gridSpan w:val="2"/>
            <w:vMerge w:val="continue"/>
            <w:tcBorders>
              <w:top w:val="single" w:color="FFFFFF" w:sz="8" w:space="0"/>
              <w:left w:val="nil"/>
              <w:bottom w:val="nil"/>
              <w:right w:val="single" w:color="FFFFFF" w:sz="8" w:space="0"/>
            </w:tcBorders>
            <w:shd w:val="thinHorzCross" w:color="auto" w:fill="1F4E78"/>
            <w:tcMar>
              <w:top w:w="15" w:type="dxa"/>
              <w:left w:w="15" w:type="dxa"/>
              <w:right w:w="15" w:type="dxa"/>
            </w:tcMar>
            <w:vAlign w:val="center"/>
          </w:tcPr>
          <w:p>
            <w:pPr>
              <w:jc w:val="center"/>
              <w:rPr>
                <w:rFonts w:ascii="Verdana" w:hAnsi="Verdana" w:cs="Verdana"/>
                <w:b/>
                <w:color w:val="FFFFFF"/>
                <w:sz w:val="20"/>
                <w:szCs w:val="21"/>
              </w:rPr>
            </w:pPr>
          </w:p>
        </w:tc>
        <w:tc>
          <w:tcPr>
            <w:tcW w:w="1748" w:type="dxa"/>
            <w:gridSpan w:val="3"/>
            <w:tcBorders>
              <w:top w:val="single" w:color="FFFFFF" w:sz="8" w:space="0"/>
              <w:left w:val="single" w:color="FFFFFF" w:sz="8" w:space="0"/>
              <w:bottom w:val="single" w:color="FFFFFF" w:sz="8" w:space="0"/>
              <w:right w:val="single" w:color="FFFFFF" w:sz="8" w:space="0"/>
            </w:tcBorders>
            <w:shd w:val="thinHorzCross" w:color="auto" w:fill="1F4E78"/>
            <w:noWrap/>
            <w:tcMar>
              <w:top w:w="15" w:type="dxa"/>
              <w:left w:w="15" w:type="dxa"/>
              <w:right w:w="15" w:type="dxa"/>
            </w:tcMar>
            <w:vAlign w:val="center"/>
          </w:tcPr>
          <w:p>
            <w:pPr>
              <w:jc w:val="center"/>
              <w:textAlignment w:val="center"/>
              <w:rPr>
                <w:rFonts w:ascii="Verdana" w:hAnsi="Verdana" w:cs="Verdana"/>
                <w:b/>
                <w:color w:val="FFFFFF"/>
                <w:sz w:val="20"/>
              </w:rPr>
            </w:pPr>
            <w:r>
              <w:rPr>
                <w:rFonts w:ascii="Verdana" w:hAnsi="Verdana" w:cs="Verdana"/>
                <w:b/>
                <w:color w:val="FFFFFF"/>
                <w:sz w:val="20"/>
                <w:szCs w:val="21"/>
                <w:lang w:val="pt-BR" w:eastAsia="zh-CN" w:bidi="ar"/>
              </w:rPr>
              <w:t xml:space="preserve">TOTAL </w:t>
            </w:r>
          </w:p>
        </w:tc>
        <w:tc>
          <w:tcPr>
            <w:tcW w:w="2717" w:type="dxa"/>
            <w:tcBorders>
              <w:top w:val="nil"/>
              <w:left w:val="nil"/>
              <w:bottom w:val="nil"/>
              <w:right w:val="nil"/>
            </w:tcBorders>
            <w:shd w:val="thinHorzCross" w:color="auto" w:fill="1F4E78"/>
            <w:tcMar>
              <w:top w:w="15" w:type="dxa"/>
              <w:left w:w="15" w:type="dxa"/>
              <w:right w:w="15" w:type="dxa"/>
            </w:tcMar>
            <w:vAlign w:val="center"/>
          </w:tcPr>
          <w:p>
            <w:pPr>
              <w:jc w:val="center"/>
              <w:textAlignment w:val="center"/>
              <w:rPr>
                <w:b/>
                <w:color w:val="FFFFFF"/>
                <w:sz w:val="20"/>
              </w:rPr>
            </w:pPr>
            <w:r>
              <w:rPr>
                <w:b/>
                <w:color w:val="FFFFFF"/>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Módulo 6 - Custos Indiretos, Tributos e Lucro</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6</w:t>
            </w:r>
          </w:p>
        </w:tc>
        <w:tc>
          <w:tcPr>
            <w:tcW w:w="4791" w:type="dxa"/>
            <w:gridSpan w:val="3"/>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Custos Indiretos, Tributos e Lucro</w:t>
            </w:r>
          </w:p>
        </w:tc>
        <w:tc>
          <w:tcPr>
            <w:tcW w:w="1195"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Percentual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A</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b/>
                <w:color w:val="000000"/>
                <w:sz w:val="20"/>
              </w:rPr>
            </w:pPr>
            <w:r>
              <w:rPr>
                <w:b/>
                <w:color w:val="000000"/>
                <w:sz w:val="20"/>
                <w:szCs w:val="21"/>
                <w:lang w:val="pt-BR" w:eastAsia="zh-CN" w:bidi="ar"/>
              </w:rPr>
              <w:t>Custos Indiretos</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7,</w:t>
            </w:r>
            <w:r>
              <w:rPr>
                <w:b/>
                <w:color w:val="000000"/>
                <w:sz w:val="20"/>
                <w:szCs w:val="21"/>
                <w:lang w:eastAsia="zh-CN" w:bidi="ar"/>
              </w:rPr>
              <w:t>568</w:t>
            </w:r>
            <w:r>
              <w:rPr>
                <w:b/>
                <w:color w:val="000000"/>
                <w:sz w:val="20"/>
                <w:szCs w:val="21"/>
                <w:lang w:val="pt-BR" w:eastAsia="zh-CN" w:bidi="ar"/>
              </w:rPr>
              <w:t>%</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B</w:t>
            </w: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textAlignment w:val="center"/>
              <w:rPr>
                <w:b/>
                <w:color w:val="000000"/>
                <w:sz w:val="20"/>
              </w:rPr>
            </w:pPr>
            <w:r>
              <w:rPr>
                <w:b/>
                <w:color w:val="000000"/>
                <w:sz w:val="20"/>
                <w:szCs w:val="21"/>
                <w:lang w:val="pt-BR" w:eastAsia="zh-CN" w:bidi="ar"/>
              </w:rPr>
              <w:t xml:space="preserve">Lucro </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10,</w:t>
            </w:r>
            <w:r>
              <w:rPr>
                <w:b/>
                <w:color w:val="000000"/>
                <w:sz w:val="20"/>
                <w:szCs w:val="21"/>
                <w:lang w:eastAsia="zh-CN" w:bidi="ar"/>
              </w:rPr>
              <w:t>568</w:t>
            </w:r>
            <w:r>
              <w:rPr>
                <w:b/>
                <w:color w:val="000000"/>
                <w:sz w:val="20"/>
                <w:szCs w:val="21"/>
                <w:lang w:val="pt-BR" w:eastAsia="zh-CN" w:bidi="ar"/>
              </w:rPr>
              <w:t>%</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shd w:val="clear" w:color="auto" w:fill="D9E1F2"/>
            <w:tcMar>
              <w:top w:w="15" w:type="dxa"/>
              <w:left w:w="15" w:type="dxa"/>
              <w:right w:w="15" w:type="dxa"/>
            </w:tcMar>
            <w:vAlign w:val="center"/>
          </w:tcPr>
          <w:p>
            <w:pPr>
              <w:jc w:val="center"/>
              <w:textAlignment w:val="center"/>
              <w:rPr>
                <w:b/>
                <w:color w:val="0033CC"/>
                <w:sz w:val="20"/>
              </w:rPr>
            </w:pPr>
            <w:r>
              <w:rPr>
                <w:b/>
                <w:color w:val="0033CC"/>
                <w:sz w:val="20"/>
                <w:szCs w:val="21"/>
                <w:lang w:val="pt-BR" w:eastAsia="zh-CN" w:bidi="ar"/>
              </w:rPr>
              <w:t xml:space="preserve">  FATURAMENTO </w:t>
            </w:r>
          </w:p>
        </w:tc>
        <w:tc>
          <w:tcPr>
            <w:tcW w:w="2717" w:type="dxa"/>
            <w:tcBorders>
              <w:top w:val="single" w:color="000000" w:sz="2" w:space="0"/>
              <w:left w:val="single" w:color="000000" w:sz="2" w:space="0"/>
              <w:bottom w:val="single" w:color="000000" w:sz="2" w:space="0"/>
              <w:right w:val="single" w:color="000000" w:sz="2" w:space="0"/>
            </w:tcBorders>
            <w:shd w:val="clear" w:color="auto" w:fill="D9E1F2"/>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shd w:val="clear" w:color="auto" w:fill="D9E1F2"/>
            <w:tcMar>
              <w:top w:w="15" w:type="dxa"/>
              <w:left w:w="15" w:type="dxa"/>
              <w:right w:w="15" w:type="dxa"/>
            </w:tcMar>
            <w:vAlign w:val="center"/>
          </w:tcPr>
          <w:p>
            <w:pPr>
              <w:jc w:val="center"/>
              <w:textAlignment w:val="center"/>
              <w:rPr>
                <w:b/>
                <w:color w:val="0033CC"/>
                <w:sz w:val="20"/>
              </w:rPr>
            </w:pPr>
            <w:r>
              <w:rPr>
                <w:rStyle w:val="197"/>
                <w:sz w:val="20"/>
                <w:szCs w:val="21"/>
                <w:lang w:val="pt-BR" w:eastAsia="zh-CN" w:bidi="ar"/>
              </w:rPr>
              <w:t xml:space="preserve">BASE DE CÁLCULO DOS TRIBUTOS  = </w:t>
            </w:r>
            <w:r>
              <w:rPr>
                <w:rStyle w:val="198"/>
                <w:sz w:val="20"/>
                <w:szCs w:val="21"/>
                <w:lang w:val="pt-BR" w:eastAsia="zh-CN" w:bidi="ar"/>
              </w:rPr>
              <w:t xml:space="preserve">( Faturamento / ( 1 - % Tributos ) </w:t>
            </w:r>
          </w:p>
        </w:tc>
        <w:tc>
          <w:tcPr>
            <w:tcW w:w="2717" w:type="dxa"/>
            <w:tcBorders>
              <w:top w:val="single" w:color="000000" w:sz="2" w:space="0"/>
              <w:left w:val="single" w:color="000000" w:sz="2" w:space="0"/>
              <w:bottom w:val="single" w:color="000000" w:sz="2" w:space="0"/>
              <w:right w:val="single" w:color="000000" w:sz="2" w:space="0"/>
            </w:tcBorders>
            <w:shd w:val="clear" w:color="auto" w:fill="D9E1F2"/>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C</w:t>
            </w:r>
          </w:p>
        </w:tc>
        <w:tc>
          <w:tcPr>
            <w:tcW w:w="8703" w:type="dxa"/>
            <w:gridSpan w:val="5"/>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b/>
                <w:color w:val="000000"/>
                <w:sz w:val="20"/>
              </w:rPr>
            </w:pPr>
            <w:r>
              <w:rPr>
                <w:b/>
                <w:color w:val="000000"/>
                <w:sz w:val="20"/>
                <w:szCs w:val="21"/>
                <w:lang w:val="pt-BR" w:eastAsia="zh-CN" w:bidi="ar"/>
              </w:rPr>
              <w:t>Tributos</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8703" w:type="dxa"/>
            <w:gridSpan w:val="5"/>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color w:val="000000"/>
                <w:sz w:val="20"/>
              </w:rPr>
            </w:pPr>
            <w:r>
              <w:rPr>
                <w:color w:val="000000"/>
                <w:sz w:val="20"/>
                <w:szCs w:val="21"/>
                <w:lang w:val="pt-BR" w:eastAsia="zh-CN" w:bidi="ar"/>
              </w:rPr>
              <w:t>C1. Tributos Federais</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i/>
                <w:color w:val="000000"/>
                <w:sz w:val="20"/>
              </w:rPr>
            </w:pPr>
            <w:r>
              <w:rPr>
                <w:i/>
                <w:color w:val="000000"/>
                <w:sz w:val="20"/>
                <w:szCs w:val="21"/>
                <w:lang w:val="pt-BR" w:eastAsia="zh-CN" w:bidi="ar"/>
              </w:rPr>
              <w:t xml:space="preserve">C1-A  (PIS)   </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0,65%</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i/>
                <w:color w:val="000000"/>
                <w:sz w:val="20"/>
              </w:rPr>
            </w:pPr>
            <w:r>
              <w:rPr>
                <w:i/>
                <w:color w:val="000000"/>
                <w:sz w:val="20"/>
                <w:szCs w:val="21"/>
                <w:lang w:val="pt-BR" w:eastAsia="zh-CN" w:bidi="ar"/>
              </w:rPr>
              <w:t xml:space="preserve">C1. B  (COFINS)  </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3,00%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i/>
                <w:color w:val="000000"/>
                <w:sz w:val="20"/>
              </w:rPr>
            </w:pPr>
            <w:r>
              <w:rPr>
                <w:i/>
                <w:color w:val="000000"/>
                <w:sz w:val="20"/>
                <w:szCs w:val="21"/>
                <w:lang w:val="pt-BR" w:eastAsia="zh-CN" w:bidi="ar"/>
              </w:rPr>
              <w:t xml:space="preserve">C1. C  (IRPJ)  </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4,80%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i/>
                <w:color w:val="000000"/>
                <w:sz w:val="20"/>
              </w:rPr>
            </w:pPr>
            <w:r>
              <w:rPr>
                <w:i/>
                <w:color w:val="000000"/>
                <w:sz w:val="20"/>
                <w:szCs w:val="21"/>
                <w:lang w:val="pt-BR" w:eastAsia="zh-CN" w:bidi="ar"/>
              </w:rPr>
              <w:t xml:space="preserve">C1. D  (CSLL)  </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2,88%</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8703" w:type="dxa"/>
            <w:gridSpan w:val="5"/>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color w:val="000000"/>
                <w:sz w:val="20"/>
              </w:rPr>
            </w:pPr>
            <w:r>
              <w:rPr>
                <w:color w:val="000000"/>
                <w:sz w:val="20"/>
                <w:szCs w:val="21"/>
                <w:lang w:val="pt-BR" w:eastAsia="zh-CN" w:bidi="ar"/>
              </w:rPr>
              <w:t>C.2 Tributos Estaduais (especificar)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8703" w:type="dxa"/>
            <w:gridSpan w:val="5"/>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color w:val="000000"/>
                <w:sz w:val="20"/>
              </w:rPr>
            </w:pPr>
            <w:r>
              <w:rPr>
                <w:color w:val="000000"/>
                <w:sz w:val="20"/>
                <w:szCs w:val="21"/>
                <w:lang w:val="pt-BR" w:eastAsia="zh-CN" w:bidi="ar"/>
              </w:rPr>
              <w:t xml:space="preserve">C.3 Tributos Municipais </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textAlignment w:val="center"/>
              <w:rPr>
                <w:i/>
                <w:color w:val="000000"/>
                <w:sz w:val="20"/>
              </w:rPr>
            </w:pPr>
            <w:r>
              <w:rPr>
                <w:i/>
                <w:color w:val="000000"/>
                <w:sz w:val="20"/>
                <w:szCs w:val="21"/>
                <w:lang w:val="pt-BR" w:eastAsia="zh-CN" w:bidi="ar"/>
              </w:rPr>
              <w:t xml:space="preserve">C3-A (ISS)  </w:t>
            </w:r>
          </w:p>
        </w:tc>
        <w:tc>
          <w:tcPr>
            <w:tcW w:w="1195"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5,</w:t>
            </w:r>
            <w:r>
              <w:rPr>
                <w:color w:val="000000"/>
                <w:sz w:val="20"/>
                <w:szCs w:val="21"/>
                <w:lang w:eastAsia="zh-CN" w:bidi="ar"/>
              </w:rPr>
              <w:t>568</w:t>
            </w:r>
            <w:r>
              <w:rPr>
                <w:color w:val="000000"/>
                <w:sz w:val="20"/>
                <w:szCs w:val="21"/>
                <w:lang w:val="pt-BR" w:eastAsia="zh-CN" w:bidi="ar"/>
              </w:rPr>
              <w:t>%</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rPr>
                <w:b/>
                <w:color w:val="000000"/>
                <w:sz w:val="20"/>
                <w:szCs w:val="21"/>
              </w:rPr>
            </w:pPr>
          </w:p>
        </w:tc>
        <w:tc>
          <w:tcPr>
            <w:tcW w:w="4791" w:type="dxa"/>
            <w:gridSpan w:val="3"/>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textAlignment w:val="center"/>
              <w:rPr>
                <w:b/>
                <w:color w:val="000000"/>
                <w:sz w:val="20"/>
              </w:rPr>
            </w:pPr>
            <w:r>
              <w:rPr>
                <w:b/>
                <w:color w:val="000000"/>
                <w:sz w:val="20"/>
                <w:szCs w:val="21"/>
                <w:lang w:val="pt-BR" w:eastAsia="zh-CN" w:bidi="ar"/>
              </w:rPr>
              <w:t>SOMA DOS TRIBUTOS</w:t>
            </w:r>
          </w:p>
        </w:tc>
        <w:tc>
          <w:tcPr>
            <w:tcW w:w="119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16,330%</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shd w:val="clear" w:color="auto" w:fill="FFFFFF"/>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Total</w:t>
            </w:r>
          </w:p>
        </w:tc>
        <w:tc>
          <w:tcPr>
            <w:tcW w:w="2717"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0" w:hRule="atLeast"/>
        </w:trPr>
        <w:tc>
          <w:tcPr>
            <w:tcW w:w="9300" w:type="dxa"/>
            <w:gridSpan w:val="6"/>
            <w:tcBorders>
              <w:top w:val="nil"/>
              <w:left w:val="nil"/>
              <w:bottom w:val="nil"/>
              <w:right w:val="nil"/>
            </w:tcBorders>
            <w:shd w:val="clear" w:color="auto" w:fill="8EA9DB"/>
            <w:noWrap/>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2. QUADRO-RESUMO DO CUSTO POR EMPREGADO</w:t>
            </w:r>
          </w:p>
        </w:tc>
      </w:tr>
      <w:tr>
        <w:tblPrEx>
          <w:tblCellMar>
            <w:top w:w="0" w:type="dxa"/>
            <w:left w:w="0" w:type="dxa"/>
            <w:bottom w:w="0" w:type="dxa"/>
            <w:right w:w="0" w:type="dxa"/>
          </w:tblCellMar>
        </w:tblPrEx>
        <w:trPr>
          <w:trHeight w:val="330" w:hRule="atLeast"/>
        </w:trPr>
        <w:tc>
          <w:tcPr>
            <w:tcW w:w="597"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4791" w:type="dxa"/>
            <w:gridSpan w:val="3"/>
            <w:tcBorders>
              <w:top w:val="nil"/>
              <w:left w:val="nil"/>
              <w:bottom w:val="nil"/>
              <w:right w:val="nil"/>
            </w:tcBorders>
            <w:noWrap/>
            <w:tcMar>
              <w:top w:w="15" w:type="dxa"/>
              <w:left w:w="15" w:type="dxa"/>
              <w:right w:w="15" w:type="dxa"/>
            </w:tcMar>
            <w:vAlign w:val="center"/>
          </w:tcPr>
          <w:p>
            <w:pPr>
              <w:rPr>
                <w:color w:val="000000"/>
                <w:sz w:val="20"/>
                <w:szCs w:val="21"/>
              </w:rPr>
            </w:pPr>
          </w:p>
        </w:tc>
        <w:tc>
          <w:tcPr>
            <w:tcW w:w="1195" w:type="dxa"/>
            <w:tcBorders>
              <w:top w:val="nil"/>
              <w:left w:val="nil"/>
              <w:bottom w:val="nil"/>
              <w:right w:val="nil"/>
            </w:tcBorders>
            <w:noWrap/>
            <w:tcMar>
              <w:top w:w="15" w:type="dxa"/>
              <w:left w:w="15" w:type="dxa"/>
              <w:right w:w="15" w:type="dxa"/>
            </w:tcMar>
            <w:vAlign w:val="center"/>
          </w:tcPr>
          <w:p>
            <w:pPr>
              <w:rPr>
                <w:color w:val="000000"/>
                <w:sz w:val="20"/>
                <w:szCs w:val="21"/>
              </w:rPr>
            </w:pPr>
          </w:p>
        </w:tc>
        <w:tc>
          <w:tcPr>
            <w:tcW w:w="2717" w:type="dxa"/>
            <w:tcBorders>
              <w:top w:val="nil"/>
              <w:left w:val="nil"/>
              <w:bottom w:val="nil"/>
              <w:right w:val="nil"/>
            </w:tcBorders>
            <w:noWrap/>
            <w:tcMar>
              <w:top w:w="15" w:type="dxa"/>
              <w:left w:w="15" w:type="dxa"/>
              <w:right w:w="15" w:type="dxa"/>
            </w:tcMar>
            <w:vAlign w:val="center"/>
          </w:tcPr>
          <w:p>
            <w:pPr>
              <w:rPr>
                <w:color w:val="000000"/>
                <w:sz w:val="20"/>
                <w:szCs w:val="21"/>
              </w:rPr>
            </w:pP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Mão de obra vinculada à execução contratual (valor por empregado)</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Valor (R$)</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A</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Módulo 1 - Composição da Remuneração</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B</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Módulo 2 - Encargos, Benefícios (anuais, mensais e diários) e Intrajornada</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C</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Módulo 3 - Provisão para Rescisão</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D</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Módulo 4 - Custo de Reposição do Profissional Ausente</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E</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Módulo 5 - Insumos Diversos</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6583" w:type="dxa"/>
            <w:gridSpan w:val="5"/>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Subtotal (A + B + C + D + E)</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r>
        <w:tblPrEx>
          <w:tblCellMar>
            <w:top w:w="0" w:type="dxa"/>
            <w:left w:w="0" w:type="dxa"/>
            <w:bottom w:w="0" w:type="dxa"/>
            <w:right w:w="0" w:type="dxa"/>
          </w:tblCellMar>
        </w:tblPrEx>
        <w:trPr>
          <w:trHeight w:val="335" w:hRule="atLeast"/>
        </w:trPr>
        <w:tc>
          <w:tcPr>
            <w:tcW w:w="59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F</w:t>
            </w:r>
          </w:p>
        </w:tc>
        <w:tc>
          <w:tcPr>
            <w:tcW w:w="5986" w:type="dxa"/>
            <w:gridSpan w:val="4"/>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textAlignment w:val="center"/>
              <w:rPr>
                <w:color w:val="000000"/>
                <w:sz w:val="20"/>
              </w:rPr>
            </w:pPr>
            <w:r>
              <w:rPr>
                <w:color w:val="000000"/>
                <w:sz w:val="20"/>
                <w:szCs w:val="21"/>
                <w:lang w:val="pt-BR" w:eastAsia="zh-CN" w:bidi="ar"/>
              </w:rPr>
              <w:t>Módulo 6 – Custos Indiretos, Tributos e Lucro</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color w:val="000000"/>
                <w:sz w:val="20"/>
              </w:rPr>
            </w:pPr>
            <w:r>
              <w:rPr>
                <w:color w:val="000000"/>
                <w:sz w:val="20"/>
                <w:szCs w:val="21"/>
                <w:lang w:val="pt-BR" w:eastAsia="zh-CN" w:bidi="ar"/>
              </w:rPr>
              <w:t>0,00</w:t>
            </w:r>
          </w:p>
        </w:tc>
      </w:tr>
      <w:tr>
        <w:tblPrEx>
          <w:tblCellMar>
            <w:top w:w="0" w:type="dxa"/>
            <w:left w:w="0" w:type="dxa"/>
            <w:bottom w:w="0" w:type="dxa"/>
            <w:right w:w="0" w:type="dxa"/>
          </w:tblCellMar>
        </w:tblPrEx>
        <w:trPr>
          <w:trHeight w:val="340" w:hRule="atLeast"/>
        </w:trPr>
        <w:tc>
          <w:tcPr>
            <w:tcW w:w="6583" w:type="dxa"/>
            <w:gridSpan w:val="5"/>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 xml:space="preserve">Valor Total por Empregado </w:t>
            </w:r>
          </w:p>
        </w:tc>
        <w:tc>
          <w:tcPr>
            <w:tcW w:w="2717" w:type="dxa"/>
            <w:tcBorders>
              <w:top w:val="single" w:color="000000" w:sz="2" w:space="0"/>
              <w:left w:val="single" w:color="000000" w:sz="2" w:space="0"/>
              <w:bottom w:val="single" w:color="000000" w:sz="2" w:space="0"/>
              <w:right w:val="single" w:color="000000" w:sz="2" w:space="0"/>
            </w:tcBorders>
            <w:tcMar>
              <w:top w:w="15" w:type="dxa"/>
              <w:left w:w="15" w:type="dxa"/>
              <w:right w:w="15" w:type="dxa"/>
            </w:tcMar>
            <w:vAlign w:val="center"/>
          </w:tcPr>
          <w:p>
            <w:pPr>
              <w:jc w:val="center"/>
              <w:textAlignment w:val="center"/>
              <w:rPr>
                <w:b/>
                <w:color w:val="000000"/>
                <w:sz w:val="20"/>
              </w:rPr>
            </w:pPr>
            <w:r>
              <w:rPr>
                <w:b/>
                <w:color w:val="000000"/>
                <w:sz w:val="20"/>
                <w:szCs w:val="21"/>
                <w:lang w:val="pt-BR" w:eastAsia="zh-CN" w:bidi="ar"/>
              </w:rPr>
              <w:t>0,00</w:t>
            </w:r>
          </w:p>
        </w:tc>
      </w:tr>
    </w:tbl>
    <w:p>
      <w:pPr>
        <w:widowControl w:val="0"/>
        <w:spacing w:after="120"/>
        <w:jc w:val="both"/>
        <w:rPr>
          <w:rFonts w:ascii="Arial" w:hAnsi="Arial"/>
          <w:b/>
          <w:szCs w:val="24"/>
        </w:rPr>
        <w:sectPr>
          <w:pgSz w:w="11907" w:h="16840"/>
          <w:pgMar w:top="1814" w:right="567" w:bottom="851" w:left="1701" w:header="284" w:footer="283" w:gutter="0"/>
          <w:cols w:space="720" w:num="1"/>
        </w:sectPr>
      </w:pPr>
    </w:p>
    <w:p>
      <w:pPr>
        <w:spacing w:before="83"/>
        <w:ind w:left="682" w:right="237"/>
        <w:jc w:val="center"/>
        <w:rPr>
          <w:rFonts w:ascii="Arial"/>
          <w:b/>
          <w:sz w:val="22"/>
          <w:szCs w:val="24"/>
        </w:rPr>
      </w:pPr>
      <w:r>
        <w:rPr>
          <w:rFonts w:ascii="Arial"/>
          <w:b/>
          <w:sz w:val="22"/>
          <w:szCs w:val="24"/>
        </w:rPr>
        <w:t>ANEXO</w:t>
      </w:r>
      <w:r>
        <w:rPr>
          <w:rFonts w:ascii="Arial"/>
          <w:b/>
          <w:spacing w:val="-3"/>
          <w:sz w:val="22"/>
          <w:szCs w:val="24"/>
        </w:rPr>
        <w:t xml:space="preserve"> </w:t>
      </w:r>
      <w:r>
        <w:rPr>
          <w:rFonts w:ascii="Arial"/>
          <w:b/>
          <w:sz w:val="22"/>
          <w:szCs w:val="24"/>
        </w:rPr>
        <w:t>I-B</w:t>
      </w:r>
    </w:p>
    <w:p>
      <w:pPr>
        <w:pStyle w:val="21"/>
        <w:spacing w:before="4"/>
        <w:rPr>
          <w:rFonts w:ascii="Arial"/>
          <w:b/>
          <w:sz w:val="28"/>
          <w:szCs w:val="24"/>
        </w:rPr>
      </w:pPr>
    </w:p>
    <w:p>
      <w:pPr>
        <w:ind w:left="684" w:right="237"/>
        <w:jc w:val="center"/>
        <w:rPr>
          <w:rFonts w:ascii="Arial" w:hAnsi="Arial"/>
          <w:b/>
          <w:sz w:val="22"/>
          <w:szCs w:val="24"/>
        </w:rPr>
      </w:pPr>
      <w:r>
        <w:rPr>
          <w:rFonts w:ascii="Arial" w:hAnsi="Arial"/>
          <w:b/>
          <w:sz w:val="22"/>
          <w:szCs w:val="24"/>
        </w:rPr>
        <w:t>Ampla</w:t>
      </w:r>
      <w:r>
        <w:rPr>
          <w:rFonts w:ascii="Arial" w:hAnsi="Arial"/>
          <w:b/>
          <w:spacing w:val="-4"/>
          <w:sz w:val="22"/>
          <w:szCs w:val="24"/>
        </w:rPr>
        <w:t xml:space="preserve"> </w:t>
      </w:r>
      <w:r>
        <w:rPr>
          <w:rFonts w:ascii="Arial" w:hAnsi="Arial"/>
          <w:b/>
          <w:sz w:val="22"/>
          <w:szCs w:val="24"/>
        </w:rPr>
        <w:t>Participação</w:t>
      </w:r>
    </w:p>
    <w:p>
      <w:pPr>
        <w:pStyle w:val="21"/>
        <w:spacing w:before="6"/>
        <w:rPr>
          <w:rFonts w:ascii="Arial"/>
          <w:b/>
          <w:sz w:val="28"/>
          <w:szCs w:val="24"/>
        </w:rPr>
      </w:pPr>
    </w:p>
    <w:p>
      <w:pPr>
        <w:ind w:left="684" w:right="237"/>
        <w:jc w:val="center"/>
        <w:rPr>
          <w:rFonts w:ascii="Arial" w:hAnsi="Arial"/>
          <w:b/>
          <w:sz w:val="22"/>
          <w:szCs w:val="24"/>
        </w:rPr>
      </w:pPr>
      <w:r>
        <w:rPr>
          <w:rFonts w:ascii="Arial" w:hAnsi="Arial"/>
          <w:b/>
          <w:sz w:val="22"/>
          <w:szCs w:val="24"/>
        </w:rPr>
        <w:t>DO</w:t>
      </w:r>
      <w:r>
        <w:rPr>
          <w:rFonts w:ascii="Arial" w:hAnsi="Arial"/>
          <w:b/>
          <w:spacing w:val="-4"/>
          <w:sz w:val="22"/>
          <w:szCs w:val="24"/>
        </w:rPr>
        <w:t xml:space="preserve"> </w:t>
      </w:r>
      <w:r>
        <w:rPr>
          <w:rFonts w:ascii="Arial" w:hAnsi="Arial"/>
          <w:b/>
          <w:sz w:val="22"/>
          <w:szCs w:val="24"/>
        </w:rPr>
        <w:t>ORÇAMENTO</w:t>
      </w:r>
      <w:r>
        <w:rPr>
          <w:rFonts w:ascii="Arial" w:hAnsi="Arial"/>
          <w:b/>
          <w:spacing w:val="-3"/>
          <w:sz w:val="22"/>
          <w:szCs w:val="24"/>
        </w:rPr>
        <w:t xml:space="preserve"> </w:t>
      </w:r>
      <w:r>
        <w:rPr>
          <w:rFonts w:ascii="Arial" w:hAnsi="Arial"/>
          <w:b/>
          <w:sz w:val="22"/>
          <w:szCs w:val="24"/>
        </w:rPr>
        <w:t>DOS</w:t>
      </w:r>
      <w:r>
        <w:rPr>
          <w:rFonts w:ascii="Arial" w:hAnsi="Arial"/>
          <w:b/>
          <w:spacing w:val="-6"/>
          <w:sz w:val="22"/>
          <w:szCs w:val="24"/>
        </w:rPr>
        <w:t xml:space="preserve"> </w:t>
      </w:r>
      <w:r>
        <w:rPr>
          <w:rFonts w:ascii="Arial" w:hAnsi="Arial"/>
          <w:b/>
          <w:sz w:val="22"/>
          <w:szCs w:val="24"/>
        </w:rPr>
        <w:t>VEÍCULOS</w:t>
      </w:r>
      <w:r>
        <w:rPr>
          <w:rFonts w:ascii="Arial" w:hAnsi="Arial"/>
          <w:b/>
          <w:spacing w:val="-5"/>
          <w:sz w:val="22"/>
          <w:szCs w:val="24"/>
        </w:rPr>
        <w:t xml:space="preserve"> </w:t>
      </w:r>
      <w:r>
        <w:rPr>
          <w:rFonts w:ascii="Arial" w:hAnsi="Arial"/>
          <w:b/>
          <w:sz w:val="22"/>
          <w:szCs w:val="24"/>
        </w:rPr>
        <w:t>E</w:t>
      </w:r>
      <w:r>
        <w:rPr>
          <w:rFonts w:ascii="Arial" w:hAnsi="Arial"/>
          <w:b/>
          <w:spacing w:val="-2"/>
          <w:sz w:val="22"/>
          <w:szCs w:val="24"/>
        </w:rPr>
        <w:t xml:space="preserve"> </w:t>
      </w:r>
      <w:r>
        <w:rPr>
          <w:rFonts w:ascii="Arial" w:hAnsi="Arial"/>
          <w:b/>
          <w:sz w:val="22"/>
          <w:szCs w:val="24"/>
        </w:rPr>
        <w:t>EQUIPAMENTOS</w:t>
      </w:r>
    </w:p>
    <w:p>
      <w:pPr>
        <w:pStyle w:val="21"/>
        <w:rPr>
          <w:rFonts w:ascii="Arial"/>
          <w:b/>
          <w:szCs w:val="24"/>
        </w:rPr>
      </w:pPr>
    </w:p>
    <w:p>
      <w:pPr>
        <w:ind w:left="212"/>
        <w:rPr>
          <w:rFonts w:ascii="Arial" w:hAnsi="Arial"/>
          <w:b/>
          <w:sz w:val="22"/>
          <w:szCs w:val="24"/>
        </w:rPr>
      </w:pPr>
      <w:r>
        <w:rPr>
          <w:rFonts w:ascii="Arial" w:hAnsi="Arial"/>
          <w:b/>
          <w:sz w:val="22"/>
          <w:szCs w:val="24"/>
        </w:rPr>
        <w:t>COMPOSIÇÃO</w:t>
      </w:r>
      <w:r>
        <w:rPr>
          <w:rFonts w:ascii="Arial" w:hAnsi="Arial"/>
          <w:b/>
          <w:spacing w:val="-5"/>
          <w:sz w:val="22"/>
          <w:szCs w:val="24"/>
        </w:rPr>
        <w:t xml:space="preserve"> </w:t>
      </w:r>
      <w:r>
        <w:rPr>
          <w:rFonts w:ascii="Arial" w:hAnsi="Arial"/>
          <w:b/>
          <w:sz w:val="22"/>
          <w:szCs w:val="24"/>
        </w:rPr>
        <w:t>DE</w:t>
      </w:r>
      <w:r>
        <w:rPr>
          <w:rFonts w:ascii="Arial" w:hAnsi="Arial"/>
          <w:b/>
          <w:spacing w:val="-3"/>
          <w:sz w:val="22"/>
          <w:szCs w:val="24"/>
        </w:rPr>
        <w:t xml:space="preserve"> </w:t>
      </w:r>
      <w:r>
        <w:rPr>
          <w:rFonts w:ascii="Arial" w:hAnsi="Arial"/>
          <w:b/>
          <w:sz w:val="22"/>
          <w:szCs w:val="24"/>
        </w:rPr>
        <w:t>PREÇO</w:t>
      </w:r>
      <w:r>
        <w:rPr>
          <w:rFonts w:ascii="Arial" w:hAnsi="Arial"/>
          <w:b/>
          <w:spacing w:val="-4"/>
          <w:sz w:val="22"/>
          <w:szCs w:val="24"/>
        </w:rPr>
        <w:t xml:space="preserve"> </w:t>
      </w:r>
      <w:r>
        <w:rPr>
          <w:rFonts w:ascii="Arial" w:hAnsi="Arial"/>
          <w:b/>
          <w:sz w:val="22"/>
          <w:szCs w:val="24"/>
        </w:rPr>
        <w:t>UNITÁRIO</w:t>
      </w:r>
    </w:p>
    <w:p>
      <w:pPr>
        <w:pStyle w:val="21"/>
        <w:rPr>
          <w:rFonts w:ascii="Arial"/>
          <w:b/>
          <w:szCs w:val="24"/>
        </w:rPr>
      </w:pPr>
    </w:p>
    <w:p>
      <w:pPr>
        <w:ind w:left="212"/>
        <w:rPr>
          <w:rFonts w:ascii="Arial" w:hAnsi="Arial"/>
          <w:b/>
          <w:sz w:val="22"/>
          <w:szCs w:val="24"/>
        </w:rPr>
      </w:pPr>
      <w:r>
        <w:rPr>
          <w:rFonts w:ascii="Arial" w:hAnsi="Arial"/>
          <w:b/>
          <w:sz w:val="22"/>
          <w:szCs w:val="24"/>
        </w:rPr>
        <w:t>OBS:</w:t>
      </w:r>
      <w:r>
        <w:rPr>
          <w:rFonts w:ascii="Arial" w:hAnsi="Arial"/>
          <w:b/>
          <w:spacing w:val="44"/>
          <w:sz w:val="22"/>
          <w:szCs w:val="24"/>
        </w:rPr>
        <w:t xml:space="preserve"> </w:t>
      </w:r>
      <w:r>
        <w:rPr>
          <w:rFonts w:ascii="Arial" w:hAnsi="Arial"/>
          <w:b/>
          <w:sz w:val="22"/>
          <w:szCs w:val="24"/>
        </w:rPr>
        <w:t>AS</w:t>
      </w:r>
      <w:r>
        <w:rPr>
          <w:rFonts w:ascii="Arial" w:hAnsi="Arial"/>
          <w:b/>
          <w:spacing w:val="48"/>
          <w:sz w:val="22"/>
          <w:szCs w:val="24"/>
        </w:rPr>
        <w:t xml:space="preserve"> </w:t>
      </w:r>
      <w:r>
        <w:rPr>
          <w:rFonts w:ascii="Arial" w:hAnsi="Arial"/>
          <w:b/>
          <w:sz w:val="22"/>
          <w:szCs w:val="24"/>
        </w:rPr>
        <w:t>PLANILHAS</w:t>
      </w:r>
      <w:r>
        <w:rPr>
          <w:rFonts w:ascii="Arial" w:hAnsi="Arial"/>
          <w:b/>
          <w:spacing w:val="50"/>
          <w:sz w:val="22"/>
          <w:szCs w:val="24"/>
        </w:rPr>
        <w:t xml:space="preserve"> </w:t>
      </w:r>
      <w:r>
        <w:rPr>
          <w:rFonts w:ascii="Arial" w:hAnsi="Arial"/>
          <w:b/>
          <w:sz w:val="22"/>
          <w:szCs w:val="24"/>
        </w:rPr>
        <w:t>DESTE</w:t>
      </w:r>
      <w:r>
        <w:rPr>
          <w:rFonts w:ascii="Arial" w:hAnsi="Arial"/>
          <w:b/>
          <w:spacing w:val="48"/>
          <w:sz w:val="22"/>
          <w:szCs w:val="24"/>
        </w:rPr>
        <w:t xml:space="preserve"> </w:t>
      </w:r>
      <w:r>
        <w:rPr>
          <w:rFonts w:ascii="Arial" w:hAnsi="Arial"/>
          <w:b/>
          <w:sz w:val="22"/>
          <w:szCs w:val="24"/>
        </w:rPr>
        <w:t>ANEXO</w:t>
      </w:r>
      <w:r>
        <w:rPr>
          <w:rFonts w:ascii="Arial" w:hAnsi="Arial"/>
          <w:b/>
          <w:spacing w:val="47"/>
          <w:sz w:val="22"/>
          <w:szCs w:val="24"/>
        </w:rPr>
        <w:t xml:space="preserve"> </w:t>
      </w:r>
      <w:r>
        <w:rPr>
          <w:rFonts w:ascii="Arial" w:hAnsi="Arial"/>
          <w:b/>
          <w:sz w:val="22"/>
          <w:szCs w:val="24"/>
        </w:rPr>
        <w:t>DEVERÃO</w:t>
      </w:r>
      <w:r>
        <w:rPr>
          <w:rFonts w:ascii="Arial" w:hAnsi="Arial"/>
          <w:b/>
          <w:spacing w:val="48"/>
          <w:sz w:val="22"/>
          <w:szCs w:val="24"/>
        </w:rPr>
        <w:t xml:space="preserve"> </w:t>
      </w:r>
      <w:r>
        <w:rPr>
          <w:rFonts w:ascii="Arial" w:hAnsi="Arial"/>
          <w:b/>
          <w:sz w:val="22"/>
          <w:szCs w:val="24"/>
        </w:rPr>
        <w:t>SER</w:t>
      </w:r>
      <w:r>
        <w:rPr>
          <w:rFonts w:ascii="Arial" w:hAnsi="Arial"/>
          <w:b/>
          <w:spacing w:val="45"/>
          <w:sz w:val="22"/>
          <w:szCs w:val="24"/>
        </w:rPr>
        <w:t xml:space="preserve"> </w:t>
      </w:r>
      <w:r>
        <w:rPr>
          <w:rFonts w:ascii="Arial" w:hAnsi="Arial"/>
          <w:b/>
          <w:sz w:val="22"/>
          <w:szCs w:val="24"/>
        </w:rPr>
        <w:t>APRESENTADAS</w:t>
      </w:r>
      <w:r>
        <w:rPr>
          <w:rFonts w:ascii="Arial" w:hAnsi="Arial"/>
          <w:b/>
          <w:spacing w:val="51"/>
          <w:sz w:val="22"/>
          <w:szCs w:val="24"/>
        </w:rPr>
        <w:t xml:space="preserve"> </w:t>
      </w:r>
      <w:r>
        <w:rPr>
          <w:rFonts w:ascii="Arial" w:hAnsi="Arial"/>
          <w:b/>
          <w:sz w:val="22"/>
          <w:szCs w:val="24"/>
        </w:rPr>
        <w:t>JUNTAMENTE</w:t>
      </w:r>
      <w:r>
        <w:rPr>
          <w:rFonts w:ascii="Arial" w:hAnsi="Arial"/>
          <w:b/>
          <w:spacing w:val="-58"/>
          <w:sz w:val="22"/>
          <w:szCs w:val="24"/>
        </w:rPr>
        <w:t xml:space="preserve"> </w:t>
      </w:r>
      <w:r>
        <w:rPr>
          <w:rFonts w:ascii="Arial" w:hAnsi="Arial"/>
          <w:b/>
          <w:sz w:val="22"/>
          <w:szCs w:val="24"/>
        </w:rPr>
        <w:t>COM</w:t>
      </w:r>
      <w:r>
        <w:rPr>
          <w:rFonts w:ascii="Arial" w:hAnsi="Arial"/>
          <w:b/>
          <w:spacing w:val="-4"/>
          <w:sz w:val="22"/>
          <w:szCs w:val="24"/>
        </w:rPr>
        <w:t xml:space="preserve"> </w:t>
      </w:r>
      <w:r>
        <w:rPr>
          <w:rFonts w:ascii="Arial" w:hAnsi="Arial"/>
          <w:b/>
          <w:sz w:val="22"/>
          <w:szCs w:val="24"/>
        </w:rPr>
        <w:t>A PROPOSTA DE</w:t>
      </w:r>
      <w:r>
        <w:rPr>
          <w:rFonts w:ascii="Arial" w:hAnsi="Arial"/>
          <w:b/>
          <w:spacing w:val="-3"/>
          <w:sz w:val="22"/>
          <w:szCs w:val="24"/>
        </w:rPr>
        <w:t xml:space="preserve"> </w:t>
      </w:r>
      <w:r>
        <w:rPr>
          <w:rFonts w:ascii="Arial" w:hAnsi="Arial"/>
          <w:b/>
          <w:sz w:val="22"/>
          <w:szCs w:val="24"/>
        </w:rPr>
        <w:t>PREÇOS</w:t>
      </w:r>
      <w:r>
        <w:rPr>
          <w:rFonts w:ascii="Arial" w:hAnsi="Arial"/>
          <w:b/>
          <w:spacing w:val="-3"/>
          <w:sz w:val="22"/>
          <w:szCs w:val="24"/>
        </w:rPr>
        <w:t xml:space="preserve"> </w:t>
      </w:r>
      <w:r>
        <w:rPr>
          <w:rFonts w:ascii="Arial" w:hAnsi="Arial"/>
          <w:b/>
          <w:sz w:val="22"/>
          <w:szCs w:val="24"/>
        </w:rPr>
        <w:t>REALINHADA.</w:t>
      </w:r>
    </w:p>
    <w:p>
      <w:pPr>
        <w:ind w:left="212"/>
        <w:rPr>
          <w:rFonts w:ascii="Arial" w:hAnsi="Arial"/>
          <w:b/>
          <w:sz w:val="22"/>
          <w:szCs w:val="24"/>
        </w:rPr>
      </w:pPr>
    </w:p>
    <w:p>
      <w:pPr>
        <w:pStyle w:val="21"/>
        <w:numPr>
          <w:ilvl w:val="0"/>
          <w:numId w:val="15"/>
        </w:numPr>
        <w:spacing w:before="7"/>
        <w:rPr>
          <w:rFonts w:ascii="Arial"/>
          <w:b/>
          <w:sz w:val="22"/>
          <w:szCs w:val="24"/>
        </w:rPr>
      </w:pPr>
      <w:r>
        <w:rPr>
          <w:rFonts w:ascii="Arial"/>
          <w:b/>
          <w:sz w:val="22"/>
          <w:szCs w:val="24"/>
        </w:rPr>
        <w:t>VEÍCULOS E EQUIPAMENTOS</w:t>
      </w:r>
    </w:p>
    <w:p>
      <w:pPr>
        <w:pStyle w:val="21"/>
        <w:spacing w:before="7"/>
        <w:rPr>
          <w:rFonts w:ascii="Arial"/>
          <w:b/>
          <w:sz w:val="22"/>
          <w:szCs w:val="24"/>
        </w:rPr>
      </w:pPr>
    </w:p>
    <w:p>
      <w:pPr>
        <w:pStyle w:val="103"/>
        <w:numPr>
          <w:ilvl w:val="0"/>
          <w:numId w:val="16"/>
        </w:numPr>
        <w:tabs>
          <w:tab w:val="left" w:pos="458"/>
        </w:tabs>
        <w:ind w:hanging="246"/>
        <w:rPr>
          <w:rFonts w:ascii="Arial" w:hAnsi="Arial"/>
          <w:b/>
          <w:sz w:val="22"/>
          <w:szCs w:val="24"/>
        </w:rPr>
      </w:pPr>
      <w:r>
        <w:rPr>
          <w:rFonts w:ascii="Arial" w:hAnsi="Arial"/>
          <w:b/>
          <w:sz w:val="22"/>
          <w:szCs w:val="24"/>
        </w:rPr>
        <w:t>Caminhão</w:t>
      </w:r>
      <w:r>
        <w:rPr>
          <w:rFonts w:ascii="Arial" w:hAnsi="Arial"/>
          <w:b/>
          <w:spacing w:val="-4"/>
          <w:sz w:val="22"/>
          <w:szCs w:val="24"/>
        </w:rPr>
        <w:t xml:space="preserve"> </w:t>
      </w:r>
      <w:r>
        <w:rPr>
          <w:rFonts w:ascii="Arial" w:hAnsi="Arial"/>
          <w:b/>
          <w:sz w:val="22"/>
          <w:szCs w:val="24"/>
        </w:rPr>
        <w:t>Compactador</w:t>
      </w:r>
      <w:r>
        <w:rPr>
          <w:rFonts w:ascii="Arial" w:hAnsi="Arial"/>
          <w:b/>
          <w:spacing w:val="-2"/>
          <w:sz w:val="22"/>
          <w:szCs w:val="24"/>
        </w:rPr>
        <w:t xml:space="preserve"> </w:t>
      </w:r>
      <w:r>
        <w:rPr>
          <w:rFonts w:ascii="Arial" w:hAnsi="Arial"/>
          <w:b/>
          <w:sz w:val="22"/>
          <w:szCs w:val="24"/>
        </w:rPr>
        <w:t>-</w:t>
      </w:r>
      <w:r>
        <w:rPr>
          <w:rFonts w:ascii="Arial" w:hAnsi="Arial"/>
          <w:b/>
          <w:spacing w:val="-2"/>
          <w:sz w:val="22"/>
          <w:szCs w:val="24"/>
        </w:rPr>
        <w:t xml:space="preserve"> </w:t>
      </w:r>
      <w:r>
        <w:rPr>
          <w:rFonts w:ascii="Arial" w:hAnsi="Arial"/>
          <w:b/>
          <w:sz w:val="22"/>
          <w:szCs w:val="24"/>
        </w:rPr>
        <w:t>15m3</w:t>
      </w:r>
    </w:p>
    <w:p>
      <w:pPr>
        <w:pStyle w:val="21"/>
        <w:spacing w:before="11"/>
        <w:rPr>
          <w:rFonts w:ascii="Arial"/>
          <w:b/>
          <w:sz w:val="23"/>
          <w:szCs w:val="24"/>
        </w:rPr>
      </w:pPr>
    </w:p>
    <w:p>
      <w:pPr>
        <w:pStyle w:val="103"/>
        <w:numPr>
          <w:ilvl w:val="1"/>
          <w:numId w:val="16"/>
        </w:numPr>
        <w:tabs>
          <w:tab w:val="left" w:pos="580"/>
        </w:tabs>
        <w:rPr>
          <w:rFonts w:ascii="Arial"/>
          <w:b/>
          <w:sz w:val="22"/>
          <w:szCs w:val="24"/>
        </w:rPr>
      </w:pPr>
      <w:r>
        <w:rPr>
          <w:rFonts w:ascii="Arial"/>
          <w:b/>
          <w:sz w:val="22"/>
          <w:szCs w:val="24"/>
        </w:rPr>
        <w:t>Dados</w:t>
      </w:r>
      <w:r>
        <w:rPr>
          <w:rFonts w:ascii="Arial"/>
          <w:b/>
          <w:spacing w:val="-3"/>
          <w:sz w:val="22"/>
          <w:szCs w:val="24"/>
        </w:rPr>
        <w:t xml:space="preserve"> </w:t>
      </w:r>
      <w:r>
        <w:rPr>
          <w:rFonts w:ascii="Arial"/>
          <w:b/>
          <w:sz w:val="22"/>
          <w:szCs w:val="24"/>
        </w:rPr>
        <w:t>gerais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5"/>
              <w:ind w:right="443"/>
              <w:jc w:val="right"/>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4"/>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semana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4"/>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ano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277" w:right="27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3"/>
              </w:rPr>
              <w:t xml:space="preserve"> </w:t>
            </w:r>
            <w:r>
              <w:rPr>
                <w:rFonts w:hint="default"/>
              </w:rPr>
              <w:t>mês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Custo</w:t>
            </w:r>
            <w:r>
              <w:rPr>
                <w:rFonts w:hint="default"/>
                <w:spacing w:val="29"/>
              </w:rPr>
              <w:t xml:space="preserve"> </w:t>
            </w:r>
            <w:r>
              <w:rPr>
                <w:rFonts w:hint="default"/>
              </w:rPr>
              <w:t>de</w:t>
            </w:r>
            <w:r>
              <w:rPr>
                <w:rFonts w:hint="default"/>
                <w:spacing w:val="29"/>
              </w:rPr>
              <w:t xml:space="preserve"> </w:t>
            </w:r>
            <w:r>
              <w:rPr>
                <w:rFonts w:hint="default"/>
              </w:rPr>
              <w:t>aquisição</w:t>
            </w:r>
            <w:r>
              <w:rPr>
                <w:rFonts w:hint="default"/>
                <w:spacing w:val="33"/>
              </w:rPr>
              <w:t xml:space="preserve"> </w:t>
            </w:r>
            <w:r>
              <w:rPr>
                <w:rFonts w:hint="default"/>
              </w:rPr>
              <w:t>de</w:t>
            </w:r>
            <w:r>
              <w:rPr>
                <w:rFonts w:hint="default"/>
                <w:spacing w:val="29"/>
              </w:rPr>
              <w:t xml:space="preserve"> </w:t>
            </w:r>
            <w:r>
              <w:rPr>
                <w:rFonts w:hint="default"/>
              </w:rPr>
              <w:t>caminhão</w:t>
            </w:r>
            <w:r>
              <w:rPr>
                <w:rFonts w:hint="default"/>
                <w:spacing w:val="30"/>
              </w:rPr>
              <w:t xml:space="preserve"> </w:t>
            </w:r>
            <w:r>
              <w:rPr>
                <w:rFonts w:hint="default"/>
              </w:rPr>
              <w:t>compactador</w:t>
            </w:r>
            <w:r>
              <w:rPr>
                <w:rFonts w:hint="default"/>
                <w:spacing w:val="31"/>
              </w:rPr>
              <w:t xml:space="preserve"> </w:t>
            </w:r>
            <w:r>
              <w:rPr>
                <w:rFonts w:hint="default"/>
              </w:rPr>
              <w:t>-</w:t>
            </w:r>
            <w:r>
              <w:rPr>
                <w:rFonts w:hint="default"/>
                <w:spacing w:val="-58"/>
              </w:rPr>
              <w:t xml:space="preserve"> </w:t>
            </w:r>
            <w:r>
              <w:rPr>
                <w:rFonts w:hint="default"/>
              </w:rPr>
              <w:t>15</w:t>
            </w:r>
            <w:r>
              <w:rPr>
                <w:rFonts w:hint="default"/>
                <w:spacing w:val="-3"/>
              </w:rPr>
              <w:t xml:space="preserve"> </w:t>
            </w:r>
            <w:r>
              <w:rPr>
                <w:rFonts w:hint="default"/>
              </w:rPr>
              <w:t>m³</w:t>
            </w:r>
            <w:r>
              <w:rPr>
                <w:rFonts w:hint="default"/>
                <w:spacing w:val="-1"/>
              </w:rPr>
              <w:t xml:space="preserve"> </w:t>
            </w:r>
            <w:r>
              <w:rPr>
                <w:rFonts w:hint="default"/>
              </w:rPr>
              <w:t>(caminhão</w:t>
            </w:r>
            <w:r>
              <w:rPr>
                <w:rFonts w:hint="default"/>
                <w:spacing w:val="-2"/>
              </w:rPr>
              <w:t xml:space="preserve"> </w:t>
            </w:r>
            <w:r>
              <w:rPr>
                <w:rFonts w:hint="default"/>
              </w:rPr>
              <w:t>+</w:t>
            </w:r>
            <w:r>
              <w:rPr>
                <w:rFonts w:hint="default"/>
                <w:spacing w:val="-1"/>
              </w:rPr>
              <w:t xml:space="preserve"> </w:t>
            </w:r>
            <w:r>
              <w:rPr>
                <w:rFonts w:hint="default"/>
              </w:rPr>
              <w:t>Equipamento)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277" w:right="27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5"/>
              <w:rPr>
                <w:rFonts w:hint="default"/>
              </w:rPr>
            </w:pPr>
            <w:r>
              <w:rPr>
                <w:rFonts w:hint="default"/>
              </w:rPr>
              <w:t>Quantidade</w:t>
            </w:r>
            <w:r>
              <w:rPr>
                <w:rFonts w:hint="default"/>
                <w:spacing w:val="-5"/>
              </w:rPr>
              <w:t xml:space="preserve"> </w:t>
            </w:r>
            <w:r>
              <w:rPr>
                <w:rFonts w:hint="default"/>
              </w:rPr>
              <w:t>de</w:t>
            </w:r>
            <w:r>
              <w:rPr>
                <w:rFonts w:hint="default"/>
                <w:spacing w:val="-3"/>
              </w:rPr>
              <w:t xml:space="preserve"> </w:t>
            </w:r>
            <w:r>
              <w:rPr>
                <w:rFonts w:hint="default"/>
              </w:rPr>
              <w:t>veículos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5"/>
              <w:ind w:right="486"/>
              <w:jc w:val="right"/>
              <w:rPr>
                <w:rFonts w:hint="default"/>
              </w:rPr>
            </w:pPr>
            <w:r>
              <w:rPr>
                <w:rFonts w:hint="default"/>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5"/>
              <w:ind w:left="277" w:right="265"/>
              <w:rPr>
                <w:rFonts w:hint="default"/>
              </w:rPr>
            </w:pPr>
          </w:p>
        </w:tc>
      </w:tr>
    </w:tbl>
    <w:p>
      <w:pPr>
        <w:rPr>
          <w:sz w:val="20"/>
          <w:szCs w:val="24"/>
        </w:rPr>
      </w:pPr>
    </w:p>
    <w:p>
      <w:pPr>
        <w:pStyle w:val="103"/>
        <w:numPr>
          <w:ilvl w:val="1"/>
          <w:numId w:val="16"/>
        </w:numPr>
        <w:tabs>
          <w:tab w:val="left" w:pos="580"/>
        </w:tabs>
        <w:spacing w:after="20"/>
        <w:rPr>
          <w:rFonts w:ascii="Arial" w:hAnsi="Arial"/>
          <w:b/>
          <w:sz w:val="22"/>
          <w:szCs w:val="24"/>
        </w:rPr>
      </w:pPr>
      <w:r>
        <w:rPr>
          <w:rFonts w:ascii="Arial" w:hAnsi="Arial"/>
          <w:b/>
          <w:sz w:val="22"/>
          <w:szCs w:val="24"/>
        </w:rPr>
        <w:t>Depreciação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4"/>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4"/>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rPr>
                <w:rFonts w:hint="default"/>
              </w:rPr>
            </w:pPr>
            <w:r>
              <w:rPr>
                <w:rFonts w:hint="default"/>
              </w:rPr>
              <w:t>Depreciação</w:t>
            </w:r>
            <w:r>
              <w:rPr>
                <w:rFonts w:hint="default"/>
                <w:spacing w:val="-4"/>
              </w:rPr>
              <w:t xml:space="preserve"> </w:t>
            </w:r>
            <w:r>
              <w:rPr>
                <w:rFonts w:hint="default"/>
              </w:rPr>
              <w:t>(60</w:t>
            </w:r>
            <w:r>
              <w:rPr>
                <w:rFonts w:hint="default"/>
                <w:spacing w:val="-4"/>
              </w:rPr>
              <w:t xml:space="preserve"> </w:t>
            </w:r>
            <w:r>
              <w:rPr>
                <w:rFonts w:hint="default"/>
              </w:rPr>
              <w:t>meses)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277" w:right="264"/>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rPr>
                <w:rFonts w:hint="default"/>
              </w:rPr>
            </w:pPr>
            <w:r>
              <w:rPr>
                <w:rFonts w:hint="default"/>
              </w:rPr>
              <w:t>Depreciação</w:t>
            </w:r>
            <w:r>
              <w:rPr>
                <w:rFonts w:hint="default"/>
                <w:spacing w:val="-4"/>
              </w:rPr>
              <w:t xml:space="preserve"> </w:t>
            </w:r>
            <w:r>
              <w:rPr>
                <w:rFonts w:hint="default"/>
              </w:rPr>
              <w:t>mensal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rPr>
                <w:rFonts w:hint="default"/>
              </w:rPr>
            </w:pPr>
            <w:r>
              <w:rPr>
                <w:rFonts w:hint="default"/>
              </w:rPr>
              <w:t>Depreciação</w:t>
            </w:r>
            <w:r>
              <w:rPr>
                <w:rFonts w:hint="default"/>
                <w:spacing w:val="-4"/>
              </w:rPr>
              <w:t xml:space="preserve"> </w:t>
            </w:r>
            <w:r>
              <w:rPr>
                <w:rFonts w:hint="default"/>
              </w:rPr>
              <w:t>mensal</w:t>
            </w:r>
            <w:r>
              <w:rPr>
                <w:rFonts w:hint="default"/>
                <w:spacing w:val="-6"/>
              </w:rPr>
              <w:t xml:space="preserve"> </w:t>
            </w:r>
            <w:r>
              <w:rPr>
                <w:rFonts w:hint="default"/>
              </w:rPr>
              <w:t>por</w:t>
            </w:r>
            <w:r>
              <w:rPr>
                <w:rFonts w:hint="default"/>
                <w:spacing w:val="-4"/>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6"/>
              <w:ind w:left="277" w:right="268"/>
              <w:rPr>
                <w:rFonts w:hint="default"/>
              </w:rPr>
            </w:pPr>
          </w:p>
        </w:tc>
      </w:tr>
    </w:tbl>
    <w:p>
      <w:pPr>
        <w:rPr>
          <w:sz w:val="20"/>
          <w:szCs w:val="24"/>
        </w:rPr>
      </w:pPr>
    </w:p>
    <w:p>
      <w:pPr>
        <w:pStyle w:val="103"/>
        <w:numPr>
          <w:ilvl w:val="1"/>
          <w:numId w:val="16"/>
        </w:numPr>
        <w:tabs>
          <w:tab w:val="left" w:pos="580"/>
        </w:tabs>
        <w:spacing w:after="8"/>
        <w:ind w:left="588"/>
        <w:rPr>
          <w:rFonts w:ascii="Arial"/>
          <w:b/>
          <w:sz w:val="22"/>
          <w:szCs w:val="24"/>
        </w:rPr>
      </w:pPr>
      <w:r>
        <w:rPr>
          <w:rFonts w:ascii="Arial"/>
          <w:b/>
          <w:sz w:val="22"/>
          <w:szCs w:val="24"/>
        </w:rPr>
        <w:t>-</w:t>
      </w:r>
      <w:r>
        <w:rPr>
          <w:rFonts w:ascii="Arial"/>
          <w:b/>
          <w:spacing w:val="-3"/>
          <w:sz w:val="22"/>
          <w:szCs w:val="24"/>
        </w:rPr>
        <w:t xml:space="preserve"> </w:t>
      </w:r>
      <w:r>
        <w:rPr>
          <w:rFonts w:ascii="Arial"/>
          <w:b/>
          <w:sz w:val="22"/>
          <w:szCs w:val="24"/>
        </w:rPr>
        <w:t>Licenciamento</w:t>
      </w:r>
      <w:r>
        <w:rPr>
          <w:rFonts w:ascii="Arial"/>
          <w:b/>
          <w:spacing w:val="-3"/>
          <w:sz w:val="22"/>
          <w:szCs w:val="24"/>
        </w:rPr>
        <w:t xml:space="preserve"> </w:t>
      </w:r>
      <w:r>
        <w:rPr>
          <w:rFonts w:ascii="Arial"/>
          <w:b/>
          <w:sz w:val="22"/>
          <w:szCs w:val="24"/>
        </w:rPr>
        <w:t>e</w:t>
      </w:r>
      <w:r>
        <w:rPr>
          <w:rFonts w:ascii="Arial"/>
          <w:b/>
          <w:spacing w:val="-1"/>
          <w:sz w:val="22"/>
          <w:szCs w:val="24"/>
        </w:rPr>
        <w:t xml:space="preserve"> </w:t>
      </w:r>
      <w:r>
        <w:rPr>
          <w:rFonts w:ascii="Arial"/>
          <w:b/>
          <w:sz w:val="22"/>
          <w:szCs w:val="24"/>
        </w:rPr>
        <w:t>Seguro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rPr>
                <w:rFonts w:hint="default"/>
              </w:rPr>
            </w:pPr>
            <w:r>
              <w:rPr>
                <w:rFonts w:hint="default"/>
              </w:rPr>
              <w:t>Seguro</w:t>
            </w:r>
            <w:r>
              <w:rPr>
                <w:rFonts w:hint="default"/>
                <w:spacing w:val="-6"/>
              </w:rPr>
              <w:t xml:space="preserve"> </w:t>
            </w:r>
            <w:r>
              <w:rPr>
                <w:rFonts w:hint="default"/>
              </w:rPr>
              <w:t>Obrigatório</w:t>
            </w:r>
            <w:r>
              <w:rPr>
                <w:rFonts w:hint="default"/>
                <w:spacing w:val="-5"/>
              </w:rPr>
              <w:t xml:space="preserve"> </w:t>
            </w:r>
            <w:r>
              <w:rPr>
                <w:rFonts w:hint="default"/>
              </w:rPr>
              <w:t>+</w:t>
            </w:r>
            <w:r>
              <w:rPr>
                <w:rFonts w:hint="default"/>
                <w:spacing w:val="-4"/>
              </w:rPr>
              <w:t xml:space="preserve"> </w:t>
            </w:r>
            <w:r>
              <w:rPr>
                <w:rFonts w:hint="default"/>
              </w:rPr>
              <w:t>Licenciamento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IPVA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Seguro</w:t>
            </w:r>
            <w:r>
              <w:rPr>
                <w:rFonts w:hint="default"/>
                <w:spacing w:val="-4"/>
              </w:rPr>
              <w:t xml:space="preserve"> </w:t>
            </w:r>
            <w:r>
              <w:rPr>
                <w:rFonts w:hint="default"/>
              </w:rPr>
              <w:t>contra</w:t>
            </w:r>
            <w:r>
              <w:rPr>
                <w:rFonts w:hint="default"/>
                <w:spacing w:val="-4"/>
              </w:rPr>
              <w:t xml:space="preserve"> </w:t>
            </w:r>
            <w:r>
              <w:rPr>
                <w:rFonts w:hint="default"/>
              </w:rPr>
              <w:t>terceiros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Total</w:t>
            </w:r>
            <w:r>
              <w:rPr>
                <w:rFonts w:hint="default"/>
                <w:spacing w:val="-5"/>
              </w:rPr>
              <w:t xml:space="preserve"> </w:t>
            </w:r>
            <w:r>
              <w:rPr>
                <w:rFonts w:hint="default"/>
              </w:rPr>
              <w:t>de</w:t>
            </w:r>
            <w:r>
              <w:rPr>
                <w:rFonts w:hint="default"/>
                <w:spacing w:val="-1"/>
              </w:rPr>
              <w:t xml:space="preserve"> </w:t>
            </w:r>
            <w:r>
              <w:rPr>
                <w:rFonts w:hint="default"/>
              </w:rPr>
              <w:t>licenciamento</w:t>
            </w:r>
            <w:r>
              <w:rPr>
                <w:rFonts w:hint="default"/>
                <w:spacing w:val="-3"/>
              </w:rPr>
              <w:t xml:space="preserve"> </w:t>
            </w:r>
            <w:r>
              <w:rPr>
                <w:rFonts w:hint="default"/>
              </w:rPr>
              <w:t>e</w:t>
            </w:r>
            <w:r>
              <w:rPr>
                <w:rFonts w:hint="default"/>
                <w:spacing w:val="-3"/>
              </w:rPr>
              <w:t xml:space="preserve"> </w:t>
            </w:r>
            <w:r>
              <w:rPr>
                <w:rFonts w:hint="default"/>
              </w:rPr>
              <w:t>seguro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rPr>
          <w:sz w:val="20"/>
          <w:szCs w:val="24"/>
        </w:rPr>
      </w:pPr>
    </w:p>
    <w:p>
      <w:pPr>
        <w:rPr>
          <w:sz w:val="20"/>
          <w:szCs w:val="24"/>
        </w:rPr>
      </w:pPr>
    </w:p>
    <w:tbl>
      <w:tblPr>
        <w:tblStyle w:val="12"/>
        <w:tblpPr w:leftFromText="180" w:rightFromText="180" w:vertAnchor="text" w:horzAnchor="page" w:tblpX="1268" w:tblpY="273"/>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4"/>
        <w:gridCol w:w="2041"/>
        <w:gridCol w:w="1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1952" w:right="1945"/>
              <w:rPr>
                <w:rFonts w:hint="default"/>
                <w:b/>
              </w:rPr>
            </w:pPr>
            <w:r>
              <w:rPr>
                <w:rFonts w:hint="default"/>
                <w:b/>
              </w:rPr>
              <w:t>Descrição</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5" w:right="426"/>
              <w:rPr>
                <w:rFonts w:hint="default"/>
                <w:b/>
              </w:rPr>
            </w:pPr>
            <w:r>
              <w:rPr>
                <w:rFonts w:hint="default"/>
                <w:b/>
              </w:rPr>
              <w:t>Unidade</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rPr>
                <w:rFonts w:hint="default"/>
              </w:rPr>
            </w:pPr>
            <w:r>
              <w:rPr>
                <w:rFonts w:hint="default"/>
              </w:rPr>
              <w:t>Remuneração</w:t>
            </w:r>
            <w:r>
              <w:rPr>
                <w:rFonts w:hint="default"/>
                <w:spacing w:val="-5"/>
              </w:rPr>
              <w:t xml:space="preserve"> </w:t>
            </w:r>
            <w:r>
              <w:rPr>
                <w:rFonts w:hint="default"/>
              </w:rPr>
              <w:t>Mensal</w:t>
            </w:r>
            <w:r>
              <w:rPr>
                <w:rFonts w:hint="default"/>
                <w:spacing w:val="-2"/>
              </w:rPr>
              <w:t xml:space="preserve"> </w:t>
            </w:r>
            <w:r>
              <w:rPr>
                <w:rFonts w:hint="default"/>
              </w:rPr>
              <w:t>do</w:t>
            </w:r>
            <w:r>
              <w:rPr>
                <w:rFonts w:hint="default"/>
                <w:spacing w:val="-3"/>
              </w:rPr>
              <w:t xml:space="preserve"> </w:t>
            </w:r>
            <w:r>
              <w:rPr>
                <w:rFonts w:hint="default"/>
              </w:rPr>
              <w:t>Capital</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8"/>
              <w:rPr>
                <w:rFonts w:hint="default"/>
              </w:rPr>
            </w:pPr>
            <w:r>
              <w:rPr>
                <w:rFonts w:hint="default"/>
              </w:rPr>
              <w:t>%</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Remuneração</w:t>
            </w:r>
            <w:r>
              <w:rPr>
                <w:rFonts w:hint="default"/>
                <w:spacing w:val="-5"/>
              </w:rPr>
              <w:t xml:space="preserve"> </w:t>
            </w:r>
            <w:r>
              <w:rPr>
                <w:rFonts w:hint="default"/>
              </w:rPr>
              <w:t>Mensal</w:t>
            </w:r>
            <w:r>
              <w:rPr>
                <w:rFonts w:hint="default"/>
                <w:spacing w:val="-3"/>
              </w:rPr>
              <w:t xml:space="preserve"> </w:t>
            </w:r>
            <w:r>
              <w:rPr>
                <w:rFonts w:hint="default"/>
              </w:rPr>
              <w:t>do</w:t>
            </w:r>
            <w:r>
              <w:rPr>
                <w:rFonts w:hint="default"/>
                <w:spacing w:val="-2"/>
              </w:rPr>
              <w:t xml:space="preserve"> </w:t>
            </w:r>
            <w:r>
              <w:rPr>
                <w:rFonts w:hint="default"/>
              </w:rPr>
              <w:t>Capital</w:t>
            </w:r>
            <w:r>
              <w:rPr>
                <w:rFonts w:hint="default"/>
                <w:spacing w:val="-6"/>
              </w:rPr>
              <w:t xml:space="preserve"> </w:t>
            </w:r>
            <w:r>
              <w:rPr>
                <w:rFonts w:hint="default"/>
              </w:rPr>
              <w:t>por</w:t>
            </w:r>
            <w:r>
              <w:rPr>
                <w:rFonts w:hint="default"/>
                <w:spacing w:val="-3"/>
              </w:rPr>
              <w:t xml:space="preserve"> </w:t>
            </w:r>
            <w:r>
              <w:rPr>
                <w:rFonts w:hint="default"/>
              </w:rPr>
              <w:t>veículo</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8"/>
              <w:rPr>
                <w:rFonts w:hint="default"/>
              </w:rPr>
            </w:pPr>
          </w:p>
        </w:tc>
      </w:tr>
    </w:tbl>
    <w:p>
      <w:pPr>
        <w:pStyle w:val="103"/>
        <w:numPr>
          <w:ilvl w:val="1"/>
          <w:numId w:val="16"/>
        </w:numPr>
        <w:tabs>
          <w:tab w:val="left" w:pos="580"/>
        </w:tabs>
        <w:ind w:left="588"/>
        <w:rPr>
          <w:sz w:val="20"/>
          <w:szCs w:val="24"/>
        </w:rPr>
      </w:pPr>
      <w:r>
        <w:rPr>
          <w:rFonts w:ascii="Arial" w:hAnsi="Arial"/>
          <w:b/>
          <w:sz w:val="22"/>
          <w:szCs w:val="24"/>
        </w:rPr>
        <w:t>Remuneração</w:t>
      </w:r>
      <w:r>
        <w:rPr>
          <w:rFonts w:ascii="Arial" w:hAnsi="Arial"/>
          <w:b/>
          <w:spacing w:val="-2"/>
          <w:sz w:val="22"/>
          <w:szCs w:val="24"/>
        </w:rPr>
        <w:t xml:space="preserve"> </w:t>
      </w:r>
      <w:r>
        <w:rPr>
          <w:rFonts w:ascii="Arial" w:hAnsi="Arial"/>
          <w:b/>
          <w:sz w:val="22"/>
          <w:szCs w:val="24"/>
        </w:rPr>
        <w:t>do</w:t>
      </w:r>
      <w:r>
        <w:rPr>
          <w:rFonts w:ascii="Arial" w:hAnsi="Arial"/>
          <w:b/>
          <w:spacing w:val="-4"/>
          <w:sz w:val="22"/>
          <w:szCs w:val="24"/>
        </w:rPr>
        <w:t xml:space="preserve"> </w:t>
      </w:r>
      <w:r>
        <w:rPr>
          <w:rFonts w:ascii="Arial" w:hAnsi="Arial"/>
          <w:b/>
          <w:sz w:val="22"/>
          <w:szCs w:val="24"/>
        </w:rPr>
        <w:t>Capital</w:t>
      </w:r>
      <w:r>
        <w:rPr>
          <w:rFonts w:ascii="Arial" w:hAnsi="Arial"/>
          <w:b/>
          <w:spacing w:val="-3"/>
          <w:sz w:val="22"/>
          <w:szCs w:val="24"/>
        </w:rPr>
        <w:t xml:space="preserve"> </w:t>
      </w:r>
      <w:r>
        <w:rPr>
          <w:rFonts w:ascii="Arial" w:hAnsi="Arial"/>
          <w:b/>
          <w:sz w:val="22"/>
          <w:szCs w:val="24"/>
        </w:rPr>
        <w:t>Investido</w:t>
      </w:r>
    </w:p>
    <w:p>
      <w:pPr>
        <w:pStyle w:val="103"/>
        <w:tabs>
          <w:tab w:val="left" w:pos="580"/>
        </w:tabs>
        <w:ind w:left="0"/>
        <w:rPr>
          <w:rFonts w:ascii="Arial" w:hAnsi="Arial"/>
          <w:b/>
          <w:sz w:val="22"/>
          <w:szCs w:val="24"/>
        </w:rPr>
      </w:pPr>
    </w:p>
    <w:p>
      <w:pPr>
        <w:pStyle w:val="103"/>
        <w:tabs>
          <w:tab w:val="left" w:pos="580"/>
        </w:tabs>
        <w:ind w:left="0"/>
        <w:rPr>
          <w:rFonts w:ascii="Arial" w:hAnsi="Arial"/>
          <w:b/>
          <w:sz w:val="22"/>
          <w:szCs w:val="24"/>
        </w:rPr>
      </w:pPr>
    </w:p>
    <w:p>
      <w:pPr>
        <w:pStyle w:val="103"/>
        <w:tabs>
          <w:tab w:val="left" w:pos="580"/>
        </w:tabs>
        <w:ind w:left="0"/>
        <w:rPr>
          <w:rFonts w:ascii="Arial" w:hAnsi="Arial"/>
          <w:b/>
          <w:sz w:val="22"/>
          <w:szCs w:val="24"/>
        </w:rPr>
      </w:pPr>
    </w:p>
    <w:p>
      <w:pPr>
        <w:pStyle w:val="103"/>
        <w:tabs>
          <w:tab w:val="left" w:pos="580"/>
        </w:tabs>
        <w:ind w:left="0"/>
        <w:rPr>
          <w:rFonts w:ascii="Arial" w:hAnsi="Arial"/>
          <w:b/>
          <w:spacing w:val="-3"/>
          <w:sz w:val="22"/>
          <w:szCs w:val="24"/>
        </w:rPr>
      </w:pPr>
      <w:r>
        <w:rPr>
          <w:rFonts w:ascii="Arial" w:hAnsi="Arial"/>
          <w:b/>
          <w:spacing w:val="-3"/>
          <w:sz w:val="22"/>
          <w:szCs w:val="24"/>
        </w:rPr>
        <w:t xml:space="preserve">   </w:t>
      </w:r>
    </w:p>
    <w:p>
      <w:pPr>
        <w:pStyle w:val="103"/>
        <w:tabs>
          <w:tab w:val="left" w:pos="580"/>
        </w:tabs>
        <w:ind w:left="0"/>
        <w:rPr>
          <w:rFonts w:ascii="Arial" w:hAnsi="Arial"/>
          <w:b/>
          <w:spacing w:val="-3"/>
          <w:sz w:val="22"/>
          <w:szCs w:val="24"/>
        </w:rPr>
      </w:pPr>
    </w:p>
    <w:p>
      <w:pPr>
        <w:pStyle w:val="103"/>
        <w:tabs>
          <w:tab w:val="left" w:pos="580"/>
        </w:tabs>
        <w:ind w:left="0"/>
        <w:rPr>
          <w:rFonts w:ascii="Arial" w:hAnsi="Arial"/>
          <w:b/>
          <w:spacing w:val="-3"/>
          <w:sz w:val="22"/>
          <w:szCs w:val="24"/>
        </w:rPr>
      </w:pPr>
    </w:p>
    <w:p>
      <w:pPr>
        <w:pStyle w:val="103"/>
        <w:tabs>
          <w:tab w:val="left" w:pos="580"/>
        </w:tabs>
        <w:ind w:left="0"/>
        <w:rPr>
          <w:rFonts w:ascii="Arial" w:hAnsi="Arial"/>
          <w:b/>
          <w:spacing w:val="-3"/>
          <w:sz w:val="22"/>
          <w:szCs w:val="24"/>
        </w:rPr>
      </w:pPr>
    </w:p>
    <w:p>
      <w:pPr>
        <w:pStyle w:val="103"/>
        <w:tabs>
          <w:tab w:val="left" w:pos="580"/>
        </w:tabs>
        <w:ind w:left="0" w:firstLine="430" w:firstLineChars="200"/>
        <w:rPr>
          <w:rFonts w:ascii="Arial" w:hAnsi="Arial"/>
          <w:b/>
          <w:sz w:val="22"/>
          <w:szCs w:val="24"/>
        </w:rPr>
      </w:pPr>
      <w:r>
        <w:rPr>
          <w:rFonts w:ascii="Arial" w:hAnsi="Arial"/>
          <w:b/>
          <w:spacing w:val="-3"/>
          <w:sz w:val="22"/>
          <w:szCs w:val="24"/>
        </w:rPr>
        <w:t xml:space="preserve">1.5 </w:t>
      </w:r>
      <w:r>
        <w:rPr>
          <w:rFonts w:ascii="Arial" w:hAnsi="Arial"/>
          <w:b/>
          <w:sz w:val="22"/>
          <w:szCs w:val="24"/>
        </w:rPr>
        <w:t>Manutenção</w:t>
      </w:r>
    </w:p>
    <w:tbl>
      <w:tblPr>
        <w:tblStyle w:val="12"/>
        <w:tblpPr w:leftFromText="180" w:rightFromText="180" w:vertAnchor="text" w:horzAnchor="page" w:tblpX="1268" w:tblpY="98"/>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4"/>
        <w:gridCol w:w="2037"/>
        <w:gridCol w:w="1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9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4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95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9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rPr>
                <w:rFonts w:hint="default"/>
              </w:rPr>
            </w:pPr>
            <w:r>
              <w:rPr>
                <w:rFonts w:hint="default"/>
              </w:rPr>
              <w:t>Vida</w:t>
            </w:r>
            <w:r>
              <w:rPr>
                <w:rFonts w:hint="default"/>
                <w:spacing w:val="-2"/>
              </w:rPr>
              <w:t xml:space="preserve"> </w:t>
            </w:r>
            <w:r>
              <w:rPr>
                <w:rFonts w:hint="default"/>
              </w:rPr>
              <w:t>útil</w:t>
            </w:r>
            <w:r>
              <w:rPr>
                <w:rFonts w:hint="default"/>
                <w:spacing w:val="-5"/>
              </w:rPr>
              <w:t xml:space="preserve"> </w:t>
            </w:r>
            <w:r>
              <w:rPr>
                <w:rFonts w:hint="default"/>
              </w:rPr>
              <w:t>do</w:t>
            </w:r>
            <w:r>
              <w:rPr>
                <w:rFonts w:hint="default"/>
                <w:spacing w:val="-2"/>
              </w:rPr>
              <w:t xml:space="preserve"> </w:t>
            </w:r>
            <w:r>
              <w:rPr>
                <w:rFonts w:hint="default"/>
              </w:rPr>
              <w:t>caminhão</w:t>
            </w:r>
          </w:p>
        </w:tc>
        <w:tc>
          <w:tcPr>
            <w:tcW w:w="104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ind w:left="432" w:right="426"/>
              <w:rPr>
                <w:rFonts w:hint="default"/>
              </w:rPr>
            </w:pPr>
            <w:r>
              <w:rPr>
                <w:rFonts w:hint="default"/>
              </w:rPr>
              <w:t>anos</w:t>
            </w:r>
          </w:p>
        </w:tc>
        <w:tc>
          <w:tcPr>
            <w:tcW w:w="95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9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Coeficiente</w:t>
            </w:r>
            <w:r>
              <w:rPr>
                <w:rFonts w:hint="default"/>
                <w:spacing w:val="-5"/>
              </w:rPr>
              <w:t xml:space="preserve"> </w:t>
            </w:r>
            <w:r>
              <w:rPr>
                <w:rFonts w:hint="default"/>
              </w:rPr>
              <w:t>de</w:t>
            </w:r>
            <w:r>
              <w:rPr>
                <w:rFonts w:hint="default"/>
                <w:spacing w:val="-4"/>
              </w:rPr>
              <w:t xml:space="preserve"> </w:t>
            </w:r>
            <w:r>
              <w:rPr>
                <w:rFonts w:hint="default"/>
              </w:rPr>
              <w:t>manutenção</w:t>
            </w:r>
          </w:p>
        </w:tc>
        <w:tc>
          <w:tcPr>
            <w:tcW w:w="104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0"/>
              <w:rPr>
                <w:rFonts w:hint="default"/>
              </w:rPr>
            </w:pPr>
            <w:r>
              <w:rPr>
                <w:rFonts w:hint="default"/>
              </w:rPr>
              <w:t>-</w:t>
            </w:r>
          </w:p>
        </w:tc>
        <w:tc>
          <w:tcPr>
            <w:tcW w:w="95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9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Custo</w:t>
            </w:r>
            <w:r>
              <w:rPr>
                <w:rFonts w:hint="default"/>
                <w:spacing w:val="-4"/>
              </w:rPr>
              <w:t xml:space="preserve"> </w:t>
            </w:r>
            <w:r>
              <w:rPr>
                <w:rFonts w:hint="default"/>
              </w:rPr>
              <w:t>de</w:t>
            </w:r>
            <w:r>
              <w:rPr>
                <w:rFonts w:hint="default"/>
                <w:spacing w:val="-4"/>
              </w:rPr>
              <w:t xml:space="preserve"> </w:t>
            </w:r>
            <w:r>
              <w:rPr>
                <w:rFonts w:hint="default"/>
              </w:rPr>
              <w:t>manutenção</w:t>
            </w:r>
            <w:r>
              <w:rPr>
                <w:rFonts w:hint="default"/>
                <w:spacing w:val="-3"/>
              </w:rPr>
              <w:t xml:space="preserve"> </w:t>
            </w:r>
            <w:r>
              <w:rPr>
                <w:rFonts w:hint="default"/>
              </w:rPr>
              <w:t>mensal</w:t>
            </w:r>
            <w:r>
              <w:rPr>
                <w:rFonts w:hint="default"/>
                <w:spacing w:val="-5"/>
              </w:rPr>
              <w:t xml:space="preserve"> </w:t>
            </w:r>
            <w:r>
              <w:rPr>
                <w:rFonts w:hint="default"/>
              </w:rPr>
              <w:t>por</w:t>
            </w:r>
            <w:r>
              <w:rPr>
                <w:rFonts w:hint="default"/>
                <w:spacing w:val="-2"/>
              </w:rPr>
              <w:t xml:space="preserve"> </w:t>
            </w:r>
            <w:r>
              <w:rPr>
                <w:rFonts w:hint="default"/>
              </w:rPr>
              <w:t>veículo</w:t>
            </w:r>
          </w:p>
        </w:tc>
        <w:tc>
          <w:tcPr>
            <w:tcW w:w="104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95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bl>
    <w:p>
      <w:pPr>
        <w:pStyle w:val="103"/>
        <w:tabs>
          <w:tab w:val="left" w:pos="580"/>
        </w:tabs>
        <w:ind w:left="0"/>
        <w:rPr>
          <w:rFonts w:ascii="Arial" w:hAnsi="Arial"/>
          <w:b/>
          <w:sz w:val="22"/>
          <w:szCs w:val="24"/>
        </w:rPr>
      </w:pPr>
    </w:p>
    <w:p>
      <w:pPr>
        <w:pStyle w:val="103"/>
        <w:tabs>
          <w:tab w:val="left" w:pos="580"/>
        </w:tabs>
        <w:ind w:left="0"/>
        <w:rPr>
          <w:rFonts w:ascii="Arial" w:hAnsi="Arial"/>
          <w:b/>
          <w:sz w:val="22"/>
          <w:szCs w:val="24"/>
        </w:rPr>
      </w:pPr>
    </w:p>
    <w:p>
      <w:pPr>
        <w:pStyle w:val="103"/>
        <w:tabs>
          <w:tab w:val="left" w:pos="580"/>
        </w:tabs>
        <w:ind w:left="0" w:firstLine="442" w:firstLineChars="200"/>
        <w:rPr>
          <w:rFonts w:ascii="Arial" w:hAnsi="Arial"/>
          <w:b/>
          <w:sz w:val="22"/>
          <w:szCs w:val="24"/>
        </w:rPr>
      </w:pPr>
      <w:r>
        <w:rPr>
          <w:rFonts w:ascii="Arial" w:hAnsi="Arial"/>
          <w:b/>
          <w:sz w:val="22"/>
          <w:szCs w:val="24"/>
        </w:rPr>
        <w:t>1.6 Pneu</w:t>
      </w:r>
    </w:p>
    <w:p>
      <w:pPr>
        <w:pStyle w:val="103"/>
        <w:tabs>
          <w:tab w:val="left" w:pos="580"/>
        </w:tabs>
        <w:ind w:left="0"/>
        <w:rPr>
          <w:rFonts w:ascii="Arial" w:hAnsi="Arial"/>
          <w:b/>
          <w:sz w:val="22"/>
          <w:szCs w:val="24"/>
        </w:rPr>
      </w:pPr>
    </w:p>
    <w:tbl>
      <w:tblPr>
        <w:tblStyle w:val="12"/>
        <w:tblpPr w:leftFromText="180" w:rightFromText="180" w:vertAnchor="text" w:horzAnchor="page" w:tblpX="1253" w:tblpY="-223"/>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8"/>
        <w:gridCol w:w="2028"/>
        <w:gridCol w:w="1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Número</w:t>
            </w:r>
            <w:r>
              <w:rPr>
                <w:rFonts w:hint="default"/>
                <w:spacing w:val="-4"/>
              </w:rPr>
              <w:t xml:space="preserve"> </w:t>
            </w:r>
            <w:r>
              <w:rPr>
                <w:rFonts w:hint="default"/>
              </w:rPr>
              <w:t>de</w:t>
            </w:r>
            <w:r>
              <w:rPr>
                <w:rFonts w:hint="default"/>
                <w:spacing w:val="-1"/>
              </w:rPr>
              <w:t xml:space="preserve"> </w:t>
            </w:r>
            <w:r>
              <w:rPr>
                <w:rFonts w:hint="default"/>
              </w:rPr>
              <w:t>pneus</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Unidade</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rPr>
                <w:rFonts w:hint="default"/>
              </w:rPr>
            </w:pPr>
            <w:r>
              <w:rPr>
                <w:rFonts w:hint="default"/>
              </w:rPr>
              <w:t>Preço</w:t>
            </w:r>
            <w:r>
              <w:rPr>
                <w:rFonts w:hint="default"/>
                <w:spacing w:val="-3"/>
              </w:rPr>
              <w:t xml:space="preserve"> </w:t>
            </w:r>
            <w:r>
              <w:rPr>
                <w:rFonts w:hint="default"/>
              </w:rPr>
              <w:t>pneu</w:t>
            </w:r>
            <w:r>
              <w:rPr>
                <w:rFonts w:hint="default"/>
                <w:spacing w:val="-4"/>
              </w:rPr>
              <w:t xml:space="preserve"> </w:t>
            </w:r>
            <w:r>
              <w:rPr>
                <w:rFonts w:hint="default"/>
              </w:rPr>
              <w:t>novo</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ind w:left="433" w:right="426"/>
              <w:rPr>
                <w:rFonts w:hint="default"/>
              </w:rPr>
            </w:pPr>
            <w:r>
              <w:rPr>
                <w:rFonts w:hint="default"/>
              </w:rPr>
              <w:t>R$</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Preço</w:t>
            </w:r>
            <w:r>
              <w:rPr>
                <w:rFonts w:hint="default"/>
                <w:spacing w:val="-4"/>
              </w:rPr>
              <w:t xml:space="preserve"> </w:t>
            </w:r>
            <w:r>
              <w:rPr>
                <w:rFonts w:hint="default"/>
              </w:rPr>
              <w:t>recauchutagem</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Vida</w:t>
            </w:r>
            <w:r>
              <w:rPr>
                <w:rFonts w:hint="default"/>
                <w:spacing w:val="-2"/>
              </w:rPr>
              <w:t xml:space="preserve"> </w:t>
            </w:r>
            <w:r>
              <w:rPr>
                <w:rFonts w:hint="default"/>
              </w:rPr>
              <w:t>útil</w:t>
            </w:r>
            <w:r>
              <w:rPr>
                <w:rFonts w:hint="default"/>
                <w:spacing w:val="-4"/>
              </w:rPr>
              <w:t xml:space="preserve"> </w:t>
            </w:r>
            <w:r>
              <w:rPr>
                <w:rFonts w:hint="default"/>
              </w:rPr>
              <w:t>do</w:t>
            </w:r>
            <w:r>
              <w:rPr>
                <w:rFonts w:hint="default"/>
                <w:spacing w:val="-2"/>
              </w:rPr>
              <w:t xml:space="preserve"> </w:t>
            </w:r>
            <w:r>
              <w:rPr>
                <w:rFonts w:hint="default"/>
              </w:rPr>
              <w:t>pneu</w:t>
            </w:r>
            <w:r>
              <w:rPr>
                <w:rFonts w:hint="default"/>
                <w:spacing w:val="-3"/>
              </w:rPr>
              <w:t xml:space="preserve"> </w:t>
            </w:r>
            <w:r>
              <w:rPr>
                <w:rFonts w:hint="default"/>
              </w:rPr>
              <w:t>novo</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Vida</w:t>
            </w:r>
            <w:r>
              <w:rPr>
                <w:rFonts w:hint="default"/>
                <w:spacing w:val="-2"/>
              </w:rPr>
              <w:t xml:space="preserve"> </w:t>
            </w:r>
            <w:r>
              <w:rPr>
                <w:rFonts w:hint="default"/>
              </w:rPr>
              <w:t>útil</w:t>
            </w:r>
            <w:r>
              <w:rPr>
                <w:rFonts w:hint="default"/>
                <w:spacing w:val="-4"/>
              </w:rPr>
              <w:t xml:space="preserve"> </w:t>
            </w:r>
            <w:r>
              <w:rPr>
                <w:rFonts w:hint="default"/>
              </w:rPr>
              <w:t>do</w:t>
            </w:r>
            <w:r>
              <w:rPr>
                <w:rFonts w:hint="default"/>
                <w:spacing w:val="-2"/>
              </w:rPr>
              <w:t xml:space="preserve"> </w:t>
            </w:r>
            <w:r>
              <w:rPr>
                <w:rFonts w:hint="default"/>
              </w:rPr>
              <w:t>pneu</w:t>
            </w:r>
            <w:r>
              <w:rPr>
                <w:rFonts w:hint="default"/>
                <w:spacing w:val="-3"/>
              </w:rPr>
              <w:t xml:space="preserve"> </w:t>
            </w:r>
            <w:r>
              <w:rPr>
                <w:rFonts w:hint="default"/>
              </w:rPr>
              <w:t>com</w:t>
            </w:r>
            <w:r>
              <w:rPr>
                <w:rFonts w:hint="default"/>
                <w:spacing w:val="-2"/>
              </w:rPr>
              <w:t xml:space="preserve"> </w:t>
            </w:r>
            <w:r>
              <w:rPr>
                <w:rFonts w:hint="default"/>
              </w:rPr>
              <w:t>recauchutagem</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5"/>
              <w:rPr>
                <w:rFonts w:hint="default"/>
              </w:rPr>
            </w:pPr>
            <w:r>
              <w:rPr>
                <w:rFonts w:hint="default"/>
              </w:rPr>
              <w:t>km</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rPr>
                <w:rFonts w:hint="default"/>
              </w:rPr>
            </w:pPr>
            <w:r>
              <w:rPr>
                <w:rFonts w:hint="default"/>
              </w:rPr>
              <w:t>Preço</w:t>
            </w:r>
            <w:r>
              <w:rPr>
                <w:rFonts w:hint="default"/>
                <w:spacing w:val="56"/>
              </w:rPr>
              <w:t xml:space="preserve"> </w:t>
            </w:r>
            <w:r>
              <w:rPr>
                <w:rFonts w:hint="default"/>
              </w:rPr>
              <w:t>dos</w:t>
            </w:r>
            <w:r>
              <w:rPr>
                <w:rFonts w:hint="default"/>
                <w:spacing w:val="56"/>
              </w:rPr>
              <w:t xml:space="preserve"> </w:t>
            </w:r>
            <w:r>
              <w:rPr>
                <w:rFonts w:hint="default"/>
              </w:rPr>
              <w:t>pneus</w:t>
            </w:r>
            <w:r>
              <w:rPr>
                <w:rFonts w:hint="default"/>
                <w:spacing w:val="56"/>
              </w:rPr>
              <w:t xml:space="preserve"> </w:t>
            </w:r>
            <w:r>
              <w:rPr>
                <w:rFonts w:hint="default"/>
              </w:rPr>
              <w:t>e</w:t>
            </w:r>
            <w:r>
              <w:rPr>
                <w:rFonts w:hint="default"/>
                <w:spacing w:val="56"/>
              </w:rPr>
              <w:t xml:space="preserve"> </w:t>
            </w:r>
            <w:r>
              <w:rPr>
                <w:rFonts w:hint="default"/>
              </w:rPr>
              <w:t>recauchutagem</w:t>
            </w:r>
            <w:r>
              <w:rPr>
                <w:rFonts w:hint="default"/>
                <w:spacing w:val="55"/>
              </w:rPr>
              <w:t xml:space="preserve"> </w:t>
            </w:r>
            <w:r>
              <w:rPr>
                <w:rFonts w:hint="default"/>
              </w:rPr>
              <w:t>por</w:t>
            </w:r>
            <w:r>
              <w:rPr>
                <w:rFonts w:hint="default"/>
                <w:spacing w:val="57"/>
              </w:rPr>
              <w:t xml:space="preserve"> </w:t>
            </w:r>
            <w:r>
              <w:rPr>
                <w:rFonts w:hint="default"/>
              </w:rPr>
              <w:t>km</w:t>
            </w:r>
            <w:r>
              <w:rPr>
                <w:rFonts w:hint="default"/>
                <w:spacing w:val="-59"/>
              </w:rPr>
              <w:t xml:space="preserve"> </w:t>
            </w:r>
            <w:r>
              <w:rPr>
                <w:rFonts w:hint="default"/>
              </w:rPr>
              <w:t>rodado</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6"/>
              <w:ind w:left="435" w:right="422"/>
              <w:rPr>
                <w:rFonts w:hint="default"/>
              </w:rPr>
            </w:pPr>
            <w:r>
              <w:rPr>
                <w:rFonts w:hint="default"/>
              </w:rPr>
              <w:t>R$/km</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6"/>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992" w:type="pct"/>
            <w:tcBorders>
              <w:top w:val="single" w:color="000000" w:sz="4" w:space="0"/>
              <w:left w:val="single" w:color="000000" w:sz="4" w:space="0"/>
              <w:bottom w:val="single" w:color="000000" w:sz="4" w:space="0"/>
              <w:right w:val="single" w:color="000000" w:sz="4" w:space="0"/>
              <w:tl2br w:val="nil"/>
              <w:tr2bl w:val="nil"/>
            </w:tcBorders>
          </w:tcPr>
          <w:p>
            <w:pPr>
              <w:pStyle w:val="193"/>
              <w:rPr>
                <w:rFonts w:hint="default"/>
              </w:rPr>
            </w:pPr>
            <w:r>
              <w:rPr>
                <w:rFonts w:hint="default"/>
              </w:rPr>
              <w:t>Custo</w:t>
            </w:r>
            <w:r>
              <w:rPr>
                <w:rFonts w:hint="default"/>
                <w:spacing w:val="3"/>
              </w:rPr>
              <w:t xml:space="preserve"> </w:t>
            </w:r>
            <w:r>
              <w:rPr>
                <w:rFonts w:hint="default"/>
              </w:rPr>
              <w:t>de</w:t>
            </w:r>
            <w:r>
              <w:rPr>
                <w:rFonts w:hint="default"/>
                <w:spacing w:val="5"/>
              </w:rPr>
              <w:t xml:space="preserve"> </w:t>
            </w:r>
            <w:r>
              <w:rPr>
                <w:rFonts w:hint="default"/>
              </w:rPr>
              <w:t>pneus</w:t>
            </w:r>
            <w:r>
              <w:rPr>
                <w:rFonts w:hint="default"/>
                <w:spacing w:val="6"/>
              </w:rPr>
              <w:t xml:space="preserve"> </w:t>
            </w:r>
            <w:r>
              <w:rPr>
                <w:rFonts w:hint="default"/>
              </w:rPr>
              <w:t>e</w:t>
            </w:r>
            <w:r>
              <w:rPr>
                <w:rFonts w:hint="default"/>
                <w:spacing w:val="3"/>
              </w:rPr>
              <w:t xml:space="preserve"> </w:t>
            </w:r>
            <w:r>
              <w:rPr>
                <w:rFonts w:hint="default"/>
              </w:rPr>
              <w:t>recauchutagem</w:t>
            </w:r>
            <w:r>
              <w:rPr>
                <w:rFonts w:hint="default"/>
                <w:spacing w:val="4"/>
              </w:rPr>
              <w:t xml:space="preserve"> </w:t>
            </w:r>
            <w:r>
              <w:rPr>
                <w:rFonts w:hint="default"/>
              </w:rPr>
              <w:t>mensal</w:t>
            </w:r>
            <w:r>
              <w:rPr>
                <w:rFonts w:hint="default"/>
                <w:spacing w:val="2"/>
              </w:rPr>
              <w:t xml:space="preserve"> </w:t>
            </w:r>
            <w:r>
              <w:rPr>
                <w:rFonts w:hint="default"/>
              </w:rPr>
              <w:t>por</w:t>
            </w:r>
            <w:r>
              <w:rPr>
                <w:rFonts w:hint="default"/>
                <w:spacing w:val="-59"/>
              </w:rPr>
              <w:t xml:space="preserve"> </w:t>
            </w:r>
            <w:r>
              <w:rPr>
                <w:rFonts w:hint="default"/>
              </w:rPr>
              <w:t>veículo</w:t>
            </w:r>
          </w:p>
        </w:tc>
        <w:tc>
          <w:tcPr>
            <w:tcW w:w="103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4"/>
              <w:ind w:left="433" w:right="426"/>
              <w:rPr>
                <w:rFonts w:hint="default"/>
              </w:rPr>
            </w:pPr>
            <w:r>
              <w:rPr>
                <w:rFonts w:hint="default"/>
              </w:rPr>
              <w:t>R$</w:t>
            </w:r>
          </w:p>
        </w:tc>
        <w:tc>
          <w:tcPr>
            <w:tcW w:w="96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4"/>
              <w:ind w:left="277" w:right="265"/>
              <w:rPr>
                <w:rFonts w:hint="default"/>
              </w:rPr>
            </w:pPr>
          </w:p>
        </w:tc>
      </w:tr>
    </w:tbl>
    <w:p>
      <w:pPr>
        <w:pStyle w:val="103"/>
        <w:tabs>
          <w:tab w:val="left" w:pos="580"/>
        </w:tabs>
        <w:ind w:left="0" w:firstLine="442" w:firstLineChars="200"/>
        <w:rPr>
          <w:rFonts w:ascii="Arial" w:hAnsi="Arial"/>
          <w:b/>
          <w:sz w:val="22"/>
          <w:szCs w:val="24"/>
        </w:rPr>
      </w:pPr>
      <w:r>
        <w:rPr>
          <w:rFonts w:ascii="Arial" w:hAnsi="Arial"/>
          <w:b/>
          <w:sz w:val="22"/>
          <w:szCs w:val="24"/>
        </w:rPr>
        <w:t>1.7 Consumos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4"/>
        <w:gridCol w:w="2041"/>
        <w:gridCol w:w="1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right="443"/>
              <w:jc w:val="right"/>
              <w:rPr>
                <w:rFonts w:hint="default"/>
                <w:b/>
              </w:rPr>
            </w:pPr>
            <w:r>
              <w:rPr>
                <w:rFonts w:hint="default"/>
                <w:b/>
              </w:rPr>
              <w:t>Unidade</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Custo</w:t>
            </w:r>
            <w:r>
              <w:rPr>
                <w:rFonts w:hint="default"/>
                <w:spacing w:val="-4"/>
              </w:rPr>
              <w:t xml:space="preserve"> </w:t>
            </w:r>
            <w:r>
              <w:rPr>
                <w:rFonts w:hint="default"/>
              </w:rPr>
              <w:t>óleo</w:t>
            </w:r>
            <w:r>
              <w:rPr>
                <w:rFonts w:hint="default"/>
                <w:spacing w:val="-4"/>
              </w:rPr>
              <w:t xml:space="preserve"> </w:t>
            </w:r>
            <w:r>
              <w:rPr>
                <w:rFonts w:hint="default"/>
              </w:rPr>
              <w:t>diesel</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3" w:right="426"/>
              <w:rPr>
                <w:rFonts w:hint="default"/>
              </w:rPr>
            </w:pPr>
            <w:r>
              <w:rPr>
                <w:rFonts w:hint="default"/>
              </w:rPr>
              <w:t>R$</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Consumo</w:t>
            </w:r>
            <w:r>
              <w:rPr>
                <w:rFonts w:hint="default"/>
                <w:spacing w:val="-3"/>
              </w:rPr>
              <w:t xml:space="preserve"> </w:t>
            </w:r>
            <w:r>
              <w:rPr>
                <w:rFonts w:hint="default"/>
              </w:rPr>
              <w:t>por</w:t>
            </w:r>
            <w:r>
              <w:rPr>
                <w:rFonts w:hint="default"/>
                <w:spacing w:val="-4"/>
              </w:rPr>
              <w:t xml:space="preserve"> </w:t>
            </w:r>
            <w:r>
              <w:rPr>
                <w:rFonts w:hint="default"/>
              </w:rPr>
              <w:t>km</w:t>
            </w:r>
            <w:r>
              <w:rPr>
                <w:rFonts w:hint="default"/>
                <w:spacing w:val="-1"/>
              </w:rPr>
              <w:t xml:space="preserve"> </w:t>
            </w:r>
            <w:r>
              <w:rPr>
                <w:rFonts w:hint="default"/>
              </w:rPr>
              <w:t>rodado</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503"/>
              <w:jc w:val="right"/>
              <w:rPr>
                <w:rFonts w:hint="default"/>
              </w:rPr>
            </w:pPr>
            <w:r>
              <w:rPr>
                <w:rFonts w:hint="default"/>
              </w:rPr>
              <w:t>Km/litro</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rPr>
                <w:rFonts w:hint="default"/>
              </w:rPr>
            </w:pPr>
            <w:r>
              <w:rPr>
                <w:rFonts w:hint="default"/>
              </w:rPr>
              <w:t>Consumo</w:t>
            </w:r>
            <w:r>
              <w:rPr>
                <w:rFonts w:hint="default"/>
                <w:spacing w:val="-5"/>
              </w:rPr>
              <w:t xml:space="preserve"> </w:t>
            </w:r>
            <w:r>
              <w:rPr>
                <w:rFonts w:hint="default"/>
              </w:rPr>
              <w:t>médio</w:t>
            </w:r>
            <w:r>
              <w:rPr>
                <w:rFonts w:hint="default"/>
                <w:spacing w:val="-2"/>
              </w:rPr>
              <w:t xml:space="preserve"> </w:t>
            </w:r>
            <w:r>
              <w:rPr>
                <w:rFonts w:hint="default"/>
              </w:rPr>
              <w:t>mensal</w:t>
            </w:r>
            <w:r>
              <w:rPr>
                <w:rFonts w:hint="default"/>
                <w:spacing w:val="-2"/>
              </w:rPr>
              <w:t xml:space="preserve"> </w:t>
            </w:r>
            <w:r>
              <w:rPr>
                <w:rFonts w:hint="default"/>
              </w:rPr>
              <w:t>por</w:t>
            </w:r>
            <w:r>
              <w:rPr>
                <w:rFonts w:hint="default"/>
                <w:spacing w:val="-4"/>
              </w:rPr>
              <w:t xml:space="preserve"> </w:t>
            </w:r>
            <w:r>
              <w:rPr>
                <w:rFonts w:hint="default"/>
              </w:rPr>
              <w:t>veículo</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435" w:right="424"/>
              <w:rPr>
                <w:rFonts w:hint="default"/>
              </w:rPr>
            </w:pPr>
            <w:r>
              <w:rPr>
                <w:rFonts w:hint="default"/>
              </w:rPr>
              <w:t>Litros</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005"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Custo</w:t>
            </w:r>
            <w:r>
              <w:rPr>
                <w:rFonts w:hint="default"/>
                <w:spacing w:val="-3"/>
              </w:rPr>
              <w:t xml:space="preserve"> </w:t>
            </w:r>
            <w:r>
              <w:rPr>
                <w:rFonts w:hint="default"/>
              </w:rPr>
              <w:t>com</w:t>
            </w:r>
            <w:r>
              <w:rPr>
                <w:rFonts w:hint="default"/>
                <w:spacing w:val="-4"/>
              </w:rPr>
              <w:t xml:space="preserve"> </w:t>
            </w:r>
            <w:r>
              <w:rPr>
                <w:rFonts w:hint="default"/>
              </w:rPr>
              <w:t>diesel</w:t>
            </w:r>
            <w:r>
              <w:rPr>
                <w:rFonts w:hint="default"/>
                <w:spacing w:val="-1"/>
              </w:rPr>
              <w:t xml:space="preserve"> </w:t>
            </w:r>
            <w:r>
              <w:rPr>
                <w:rFonts w:hint="default"/>
              </w:rPr>
              <w:t>por</w:t>
            </w:r>
            <w:r>
              <w:rPr>
                <w:rFonts w:hint="default"/>
                <w:spacing w:val="-2"/>
              </w:rPr>
              <w:t xml:space="preserve"> </w:t>
            </w:r>
            <w:r>
              <w:rPr>
                <w:rFonts w:hint="default"/>
              </w:rPr>
              <w:t>veículo</w:t>
            </w:r>
            <w:r>
              <w:rPr>
                <w:rFonts w:hint="default"/>
                <w:spacing w:val="-3"/>
              </w:rPr>
              <w:t xml:space="preserve"> </w:t>
            </w:r>
            <w:r>
              <w:rPr>
                <w:rFonts w:hint="default"/>
              </w:rPr>
              <w:t>por</w:t>
            </w:r>
            <w:r>
              <w:rPr>
                <w:rFonts w:hint="default"/>
                <w:spacing w:val="-1"/>
              </w:rPr>
              <w:t xml:space="preserve"> </w:t>
            </w:r>
            <w:r>
              <w:rPr>
                <w:rFonts w:hint="default"/>
              </w:rPr>
              <w:t>mês</w:t>
            </w:r>
          </w:p>
        </w:tc>
        <w:tc>
          <w:tcPr>
            <w:tcW w:w="104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94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8"/>
              <w:rPr>
                <w:rFonts w:hint="default"/>
              </w:rPr>
            </w:pPr>
          </w:p>
        </w:tc>
      </w:tr>
    </w:tbl>
    <w:p>
      <w:pPr>
        <w:rPr>
          <w:sz w:val="20"/>
          <w:szCs w:val="24"/>
        </w:rPr>
      </w:pPr>
    </w:p>
    <w:p>
      <w:pPr>
        <w:rPr>
          <w:sz w:val="20"/>
          <w:szCs w:val="24"/>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61"/>
        <w:gridCol w:w="2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392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right="58"/>
              <w:jc w:val="right"/>
              <w:rPr>
                <w:rFonts w:hint="default"/>
                <w:b/>
              </w:rPr>
            </w:pPr>
            <w:r>
              <w:rPr>
                <w:rFonts w:hint="default"/>
                <w:b/>
              </w:rPr>
              <w:t>Valor</w:t>
            </w:r>
            <w:r>
              <w:rPr>
                <w:rFonts w:hint="default"/>
                <w:b/>
                <w:spacing w:val="-5"/>
              </w:rPr>
              <w:t xml:space="preserve"> </w:t>
            </w:r>
            <w:r>
              <w:rPr>
                <w:rFonts w:hint="default"/>
                <w:b/>
              </w:rPr>
              <w:t>total</w:t>
            </w:r>
            <w:r>
              <w:rPr>
                <w:rFonts w:hint="default"/>
                <w:b/>
                <w:spacing w:val="-3"/>
              </w:rPr>
              <w:t xml:space="preserve"> </w:t>
            </w:r>
            <w:r>
              <w:rPr>
                <w:rFonts w:hint="default"/>
                <w:b/>
              </w:rPr>
              <w:t>(R$)</w:t>
            </w:r>
          </w:p>
        </w:tc>
        <w:tc>
          <w:tcPr>
            <w:tcW w:w="107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359"/>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92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58"/>
              <w:jc w:val="right"/>
              <w:rPr>
                <w:rFonts w:hint="default"/>
                <w:b/>
              </w:rPr>
            </w:pPr>
            <w:r>
              <w:rPr>
                <w:rFonts w:hint="default"/>
                <w:b/>
              </w:rPr>
              <w:t>BDI</w:t>
            </w:r>
            <w:r>
              <w:rPr>
                <w:rFonts w:hint="default"/>
                <w:b/>
                <w:spacing w:val="-3"/>
              </w:rPr>
              <w:t xml:space="preserve"> </w:t>
            </w:r>
            <w:r>
              <w:rPr>
                <w:rFonts w:hint="default"/>
                <w:b/>
              </w:rPr>
              <w:t>(R$)</w:t>
            </w:r>
          </w:p>
        </w:tc>
        <w:tc>
          <w:tcPr>
            <w:tcW w:w="107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359"/>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92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58"/>
              <w:jc w:val="right"/>
              <w:rPr>
                <w:rFonts w:hint="default"/>
                <w:b/>
              </w:rPr>
            </w:pPr>
            <w:r>
              <w:rPr>
                <w:rFonts w:hint="default"/>
                <w:b/>
              </w:rPr>
              <w:t>Valor</w:t>
            </w:r>
            <w:r>
              <w:rPr>
                <w:rFonts w:hint="default"/>
                <w:b/>
                <w:spacing w:val="-3"/>
              </w:rPr>
              <w:t xml:space="preserve"> </w:t>
            </w:r>
            <w:r>
              <w:rPr>
                <w:rFonts w:hint="default"/>
                <w:b/>
              </w:rPr>
              <w:t>total</w:t>
            </w:r>
            <w:r>
              <w:rPr>
                <w:rFonts w:hint="default"/>
                <w:b/>
                <w:spacing w:val="-4"/>
              </w:rPr>
              <w:t xml:space="preserve"> </w:t>
            </w:r>
            <w:r>
              <w:rPr>
                <w:rFonts w:hint="default"/>
                <w:b/>
              </w:rPr>
              <w:t>mensal</w:t>
            </w:r>
            <w:r>
              <w:rPr>
                <w:rFonts w:hint="default"/>
                <w:b/>
                <w:spacing w:val="-2"/>
              </w:rPr>
              <w:t xml:space="preserve"> </w:t>
            </w:r>
            <w:r>
              <w:rPr>
                <w:rFonts w:hint="default"/>
                <w:b/>
              </w:rPr>
              <w:t>c/</w:t>
            </w:r>
            <w:r>
              <w:rPr>
                <w:rFonts w:hint="default"/>
                <w:b/>
                <w:spacing w:val="-2"/>
              </w:rPr>
              <w:t xml:space="preserve"> </w:t>
            </w:r>
            <w:r>
              <w:rPr>
                <w:rFonts w:hint="default"/>
                <w:b/>
              </w:rPr>
              <w:t>BDI</w:t>
            </w:r>
            <w:r>
              <w:rPr>
                <w:rFonts w:hint="default"/>
                <w:b/>
                <w:spacing w:val="-2"/>
              </w:rPr>
              <w:t xml:space="preserve"> </w:t>
            </w:r>
            <w:r>
              <w:rPr>
                <w:rFonts w:hint="default"/>
                <w:b/>
              </w:rPr>
              <w:t>(R$)</w:t>
            </w:r>
          </w:p>
        </w:tc>
        <w:tc>
          <w:tcPr>
            <w:tcW w:w="107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359"/>
              <w:rPr>
                <w:rFonts w:hint="default"/>
                <w:b/>
              </w:rPr>
            </w:pPr>
          </w:p>
        </w:tc>
      </w:tr>
    </w:tbl>
    <w:p>
      <w:pPr>
        <w:rPr>
          <w:sz w:val="20"/>
          <w:szCs w:val="24"/>
        </w:rPr>
      </w:pPr>
    </w:p>
    <w:p>
      <w:pPr>
        <w:rPr>
          <w:sz w:val="20"/>
          <w:szCs w:val="24"/>
        </w:rPr>
      </w:pPr>
    </w:p>
    <w:p>
      <w:pPr>
        <w:spacing w:before="94"/>
        <w:ind w:left="212"/>
        <w:rPr>
          <w:rFonts w:ascii="Arial" w:hAnsi="Arial"/>
          <w:b/>
          <w:sz w:val="22"/>
          <w:szCs w:val="24"/>
        </w:rPr>
      </w:pPr>
      <w:r>
        <w:rPr>
          <w:rFonts w:ascii="Arial" w:hAnsi="Arial"/>
          <w:b/>
          <w:sz w:val="22"/>
          <w:szCs w:val="24"/>
        </w:rPr>
        <w:t>2</w:t>
      </w:r>
      <w:r>
        <w:rPr>
          <w:rFonts w:ascii="Arial" w:hAnsi="Arial"/>
          <w:b/>
          <w:spacing w:val="-4"/>
          <w:sz w:val="22"/>
          <w:szCs w:val="24"/>
        </w:rPr>
        <w:t xml:space="preserve"> </w:t>
      </w:r>
      <w:r>
        <w:rPr>
          <w:rFonts w:ascii="Arial" w:hAnsi="Arial"/>
          <w:b/>
          <w:sz w:val="22"/>
          <w:szCs w:val="24"/>
        </w:rPr>
        <w:t>-</w:t>
      </w:r>
      <w:r>
        <w:rPr>
          <w:rFonts w:ascii="Arial" w:hAnsi="Arial"/>
          <w:b/>
          <w:spacing w:val="-2"/>
          <w:sz w:val="22"/>
          <w:szCs w:val="24"/>
        </w:rPr>
        <w:t xml:space="preserve"> </w:t>
      </w:r>
      <w:r>
        <w:rPr>
          <w:rFonts w:ascii="Arial" w:hAnsi="Arial"/>
          <w:b/>
          <w:sz w:val="22"/>
          <w:szCs w:val="24"/>
        </w:rPr>
        <w:t>VEÍCULOS</w:t>
      </w:r>
      <w:r>
        <w:rPr>
          <w:rFonts w:ascii="Arial" w:hAnsi="Arial"/>
          <w:b/>
          <w:spacing w:val="-4"/>
          <w:sz w:val="22"/>
          <w:szCs w:val="24"/>
        </w:rPr>
        <w:t xml:space="preserve"> </w:t>
      </w:r>
      <w:r>
        <w:rPr>
          <w:rFonts w:ascii="Arial" w:hAnsi="Arial"/>
          <w:b/>
          <w:sz w:val="22"/>
          <w:szCs w:val="24"/>
        </w:rPr>
        <w:t>E</w:t>
      </w:r>
      <w:r>
        <w:rPr>
          <w:rFonts w:ascii="Arial" w:hAnsi="Arial"/>
          <w:b/>
          <w:spacing w:val="-1"/>
          <w:sz w:val="22"/>
          <w:szCs w:val="24"/>
        </w:rPr>
        <w:t xml:space="preserve"> </w:t>
      </w:r>
      <w:r>
        <w:rPr>
          <w:rFonts w:ascii="Arial" w:hAnsi="Arial"/>
          <w:b/>
          <w:sz w:val="22"/>
          <w:szCs w:val="24"/>
        </w:rPr>
        <w:t>EQUIPAMENTOS</w:t>
      </w:r>
    </w:p>
    <w:p>
      <w:pPr>
        <w:pStyle w:val="21"/>
        <w:spacing w:before="7"/>
        <w:rPr>
          <w:rFonts w:ascii="Arial"/>
          <w:b/>
          <w:szCs w:val="24"/>
        </w:rPr>
      </w:pPr>
    </w:p>
    <w:p>
      <w:pPr>
        <w:pStyle w:val="103"/>
        <w:numPr>
          <w:ilvl w:val="0"/>
          <w:numId w:val="16"/>
        </w:numPr>
        <w:tabs>
          <w:tab w:val="left" w:pos="458"/>
        </w:tabs>
        <w:ind w:left="212" w:right="1577" w:firstLine="0"/>
        <w:rPr>
          <w:rFonts w:ascii="Arial" w:hAnsi="Arial"/>
          <w:b/>
          <w:sz w:val="22"/>
          <w:szCs w:val="24"/>
        </w:rPr>
      </w:pPr>
      <w:r>
        <w:rPr>
          <w:rFonts w:ascii="Arial" w:hAnsi="Arial"/>
          <w:b/>
          <w:sz w:val="22"/>
          <w:szCs w:val="24"/>
        </w:rPr>
        <w:t>Caminhão Acomodador (compactador com pressão reduzida para coleta se</w:t>
      </w:r>
      <w:r>
        <w:rPr>
          <w:rFonts w:ascii="Arial" w:hAnsi="Arial"/>
          <w:b/>
          <w:spacing w:val="-59"/>
          <w:sz w:val="22"/>
          <w:szCs w:val="24"/>
        </w:rPr>
        <w:t xml:space="preserve"> </w:t>
      </w:r>
      <w:r>
        <w:rPr>
          <w:rFonts w:ascii="Arial" w:hAnsi="Arial"/>
          <w:b/>
          <w:sz w:val="22"/>
          <w:szCs w:val="24"/>
        </w:rPr>
        <w:t>resíduos</w:t>
      </w:r>
      <w:r>
        <w:rPr>
          <w:rFonts w:ascii="Arial" w:hAnsi="Arial"/>
          <w:b/>
          <w:spacing w:val="-1"/>
          <w:sz w:val="22"/>
          <w:szCs w:val="24"/>
        </w:rPr>
        <w:t xml:space="preserve"> </w:t>
      </w:r>
      <w:r>
        <w:rPr>
          <w:rFonts w:ascii="Arial" w:hAnsi="Arial"/>
          <w:b/>
          <w:sz w:val="22"/>
          <w:szCs w:val="24"/>
        </w:rPr>
        <w:t>secos</w:t>
      </w:r>
      <w:r>
        <w:rPr>
          <w:rFonts w:ascii="Arial" w:hAnsi="Arial"/>
          <w:b/>
          <w:spacing w:val="-2"/>
          <w:sz w:val="22"/>
          <w:szCs w:val="24"/>
        </w:rPr>
        <w:t xml:space="preserve"> </w:t>
      </w:r>
      <w:r>
        <w:rPr>
          <w:rFonts w:ascii="Arial" w:hAnsi="Arial"/>
          <w:b/>
          <w:sz w:val="22"/>
          <w:szCs w:val="24"/>
        </w:rPr>
        <w:t>-</w:t>
      </w:r>
      <w:r>
        <w:rPr>
          <w:rFonts w:ascii="Arial" w:hAnsi="Arial"/>
          <w:b/>
          <w:spacing w:val="-1"/>
          <w:sz w:val="22"/>
          <w:szCs w:val="24"/>
        </w:rPr>
        <w:t xml:space="preserve"> </w:t>
      </w:r>
      <w:r>
        <w:rPr>
          <w:rFonts w:ascii="Arial" w:hAnsi="Arial"/>
          <w:b/>
          <w:sz w:val="22"/>
          <w:szCs w:val="24"/>
        </w:rPr>
        <w:t>15m3</w:t>
      </w:r>
    </w:p>
    <w:p>
      <w:pPr>
        <w:pStyle w:val="21"/>
        <w:spacing w:before="3"/>
        <w:rPr>
          <w:rFonts w:ascii="Arial"/>
          <w:b/>
          <w:szCs w:val="24"/>
        </w:rPr>
      </w:pPr>
    </w:p>
    <w:p>
      <w:pPr>
        <w:pStyle w:val="103"/>
        <w:numPr>
          <w:ilvl w:val="1"/>
          <w:numId w:val="16"/>
        </w:numPr>
        <w:tabs>
          <w:tab w:val="left" w:pos="580"/>
        </w:tabs>
        <w:ind w:left="588"/>
        <w:rPr>
          <w:rFonts w:ascii="Arial"/>
          <w:b/>
          <w:sz w:val="22"/>
          <w:szCs w:val="24"/>
        </w:rPr>
      </w:pPr>
      <w:r>
        <w:rPr>
          <w:rFonts w:ascii="Arial"/>
          <w:b/>
          <w:sz w:val="22"/>
          <w:szCs w:val="24"/>
        </w:rPr>
        <w:t>-</w:t>
      </w:r>
      <w:r>
        <w:rPr>
          <w:rFonts w:ascii="Arial"/>
          <w:b/>
          <w:spacing w:val="-2"/>
          <w:sz w:val="22"/>
          <w:szCs w:val="24"/>
        </w:rPr>
        <w:t xml:space="preserve"> </w:t>
      </w:r>
      <w:r>
        <w:rPr>
          <w:rFonts w:ascii="Arial"/>
          <w:b/>
          <w:sz w:val="22"/>
          <w:szCs w:val="24"/>
        </w:rPr>
        <w:t>Dados</w:t>
      </w:r>
      <w:r>
        <w:rPr>
          <w:rFonts w:ascii="Arial"/>
          <w:b/>
          <w:spacing w:val="-2"/>
          <w:sz w:val="22"/>
          <w:szCs w:val="24"/>
        </w:rPr>
        <w:t xml:space="preserve"> </w:t>
      </w:r>
      <w:r>
        <w:rPr>
          <w:rFonts w:ascii="Arial"/>
          <w:b/>
          <w:sz w:val="22"/>
          <w:szCs w:val="24"/>
        </w:rPr>
        <w:t>gerais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443"/>
              <w:jc w:val="right"/>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semana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ano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3"/>
              </w:rPr>
              <w:t xml:space="preserve"> </w:t>
            </w:r>
            <w:r>
              <w:rPr>
                <w:rFonts w:hint="default"/>
              </w:rPr>
              <w:t>mês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Custo</w:t>
            </w:r>
            <w:r>
              <w:rPr>
                <w:rFonts w:hint="default"/>
                <w:spacing w:val="36"/>
              </w:rPr>
              <w:t xml:space="preserve"> </w:t>
            </w:r>
            <w:r>
              <w:rPr>
                <w:rFonts w:hint="default"/>
              </w:rPr>
              <w:t>de</w:t>
            </w:r>
            <w:r>
              <w:rPr>
                <w:rFonts w:hint="default"/>
                <w:spacing w:val="39"/>
              </w:rPr>
              <w:t xml:space="preserve"> </w:t>
            </w:r>
            <w:r>
              <w:rPr>
                <w:rFonts w:hint="default"/>
              </w:rPr>
              <w:t>aquisição</w:t>
            </w:r>
            <w:r>
              <w:rPr>
                <w:rFonts w:hint="default"/>
                <w:spacing w:val="39"/>
              </w:rPr>
              <w:t xml:space="preserve"> </w:t>
            </w:r>
            <w:r>
              <w:rPr>
                <w:rFonts w:hint="default"/>
              </w:rPr>
              <w:t>de</w:t>
            </w:r>
            <w:r>
              <w:rPr>
                <w:rFonts w:hint="default"/>
                <w:spacing w:val="39"/>
              </w:rPr>
              <w:t xml:space="preserve"> </w:t>
            </w:r>
            <w:r>
              <w:rPr>
                <w:rFonts w:hint="default"/>
              </w:rPr>
              <w:t>caminhão</w:t>
            </w:r>
            <w:r>
              <w:rPr>
                <w:rFonts w:hint="default"/>
                <w:spacing w:val="38"/>
              </w:rPr>
              <w:t xml:space="preserve"> </w:t>
            </w:r>
            <w:r>
              <w:rPr>
                <w:rFonts w:hint="default"/>
              </w:rPr>
              <w:t>acomodador</w:t>
            </w:r>
            <w:r>
              <w:rPr>
                <w:rFonts w:hint="default"/>
                <w:spacing w:val="38"/>
              </w:rPr>
              <w:t xml:space="preserve"> </w:t>
            </w:r>
            <w:r>
              <w:rPr>
                <w:rFonts w:hint="default"/>
              </w:rPr>
              <w:t>-</w:t>
            </w:r>
            <w:r>
              <w:rPr>
                <w:rFonts w:hint="default"/>
                <w:spacing w:val="-58"/>
              </w:rPr>
              <w:t xml:space="preserve"> </w:t>
            </w:r>
            <w:r>
              <w:rPr>
                <w:rFonts w:hint="default"/>
              </w:rPr>
              <w:t>15</w:t>
            </w:r>
            <w:r>
              <w:rPr>
                <w:rFonts w:hint="default"/>
                <w:spacing w:val="-3"/>
              </w:rPr>
              <w:t xml:space="preserve"> </w:t>
            </w:r>
            <w:r>
              <w:rPr>
                <w:rFonts w:hint="default"/>
              </w:rPr>
              <w:t>m³</w:t>
            </w:r>
            <w:r>
              <w:rPr>
                <w:rFonts w:hint="default"/>
                <w:spacing w:val="-1"/>
              </w:rPr>
              <w:t xml:space="preserve"> </w:t>
            </w:r>
            <w:r>
              <w:rPr>
                <w:rFonts w:hint="default"/>
              </w:rPr>
              <w:t>(caminhão</w:t>
            </w:r>
            <w:r>
              <w:rPr>
                <w:rFonts w:hint="default"/>
                <w:spacing w:val="-2"/>
              </w:rPr>
              <w:t xml:space="preserve"> </w:t>
            </w:r>
            <w:r>
              <w:rPr>
                <w:rFonts w:hint="default"/>
              </w:rPr>
              <w:t>+</w:t>
            </w:r>
            <w:r>
              <w:rPr>
                <w:rFonts w:hint="default"/>
                <w:spacing w:val="-1"/>
              </w:rPr>
              <w:t xml:space="preserve"> </w:t>
            </w:r>
            <w:r>
              <w:rPr>
                <w:rFonts w:hint="default"/>
              </w:rPr>
              <w:t>Equipamento)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277" w:right="27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Quantidade</w:t>
            </w:r>
            <w:r>
              <w:rPr>
                <w:rFonts w:hint="default"/>
                <w:spacing w:val="-5"/>
              </w:rPr>
              <w:t xml:space="preserve"> </w:t>
            </w:r>
            <w:r>
              <w:rPr>
                <w:rFonts w:hint="default"/>
              </w:rPr>
              <w:t>de</w:t>
            </w:r>
            <w:r>
              <w:rPr>
                <w:rFonts w:hint="default"/>
                <w:spacing w:val="-3"/>
              </w:rPr>
              <w:t xml:space="preserve"> </w:t>
            </w:r>
            <w:r>
              <w:rPr>
                <w:rFonts w:hint="default"/>
              </w:rPr>
              <w:t>veículos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486"/>
              <w:jc w:val="right"/>
              <w:rPr>
                <w:rFonts w:hint="default"/>
              </w:rPr>
            </w:pPr>
            <w:r>
              <w:rPr>
                <w:rFonts w:hint="default"/>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bl>
    <w:p>
      <w:pPr>
        <w:rPr>
          <w:sz w:val="20"/>
          <w:szCs w:val="24"/>
        </w:rPr>
      </w:pPr>
    </w:p>
    <w:p>
      <w:pPr>
        <w:rPr>
          <w:sz w:val="20"/>
          <w:szCs w:val="24"/>
        </w:rPr>
      </w:pPr>
    </w:p>
    <w:p>
      <w:pPr>
        <w:pStyle w:val="103"/>
        <w:numPr>
          <w:ilvl w:val="1"/>
          <w:numId w:val="16"/>
        </w:numPr>
        <w:tabs>
          <w:tab w:val="left" w:pos="580"/>
        </w:tabs>
        <w:spacing w:after="6"/>
        <w:ind w:left="588"/>
        <w:rPr>
          <w:rFonts w:ascii="Arial" w:hAnsi="Arial"/>
          <w:b/>
          <w:sz w:val="22"/>
          <w:szCs w:val="24"/>
        </w:rPr>
      </w:pPr>
      <w:r>
        <w:rPr>
          <w:rFonts w:ascii="Arial" w:hAnsi="Arial"/>
          <w:b/>
          <w:sz w:val="22"/>
          <w:szCs w:val="24"/>
        </w:rPr>
        <w:t>-</w:t>
      </w:r>
      <w:r>
        <w:rPr>
          <w:rFonts w:ascii="Arial" w:hAnsi="Arial"/>
          <w:b/>
          <w:spacing w:val="-3"/>
          <w:sz w:val="22"/>
          <w:szCs w:val="24"/>
        </w:rPr>
        <w:t xml:space="preserve"> </w:t>
      </w:r>
      <w:r>
        <w:rPr>
          <w:rFonts w:ascii="Arial" w:hAnsi="Arial"/>
          <w:b/>
          <w:sz w:val="22"/>
          <w:szCs w:val="24"/>
        </w:rPr>
        <w:t>Depreciação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Depreciação</w:t>
            </w:r>
            <w:r>
              <w:rPr>
                <w:rFonts w:hint="default"/>
                <w:spacing w:val="-4"/>
              </w:rPr>
              <w:t xml:space="preserve"> </w:t>
            </w:r>
            <w:r>
              <w:rPr>
                <w:rFonts w:hint="default"/>
              </w:rPr>
              <w:t>(60</w:t>
            </w:r>
            <w:r>
              <w:rPr>
                <w:rFonts w:hint="default"/>
                <w:spacing w:val="-4"/>
              </w:rPr>
              <w:t xml:space="preserve"> </w:t>
            </w:r>
            <w:r>
              <w:rPr>
                <w:rFonts w:hint="default"/>
              </w:rPr>
              <w:t>meses)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4"/>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Depreciação</w:t>
            </w:r>
            <w:r>
              <w:rPr>
                <w:rFonts w:hint="default"/>
                <w:spacing w:val="-4"/>
              </w:rPr>
              <w:t xml:space="preserve"> </w:t>
            </w:r>
            <w:r>
              <w:rPr>
                <w:rFonts w:hint="default"/>
              </w:rPr>
              <w:t>mensal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Depreciação</w:t>
            </w:r>
            <w:r>
              <w:rPr>
                <w:rFonts w:hint="default"/>
                <w:spacing w:val="-4"/>
              </w:rPr>
              <w:t xml:space="preserve"> </w:t>
            </w:r>
            <w:r>
              <w:rPr>
                <w:rFonts w:hint="default"/>
              </w:rPr>
              <w:t>mensal</w:t>
            </w:r>
            <w:r>
              <w:rPr>
                <w:rFonts w:hint="default"/>
                <w:spacing w:val="-6"/>
              </w:rPr>
              <w:t xml:space="preserve"> </w:t>
            </w:r>
            <w:r>
              <w:rPr>
                <w:rFonts w:hint="default"/>
              </w:rPr>
              <w:t>por</w:t>
            </w:r>
            <w:r>
              <w:rPr>
                <w:rFonts w:hint="default"/>
                <w:spacing w:val="-4"/>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8"/>
              <w:rPr>
                <w:rFonts w:hint="default"/>
              </w:rPr>
            </w:pPr>
          </w:p>
        </w:tc>
      </w:tr>
    </w:tbl>
    <w:p>
      <w:pPr>
        <w:rPr>
          <w:sz w:val="20"/>
          <w:szCs w:val="24"/>
        </w:rPr>
      </w:pPr>
    </w:p>
    <w:p>
      <w:pPr>
        <w:ind w:firstLine="221" w:firstLineChars="100"/>
        <w:rPr>
          <w:sz w:val="20"/>
          <w:szCs w:val="24"/>
        </w:rPr>
      </w:pPr>
      <w:r>
        <w:rPr>
          <w:rFonts w:ascii="Arial"/>
          <w:b/>
          <w:sz w:val="22"/>
          <w:szCs w:val="24"/>
        </w:rPr>
        <w:t>2.3 Licenciamento</w:t>
      </w:r>
      <w:r>
        <w:rPr>
          <w:rFonts w:ascii="Arial"/>
          <w:b/>
          <w:spacing w:val="-3"/>
          <w:sz w:val="22"/>
          <w:szCs w:val="24"/>
        </w:rPr>
        <w:t xml:space="preserve"> </w:t>
      </w:r>
      <w:r>
        <w:rPr>
          <w:rFonts w:ascii="Arial"/>
          <w:b/>
          <w:sz w:val="22"/>
          <w:szCs w:val="24"/>
        </w:rPr>
        <w:t>e</w:t>
      </w:r>
      <w:r>
        <w:rPr>
          <w:rFonts w:ascii="Arial"/>
          <w:b/>
          <w:spacing w:val="-1"/>
          <w:sz w:val="22"/>
          <w:szCs w:val="24"/>
        </w:rPr>
        <w:t xml:space="preserve"> </w:t>
      </w:r>
      <w:r>
        <w:rPr>
          <w:rFonts w:ascii="Arial"/>
          <w:b/>
          <w:sz w:val="22"/>
          <w:szCs w:val="24"/>
        </w:rPr>
        <w:t>Seguro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Seguro</w:t>
            </w:r>
            <w:r>
              <w:rPr>
                <w:rFonts w:hint="default"/>
                <w:spacing w:val="-6"/>
              </w:rPr>
              <w:t xml:space="preserve"> </w:t>
            </w:r>
            <w:r>
              <w:rPr>
                <w:rFonts w:hint="default"/>
              </w:rPr>
              <w:t>Obrigatório</w:t>
            </w:r>
            <w:r>
              <w:rPr>
                <w:rFonts w:hint="default"/>
                <w:spacing w:val="-5"/>
              </w:rPr>
              <w:t xml:space="preserve"> </w:t>
            </w:r>
            <w:r>
              <w:rPr>
                <w:rFonts w:hint="default"/>
              </w:rPr>
              <w:t>+</w:t>
            </w:r>
            <w:r>
              <w:rPr>
                <w:rFonts w:hint="default"/>
                <w:spacing w:val="-4"/>
              </w:rPr>
              <w:t xml:space="preserve"> </w:t>
            </w:r>
            <w:r>
              <w:rPr>
                <w:rFonts w:hint="default"/>
              </w:rPr>
              <w:t>Licenciamento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IPVA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Seguro</w:t>
            </w:r>
            <w:r>
              <w:rPr>
                <w:rFonts w:hint="default"/>
                <w:spacing w:val="-4"/>
              </w:rPr>
              <w:t xml:space="preserve"> </w:t>
            </w:r>
            <w:r>
              <w:rPr>
                <w:rFonts w:hint="default"/>
              </w:rPr>
              <w:t>contra</w:t>
            </w:r>
            <w:r>
              <w:rPr>
                <w:rFonts w:hint="default"/>
                <w:spacing w:val="-4"/>
              </w:rPr>
              <w:t xml:space="preserve"> </w:t>
            </w:r>
            <w:r>
              <w:rPr>
                <w:rFonts w:hint="default"/>
              </w:rPr>
              <w:t>terceiros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Total</w:t>
            </w:r>
            <w:r>
              <w:rPr>
                <w:rFonts w:hint="default"/>
                <w:spacing w:val="-5"/>
              </w:rPr>
              <w:t xml:space="preserve"> </w:t>
            </w:r>
            <w:r>
              <w:rPr>
                <w:rFonts w:hint="default"/>
              </w:rPr>
              <w:t>de</w:t>
            </w:r>
            <w:r>
              <w:rPr>
                <w:rFonts w:hint="default"/>
                <w:spacing w:val="-1"/>
              </w:rPr>
              <w:t xml:space="preserve"> </w:t>
            </w:r>
            <w:r>
              <w:rPr>
                <w:rFonts w:hint="default"/>
              </w:rPr>
              <w:t>licenciamento</w:t>
            </w:r>
            <w:r>
              <w:rPr>
                <w:rFonts w:hint="default"/>
                <w:spacing w:val="-3"/>
              </w:rPr>
              <w:t xml:space="preserve"> </w:t>
            </w:r>
            <w:r>
              <w:rPr>
                <w:rFonts w:hint="default"/>
              </w:rPr>
              <w:t>e</w:t>
            </w:r>
            <w:r>
              <w:rPr>
                <w:rFonts w:hint="default"/>
                <w:spacing w:val="-3"/>
              </w:rPr>
              <w:t xml:space="preserve"> </w:t>
            </w:r>
            <w:r>
              <w:rPr>
                <w:rFonts w:hint="default"/>
              </w:rPr>
              <w:t>seguro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rPr>
          <w:sz w:val="20"/>
          <w:szCs w:val="24"/>
        </w:rPr>
      </w:pPr>
    </w:p>
    <w:p>
      <w:pPr>
        <w:rPr>
          <w:sz w:val="20"/>
          <w:szCs w:val="24"/>
        </w:rPr>
      </w:pPr>
      <w:r>
        <w:rPr>
          <w:rFonts w:ascii="Arial" w:hAnsi="Arial"/>
          <w:b/>
          <w:spacing w:val="-2"/>
          <w:sz w:val="22"/>
          <w:szCs w:val="24"/>
        </w:rPr>
        <w:t xml:space="preserve">    2.4 </w:t>
      </w:r>
      <w:r>
        <w:rPr>
          <w:rFonts w:ascii="Arial" w:hAnsi="Arial"/>
          <w:b/>
          <w:sz w:val="22"/>
          <w:szCs w:val="24"/>
        </w:rPr>
        <w:t>Remuneração</w:t>
      </w:r>
      <w:r>
        <w:rPr>
          <w:rFonts w:ascii="Arial" w:hAnsi="Arial"/>
          <w:b/>
          <w:spacing w:val="-3"/>
          <w:sz w:val="22"/>
          <w:szCs w:val="24"/>
        </w:rPr>
        <w:t xml:space="preserve"> </w:t>
      </w:r>
      <w:r>
        <w:rPr>
          <w:rFonts w:ascii="Arial" w:hAnsi="Arial"/>
          <w:b/>
          <w:sz w:val="22"/>
          <w:szCs w:val="24"/>
        </w:rPr>
        <w:t>do</w:t>
      </w:r>
      <w:r>
        <w:rPr>
          <w:rFonts w:ascii="Arial" w:hAnsi="Arial"/>
          <w:b/>
          <w:spacing w:val="-1"/>
          <w:sz w:val="22"/>
          <w:szCs w:val="24"/>
        </w:rPr>
        <w:t xml:space="preserve"> </w:t>
      </w:r>
      <w:r>
        <w:rPr>
          <w:rFonts w:ascii="Arial" w:hAnsi="Arial"/>
          <w:b/>
          <w:sz w:val="22"/>
          <w:szCs w:val="24"/>
        </w:rPr>
        <w:t>Capital</w:t>
      </w:r>
      <w:r>
        <w:rPr>
          <w:rFonts w:ascii="Arial" w:hAnsi="Arial"/>
          <w:b/>
          <w:spacing w:val="-4"/>
          <w:sz w:val="22"/>
          <w:szCs w:val="24"/>
        </w:rPr>
        <w:t xml:space="preserve"> </w:t>
      </w:r>
      <w:r>
        <w:rPr>
          <w:rFonts w:ascii="Arial" w:hAnsi="Arial"/>
          <w:b/>
          <w:sz w:val="22"/>
          <w:szCs w:val="24"/>
        </w:rPr>
        <w:t>Investido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Remuneração</w:t>
            </w:r>
            <w:r>
              <w:rPr>
                <w:rFonts w:hint="default"/>
                <w:spacing w:val="-5"/>
              </w:rPr>
              <w:t xml:space="preserve"> </w:t>
            </w:r>
            <w:r>
              <w:rPr>
                <w:rFonts w:hint="default"/>
              </w:rPr>
              <w:t>Mensal</w:t>
            </w:r>
            <w:r>
              <w:rPr>
                <w:rFonts w:hint="default"/>
                <w:spacing w:val="-2"/>
              </w:rPr>
              <w:t xml:space="preserve"> </w:t>
            </w:r>
            <w:r>
              <w:rPr>
                <w:rFonts w:hint="default"/>
              </w:rPr>
              <w:t>do</w:t>
            </w:r>
            <w:r>
              <w:rPr>
                <w:rFonts w:hint="default"/>
                <w:spacing w:val="-2"/>
              </w:rPr>
              <w:t xml:space="preserve"> </w:t>
            </w:r>
            <w:r>
              <w:rPr>
                <w:rFonts w:hint="default"/>
              </w:rPr>
              <w:t>Capital</w:t>
            </w:r>
            <w:r>
              <w:rPr>
                <w:rFonts w:hint="default"/>
                <w:spacing w:val="-5"/>
              </w:rPr>
              <w:t xml:space="preserve"> </w:t>
            </w:r>
            <w:r>
              <w:rPr>
                <w:rFonts w:hint="default"/>
              </w:rPr>
              <w:t>mensal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Remuneração</w:t>
            </w:r>
            <w:r>
              <w:rPr>
                <w:rFonts w:hint="default"/>
                <w:spacing w:val="-5"/>
              </w:rPr>
              <w:t xml:space="preserve"> </w:t>
            </w:r>
            <w:r>
              <w:rPr>
                <w:rFonts w:hint="default"/>
              </w:rPr>
              <w:t>Mensal</w:t>
            </w:r>
            <w:r>
              <w:rPr>
                <w:rFonts w:hint="default"/>
                <w:spacing w:val="-3"/>
              </w:rPr>
              <w:t xml:space="preserve"> </w:t>
            </w:r>
            <w:r>
              <w:rPr>
                <w:rFonts w:hint="default"/>
              </w:rPr>
              <w:t>do</w:t>
            </w:r>
            <w:r>
              <w:rPr>
                <w:rFonts w:hint="default"/>
                <w:spacing w:val="-2"/>
              </w:rPr>
              <w:t xml:space="preserve"> </w:t>
            </w:r>
            <w:r>
              <w:rPr>
                <w:rFonts w:hint="default"/>
              </w:rPr>
              <w:t>Capital</w:t>
            </w:r>
            <w:r>
              <w:rPr>
                <w:rFonts w:hint="default"/>
                <w:spacing w:val="-6"/>
              </w:rPr>
              <w:t xml:space="preserve"> </w:t>
            </w:r>
            <w:r>
              <w:rPr>
                <w:rFonts w:hint="default"/>
              </w:rPr>
              <w:t>por</w:t>
            </w:r>
            <w:r>
              <w:rPr>
                <w:rFonts w:hint="default"/>
                <w:spacing w:val="-3"/>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bl>
    <w:p>
      <w:pPr>
        <w:rPr>
          <w:sz w:val="20"/>
          <w:szCs w:val="24"/>
        </w:rPr>
      </w:pPr>
    </w:p>
    <w:p>
      <w:pPr>
        <w:rPr>
          <w:sz w:val="20"/>
          <w:szCs w:val="24"/>
        </w:rPr>
      </w:pPr>
    </w:p>
    <w:p>
      <w:pPr>
        <w:pStyle w:val="103"/>
        <w:tabs>
          <w:tab w:val="left" w:pos="580"/>
        </w:tabs>
        <w:ind w:left="220"/>
        <w:rPr>
          <w:rFonts w:ascii="Arial" w:hAnsi="Arial"/>
          <w:b/>
          <w:sz w:val="22"/>
          <w:szCs w:val="24"/>
        </w:rPr>
      </w:pPr>
      <w:r>
        <w:rPr>
          <w:rFonts w:ascii="Arial" w:hAnsi="Arial"/>
          <w:b/>
          <w:sz w:val="22"/>
          <w:szCs w:val="24"/>
        </w:rPr>
        <w:t>2.5</w:t>
      </w:r>
      <w:r>
        <w:rPr>
          <w:rFonts w:ascii="Arial" w:hAnsi="Arial"/>
          <w:b/>
          <w:spacing w:val="-3"/>
          <w:sz w:val="22"/>
          <w:szCs w:val="24"/>
        </w:rPr>
        <w:t xml:space="preserve"> </w:t>
      </w:r>
      <w:r>
        <w:rPr>
          <w:rFonts w:ascii="Arial" w:hAnsi="Arial"/>
          <w:b/>
          <w:sz w:val="22"/>
          <w:szCs w:val="24"/>
        </w:rPr>
        <w:t>Manutenção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Vida</w:t>
            </w:r>
            <w:r>
              <w:rPr>
                <w:rFonts w:hint="default"/>
                <w:spacing w:val="-2"/>
              </w:rPr>
              <w:t xml:space="preserve"> </w:t>
            </w:r>
            <w:r>
              <w:rPr>
                <w:rFonts w:hint="default"/>
              </w:rPr>
              <w:t>útil</w:t>
            </w:r>
            <w:r>
              <w:rPr>
                <w:rFonts w:hint="default"/>
                <w:spacing w:val="-5"/>
              </w:rPr>
              <w:t xml:space="preserve"> </w:t>
            </w:r>
            <w:r>
              <w:rPr>
                <w:rFonts w:hint="default"/>
              </w:rPr>
              <w:t>do</w:t>
            </w:r>
            <w:r>
              <w:rPr>
                <w:rFonts w:hint="default"/>
                <w:spacing w:val="-2"/>
              </w:rPr>
              <w:t xml:space="preserve"> </w:t>
            </w:r>
            <w:r>
              <w:rPr>
                <w:rFonts w:hint="default"/>
              </w:rPr>
              <w:t>caminhão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2" w:right="426"/>
              <w:rPr>
                <w:rFonts w:hint="default"/>
              </w:rPr>
            </w:pPr>
            <w:r>
              <w:rPr>
                <w:rFonts w:hint="default"/>
              </w:rPr>
              <w:t>anos</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r>
              <w:rPr>
                <w:rFonts w:hint="default"/>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Coeficiente</w:t>
            </w:r>
            <w:r>
              <w:rPr>
                <w:rFonts w:hint="default"/>
                <w:spacing w:val="-5"/>
              </w:rPr>
              <w:t xml:space="preserve"> </w:t>
            </w:r>
            <w:r>
              <w:rPr>
                <w:rFonts w:hint="default"/>
              </w:rPr>
              <w:t>de</w:t>
            </w:r>
            <w:r>
              <w:rPr>
                <w:rFonts w:hint="default"/>
                <w:spacing w:val="-4"/>
              </w:rPr>
              <w:t xml:space="preserve"> </w:t>
            </w:r>
            <w:r>
              <w:rPr>
                <w:rFonts w:hint="default"/>
              </w:rPr>
              <w:t>manutenção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0"/>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r>
              <w:rPr>
                <w:rFonts w:hint="default"/>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Custo</w:t>
            </w:r>
            <w:r>
              <w:rPr>
                <w:rFonts w:hint="default"/>
                <w:spacing w:val="-4"/>
              </w:rPr>
              <w:t xml:space="preserve"> </w:t>
            </w:r>
            <w:r>
              <w:rPr>
                <w:rFonts w:hint="default"/>
              </w:rPr>
              <w:t>de</w:t>
            </w:r>
            <w:r>
              <w:rPr>
                <w:rFonts w:hint="default"/>
                <w:spacing w:val="-4"/>
              </w:rPr>
              <w:t xml:space="preserve"> </w:t>
            </w:r>
            <w:r>
              <w:rPr>
                <w:rFonts w:hint="default"/>
              </w:rPr>
              <w:t>manutenção</w:t>
            </w:r>
            <w:r>
              <w:rPr>
                <w:rFonts w:hint="default"/>
                <w:spacing w:val="-3"/>
              </w:rPr>
              <w:t xml:space="preserve"> </w:t>
            </w:r>
            <w:r>
              <w:rPr>
                <w:rFonts w:hint="default"/>
              </w:rPr>
              <w:t>mensal</w:t>
            </w:r>
            <w:r>
              <w:rPr>
                <w:rFonts w:hint="default"/>
                <w:spacing w:val="-5"/>
              </w:rPr>
              <w:t xml:space="preserve"> </w:t>
            </w:r>
            <w:r>
              <w:rPr>
                <w:rFonts w:hint="default"/>
              </w:rPr>
              <w:t>por</w:t>
            </w:r>
            <w:r>
              <w:rPr>
                <w:rFonts w:hint="default"/>
                <w:spacing w:val="-2"/>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r>
              <w:rPr>
                <w:rFonts w:hint="default"/>
              </w:rPr>
              <w:t>9.236,11</w:t>
            </w:r>
          </w:p>
        </w:tc>
      </w:tr>
    </w:tbl>
    <w:p>
      <w:pPr>
        <w:rPr>
          <w:sz w:val="20"/>
          <w:szCs w:val="24"/>
        </w:rPr>
      </w:pPr>
    </w:p>
    <w:p>
      <w:pPr>
        <w:pStyle w:val="103"/>
        <w:tabs>
          <w:tab w:val="left" w:pos="580"/>
        </w:tabs>
        <w:ind w:left="220"/>
        <w:rPr>
          <w:rFonts w:ascii="Arial"/>
          <w:b/>
          <w:sz w:val="22"/>
          <w:szCs w:val="24"/>
        </w:rPr>
      </w:pPr>
      <w:r>
        <w:rPr>
          <w:rFonts w:ascii="Arial"/>
          <w:b/>
          <w:sz w:val="22"/>
          <w:szCs w:val="24"/>
        </w:rPr>
        <w:t xml:space="preserve">2.6 </w:t>
      </w:r>
      <w:r>
        <w:rPr>
          <w:rFonts w:ascii="Arial"/>
          <w:b/>
          <w:spacing w:val="-2"/>
          <w:sz w:val="22"/>
          <w:szCs w:val="24"/>
        </w:rPr>
        <w:t xml:space="preserve"> </w:t>
      </w:r>
      <w:r>
        <w:rPr>
          <w:rFonts w:ascii="Arial"/>
          <w:b/>
          <w:sz w:val="22"/>
          <w:szCs w:val="24"/>
        </w:rPr>
        <w:t>Pneu</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Número</w:t>
            </w:r>
            <w:r>
              <w:rPr>
                <w:rFonts w:hint="default"/>
                <w:spacing w:val="-4"/>
              </w:rPr>
              <w:t xml:space="preserve"> </w:t>
            </w:r>
            <w:r>
              <w:rPr>
                <w:rFonts w:hint="default"/>
              </w:rPr>
              <w:t>de</w:t>
            </w:r>
            <w:r>
              <w:rPr>
                <w:rFonts w:hint="default"/>
                <w:spacing w:val="-1"/>
              </w:rPr>
              <w:t xml:space="preserve"> </w:t>
            </w:r>
            <w:r>
              <w:rPr>
                <w:rFonts w:hint="default"/>
              </w:rPr>
              <w:t>pneus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Preço</w:t>
            </w:r>
            <w:r>
              <w:rPr>
                <w:rFonts w:hint="default"/>
                <w:spacing w:val="-3"/>
              </w:rPr>
              <w:t xml:space="preserve"> </w:t>
            </w:r>
            <w:r>
              <w:rPr>
                <w:rFonts w:hint="default"/>
              </w:rPr>
              <w:t>pneu</w:t>
            </w:r>
            <w:r>
              <w:rPr>
                <w:rFonts w:hint="default"/>
                <w:spacing w:val="-4"/>
              </w:rPr>
              <w:t xml:space="preserve"> </w:t>
            </w:r>
            <w:r>
              <w:rPr>
                <w:rFonts w:hint="default"/>
              </w:rPr>
              <w:t>novo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Preço</w:t>
            </w:r>
            <w:r>
              <w:rPr>
                <w:rFonts w:hint="default"/>
                <w:spacing w:val="-4"/>
              </w:rPr>
              <w:t xml:space="preserve"> </w:t>
            </w:r>
            <w:r>
              <w:rPr>
                <w:rFonts w:hint="default"/>
              </w:rPr>
              <w:t>recauchutagem</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Vida</w:t>
            </w:r>
            <w:r>
              <w:rPr>
                <w:rFonts w:hint="default"/>
                <w:spacing w:val="-2"/>
              </w:rPr>
              <w:t xml:space="preserve"> </w:t>
            </w:r>
            <w:r>
              <w:rPr>
                <w:rFonts w:hint="default"/>
              </w:rPr>
              <w:t>útil</w:t>
            </w:r>
            <w:r>
              <w:rPr>
                <w:rFonts w:hint="default"/>
                <w:spacing w:val="-4"/>
              </w:rPr>
              <w:t xml:space="preserve"> </w:t>
            </w:r>
            <w:r>
              <w:rPr>
                <w:rFonts w:hint="default"/>
              </w:rPr>
              <w:t>do</w:t>
            </w:r>
            <w:r>
              <w:rPr>
                <w:rFonts w:hint="default"/>
                <w:spacing w:val="-2"/>
              </w:rPr>
              <w:t xml:space="preserve"> </w:t>
            </w:r>
            <w:r>
              <w:rPr>
                <w:rFonts w:hint="default"/>
              </w:rPr>
              <w:t>pneu</w:t>
            </w:r>
            <w:r>
              <w:rPr>
                <w:rFonts w:hint="default"/>
                <w:spacing w:val="-3"/>
              </w:rPr>
              <w:t xml:space="preserve"> </w:t>
            </w:r>
            <w:r>
              <w:rPr>
                <w:rFonts w:hint="default"/>
              </w:rPr>
              <w:t>novo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Vida</w:t>
            </w:r>
            <w:r>
              <w:rPr>
                <w:rFonts w:hint="default"/>
                <w:spacing w:val="-2"/>
              </w:rPr>
              <w:t xml:space="preserve"> </w:t>
            </w:r>
            <w:r>
              <w:rPr>
                <w:rFonts w:hint="default"/>
              </w:rPr>
              <w:t>útil</w:t>
            </w:r>
            <w:r>
              <w:rPr>
                <w:rFonts w:hint="default"/>
                <w:spacing w:val="-4"/>
              </w:rPr>
              <w:t xml:space="preserve"> </w:t>
            </w:r>
            <w:r>
              <w:rPr>
                <w:rFonts w:hint="default"/>
              </w:rPr>
              <w:t>do</w:t>
            </w:r>
            <w:r>
              <w:rPr>
                <w:rFonts w:hint="default"/>
                <w:spacing w:val="-2"/>
              </w:rPr>
              <w:t xml:space="preserve"> </w:t>
            </w:r>
            <w:r>
              <w:rPr>
                <w:rFonts w:hint="default"/>
              </w:rPr>
              <w:t>pneu</w:t>
            </w:r>
            <w:r>
              <w:rPr>
                <w:rFonts w:hint="default"/>
                <w:spacing w:val="-3"/>
              </w:rPr>
              <w:t xml:space="preserve"> </w:t>
            </w:r>
            <w:r>
              <w:rPr>
                <w:rFonts w:hint="default"/>
              </w:rPr>
              <w:t>com</w:t>
            </w:r>
            <w:r>
              <w:rPr>
                <w:rFonts w:hint="default"/>
                <w:spacing w:val="-2"/>
              </w:rPr>
              <w:t xml:space="preserve"> </w:t>
            </w:r>
            <w:r>
              <w:rPr>
                <w:rFonts w:hint="default"/>
              </w:rPr>
              <w:t>recauchutagem</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948" w:type="pct"/>
            <w:tcBorders>
              <w:top w:val="nil"/>
              <w:left w:val="single" w:color="000000" w:sz="4" w:space="0"/>
              <w:bottom w:val="single" w:color="000000" w:sz="4" w:space="0"/>
              <w:right w:val="single" w:color="000000" w:sz="4" w:space="0"/>
              <w:tl2br w:val="nil"/>
              <w:tr2bl w:val="nil"/>
            </w:tcBorders>
          </w:tcPr>
          <w:p>
            <w:pPr>
              <w:pStyle w:val="193"/>
              <w:rPr>
                <w:rFonts w:hint="default"/>
              </w:rPr>
            </w:pPr>
            <w:r>
              <w:rPr>
                <w:rFonts w:hint="default"/>
              </w:rPr>
              <w:t>Preço</w:t>
            </w:r>
            <w:r>
              <w:rPr>
                <w:rFonts w:hint="default"/>
                <w:spacing w:val="56"/>
              </w:rPr>
              <w:t xml:space="preserve"> </w:t>
            </w:r>
            <w:r>
              <w:rPr>
                <w:rFonts w:hint="default"/>
              </w:rPr>
              <w:t>dos</w:t>
            </w:r>
            <w:r>
              <w:rPr>
                <w:rFonts w:hint="default"/>
                <w:spacing w:val="56"/>
              </w:rPr>
              <w:t xml:space="preserve"> </w:t>
            </w:r>
            <w:r>
              <w:rPr>
                <w:rFonts w:hint="default"/>
              </w:rPr>
              <w:t>pneus</w:t>
            </w:r>
            <w:r>
              <w:rPr>
                <w:rFonts w:hint="default"/>
                <w:spacing w:val="56"/>
              </w:rPr>
              <w:t xml:space="preserve"> </w:t>
            </w:r>
            <w:r>
              <w:rPr>
                <w:rFonts w:hint="default"/>
              </w:rPr>
              <w:t>e</w:t>
            </w:r>
            <w:r>
              <w:rPr>
                <w:rFonts w:hint="default"/>
                <w:spacing w:val="56"/>
              </w:rPr>
              <w:t xml:space="preserve"> </w:t>
            </w:r>
            <w:r>
              <w:rPr>
                <w:rFonts w:hint="default"/>
              </w:rPr>
              <w:t>recauchutagem</w:t>
            </w:r>
            <w:r>
              <w:rPr>
                <w:rFonts w:hint="default"/>
                <w:spacing w:val="55"/>
              </w:rPr>
              <w:t xml:space="preserve"> </w:t>
            </w:r>
            <w:r>
              <w:rPr>
                <w:rFonts w:hint="default"/>
              </w:rPr>
              <w:t>por</w:t>
            </w:r>
            <w:r>
              <w:rPr>
                <w:rFonts w:hint="default"/>
                <w:spacing w:val="57"/>
              </w:rPr>
              <w:t xml:space="preserve"> </w:t>
            </w:r>
            <w:r>
              <w:rPr>
                <w:rFonts w:hint="default"/>
              </w:rPr>
              <w:t>km</w:t>
            </w:r>
            <w:r>
              <w:rPr>
                <w:rFonts w:hint="default"/>
                <w:spacing w:val="-59"/>
              </w:rPr>
              <w:t xml:space="preserve"> </w:t>
            </w:r>
            <w:r>
              <w:rPr>
                <w:rFonts w:hint="default"/>
              </w:rPr>
              <w:t>rodado</w:t>
            </w:r>
          </w:p>
        </w:tc>
        <w:tc>
          <w:tcPr>
            <w:tcW w:w="1050" w:type="pct"/>
            <w:tcBorders>
              <w:top w:val="nil"/>
              <w:left w:val="single" w:color="000000" w:sz="4" w:space="0"/>
              <w:bottom w:val="single" w:color="000000" w:sz="4" w:space="0"/>
              <w:right w:val="single" w:color="000000" w:sz="4" w:space="0"/>
              <w:tl2br w:val="nil"/>
              <w:tr2bl w:val="nil"/>
            </w:tcBorders>
          </w:tcPr>
          <w:p>
            <w:pPr>
              <w:pStyle w:val="193"/>
              <w:spacing w:before="136"/>
              <w:ind w:left="435" w:right="422"/>
              <w:rPr>
                <w:rFonts w:hint="default"/>
              </w:rPr>
            </w:pPr>
            <w:r>
              <w:rPr>
                <w:rFonts w:hint="default"/>
              </w:rPr>
              <w:t>R$/km</w:t>
            </w:r>
          </w:p>
        </w:tc>
        <w:tc>
          <w:tcPr>
            <w:tcW w:w="1002" w:type="pct"/>
            <w:tcBorders>
              <w:top w:val="nil"/>
              <w:left w:val="single" w:color="000000" w:sz="4" w:space="0"/>
              <w:bottom w:val="single" w:color="000000" w:sz="4" w:space="0"/>
              <w:right w:val="single" w:color="000000" w:sz="4" w:space="0"/>
              <w:tl2br w:val="nil"/>
              <w:tr2bl w:val="nil"/>
            </w:tcBorders>
          </w:tcPr>
          <w:p>
            <w:pPr>
              <w:pStyle w:val="193"/>
              <w:spacing w:before="136"/>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rPr>
                <w:rFonts w:hint="default"/>
              </w:rPr>
            </w:pPr>
            <w:r>
              <w:rPr>
                <w:rFonts w:hint="default"/>
              </w:rPr>
              <w:t>Custo</w:t>
            </w:r>
            <w:r>
              <w:rPr>
                <w:rFonts w:hint="default"/>
                <w:spacing w:val="3"/>
              </w:rPr>
              <w:t xml:space="preserve"> </w:t>
            </w:r>
            <w:r>
              <w:rPr>
                <w:rFonts w:hint="default"/>
              </w:rPr>
              <w:t>de</w:t>
            </w:r>
            <w:r>
              <w:rPr>
                <w:rFonts w:hint="default"/>
                <w:spacing w:val="5"/>
              </w:rPr>
              <w:t xml:space="preserve"> </w:t>
            </w:r>
            <w:r>
              <w:rPr>
                <w:rFonts w:hint="default"/>
              </w:rPr>
              <w:t>pneus</w:t>
            </w:r>
            <w:r>
              <w:rPr>
                <w:rFonts w:hint="default"/>
                <w:spacing w:val="6"/>
              </w:rPr>
              <w:t xml:space="preserve"> </w:t>
            </w:r>
            <w:r>
              <w:rPr>
                <w:rFonts w:hint="default"/>
              </w:rPr>
              <w:t>e</w:t>
            </w:r>
            <w:r>
              <w:rPr>
                <w:rFonts w:hint="default"/>
                <w:spacing w:val="3"/>
              </w:rPr>
              <w:t xml:space="preserve"> </w:t>
            </w:r>
            <w:r>
              <w:rPr>
                <w:rFonts w:hint="default"/>
              </w:rPr>
              <w:t>recauchutagem</w:t>
            </w:r>
            <w:r>
              <w:rPr>
                <w:rFonts w:hint="default"/>
                <w:spacing w:val="4"/>
              </w:rPr>
              <w:t xml:space="preserve"> </w:t>
            </w:r>
            <w:r>
              <w:rPr>
                <w:rFonts w:hint="default"/>
              </w:rPr>
              <w:t>mensal</w:t>
            </w:r>
            <w:r>
              <w:rPr>
                <w:rFonts w:hint="default"/>
                <w:spacing w:val="2"/>
              </w:rPr>
              <w:t xml:space="preserve"> </w:t>
            </w:r>
            <w:r>
              <w:rPr>
                <w:rFonts w:hint="default"/>
              </w:rPr>
              <w:t>por</w:t>
            </w:r>
            <w:r>
              <w:rPr>
                <w:rFonts w:hint="default"/>
                <w:spacing w:val="-59"/>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4"/>
              <w:ind w:left="277" w:right="265"/>
              <w:rPr>
                <w:rFonts w:hint="default"/>
              </w:rPr>
            </w:pPr>
          </w:p>
        </w:tc>
      </w:tr>
    </w:tbl>
    <w:p>
      <w:pPr>
        <w:rPr>
          <w:sz w:val="20"/>
          <w:szCs w:val="24"/>
        </w:rPr>
      </w:pPr>
    </w:p>
    <w:p>
      <w:pPr>
        <w:pStyle w:val="103"/>
        <w:tabs>
          <w:tab w:val="left" w:pos="580"/>
        </w:tabs>
        <w:spacing w:before="94" w:after="8"/>
        <w:ind w:left="220"/>
        <w:rPr>
          <w:rFonts w:ascii="Arial"/>
          <w:b/>
          <w:sz w:val="22"/>
          <w:szCs w:val="24"/>
        </w:rPr>
      </w:pPr>
      <w:r>
        <w:rPr>
          <w:rFonts w:ascii="Arial"/>
          <w:b/>
          <w:sz w:val="22"/>
          <w:szCs w:val="24"/>
        </w:rPr>
        <w:t>2.7</w:t>
      </w:r>
      <w:r>
        <w:rPr>
          <w:rFonts w:ascii="Arial"/>
          <w:b/>
          <w:spacing w:val="-2"/>
          <w:sz w:val="22"/>
          <w:szCs w:val="24"/>
        </w:rPr>
        <w:t xml:space="preserve"> </w:t>
      </w:r>
      <w:r>
        <w:rPr>
          <w:rFonts w:ascii="Arial"/>
          <w:b/>
          <w:sz w:val="22"/>
          <w:szCs w:val="24"/>
        </w:rPr>
        <w:t>Consumos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443"/>
              <w:jc w:val="right"/>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Custo</w:t>
            </w:r>
            <w:r>
              <w:rPr>
                <w:rFonts w:hint="default"/>
                <w:spacing w:val="-4"/>
              </w:rPr>
              <w:t xml:space="preserve"> </w:t>
            </w:r>
            <w:r>
              <w:rPr>
                <w:rFonts w:hint="default"/>
              </w:rPr>
              <w:t>óleo</w:t>
            </w:r>
            <w:r>
              <w:rPr>
                <w:rFonts w:hint="default"/>
                <w:spacing w:val="-4"/>
              </w:rPr>
              <w:t xml:space="preserve"> </w:t>
            </w:r>
            <w:r>
              <w:rPr>
                <w:rFonts w:hint="default"/>
              </w:rPr>
              <w:t>diesel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rPr>
                <w:rFonts w:hint="default"/>
              </w:rPr>
            </w:pPr>
            <w:r>
              <w:rPr>
                <w:rFonts w:hint="default"/>
              </w:rPr>
              <w:t>Consumo</w:t>
            </w:r>
            <w:r>
              <w:rPr>
                <w:rFonts w:hint="default"/>
                <w:spacing w:val="-3"/>
              </w:rPr>
              <w:t xml:space="preserve"> </w:t>
            </w:r>
            <w:r>
              <w:rPr>
                <w:rFonts w:hint="default"/>
              </w:rPr>
              <w:t>por</w:t>
            </w:r>
            <w:r>
              <w:rPr>
                <w:rFonts w:hint="default"/>
                <w:spacing w:val="-4"/>
              </w:rPr>
              <w:t xml:space="preserve"> </w:t>
            </w:r>
            <w:r>
              <w:rPr>
                <w:rFonts w:hint="default"/>
              </w:rPr>
              <w:t>km</w:t>
            </w:r>
            <w:r>
              <w:rPr>
                <w:rFonts w:hint="default"/>
                <w:spacing w:val="-1"/>
              </w:rPr>
              <w:t xml:space="preserve"> </w:t>
            </w:r>
            <w:r>
              <w:rPr>
                <w:rFonts w:hint="default"/>
              </w:rPr>
              <w:t>rodado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right="503"/>
              <w:jc w:val="right"/>
              <w:rPr>
                <w:rFonts w:hint="default"/>
              </w:rPr>
            </w:pPr>
            <w:r>
              <w:rPr>
                <w:rFonts w:hint="default"/>
              </w:rPr>
              <w:t>Km/litro</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Consumo</w:t>
            </w:r>
            <w:r>
              <w:rPr>
                <w:rFonts w:hint="default"/>
                <w:spacing w:val="-5"/>
              </w:rPr>
              <w:t xml:space="preserve"> </w:t>
            </w:r>
            <w:r>
              <w:rPr>
                <w:rFonts w:hint="default"/>
              </w:rPr>
              <w:t>médio</w:t>
            </w:r>
            <w:r>
              <w:rPr>
                <w:rFonts w:hint="default"/>
                <w:spacing w:val="-2"/>
              </w:rPr>
              <w:t xml:space="preserve"> </w:t>
            </w:r>
            <w:r>
              <w:rPr>
                <w:rFonts w:hint="default"/>
              </w:rPr>
              <w:t>mensal</w:t>
            </w:r>
            <w:r>
              <w:rPr>
                <w:rFonts w:hint="default"/>
                <w:spacing w:val="-2"/>
              </w:rPr>
              <w:t xml:space="preserve"> </w:t>
            </w:r>
            <w:r>
              <w:rPr>
                <w:rFonts w:hint="default"/>
              </w:rPr>
              <w:t>por</w:t>
            </w:r>
            <w:r>
              <w:rPr>
                <w:rFonts w:hint="default"/>
                <w:spacing w:val="-4"/>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4"/>
              <w:rPr>
                <w:rFonts w:hint="default"/>
              </w:rPr>
            </w:pPr>
            <w:r>
              <w:rPr>
                <w:rFonts w:hint="default"/>
              </w:rPr>
              <w:t>Litros</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Custo</w:t>
            </w:r>
            <w:r>
              <w:rPr>
                <w:rFonts w:hint="default"/>
                <w:spacing w:val="-3"/>
              </w:rPr>
              <w:t xml:space="preserve"> </w:t>
            </w:r>
            <w:r>
              <w:rPr>
                <w:rFonts w:hint="default"/>
              </w:rPr>
              <w:t>com</w:t>
            </w:r>
            <w:r>
              <w:rPr>
                <w:rFonts w:hint="default"/>
                <w:spacing w:val="-4"/>
              </w:rPr>
              <w:t xml:space="preserve"> </w:t>
            </w:r>
            <w:r>
              <w:rPr>
                <w:rFonts w:hint="default"/>
              </w:rPr>
              <w:t>diesel</w:t>
            </w:r>
            <w:r>
              <w:rPr>
                <w:rFonts w:hint="default"/>
                <w:spacing w:val="-1"/>
              </w:rPr>
              <w:t xml:space="preserve"> </w:t>
            </w:r>
            <w:r>
              <w:rPr>
                <w:rFonts w:hint="default"/>
              </w:rPr>
              <w:t>por</w:t>
            </w:r>
            <w:r>
              <w:rPr>
                <w:rFonts w:hint="default"/>
                <w:spacing w:val="-2"/>
              </w:rPr>
              <w:t xml:space="preserve"> </w:t>
            </w:r>
            <w:r>
              <w:rPr>
                <w:rFonts w:hint="default"/>
              </w:rPr>
              <w:t>veículo</w:t>
            </w:r>
            <w:r>
              <w:rPr>
                <w:rFonts w:hint="default"/>
                <w:spacing w:val="-3"/>
              </w:rPr>
              <w:t xml:space="preserve"> </w:t>
            </w:r>
            <w:r>
              <w:rPr>
                <w:rFonts w:hint="default"/>
              </w:rPr>
              <w:t>por</w:t>
            </w:r>
            <w:r>
              <w:rPr>
                <w:rFonts w:hint="default"/>
                <w:spacing w:val="-1"/>
              </w:rPr>
              <w:t xml:space="preserve"> </w:t>
            </w:r>
            <w:r>
              <w:rPr>
                <w:rFonts w:hint="default"/>
              </w:rPr>
              <w:t>mês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rPr>
          <w:sz w:val="20"/>
          <w:szCs w:val="24"/>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2"/>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58"/>
              <w:jc w:val="right"/>
              <w:rPr>
                <w:rFonts w:hint="default"/>
                <w:b/>
              </w:rPr>
            </w:pPr>
            <w:r>
              <w:rPr>
                <w:rFonts w:hint="default"/>
                <w:b/>
              </w:rPr>
              <w:t>Valor</w:t>
            </w:r>
            <w:r>
              <w:rPr>
                <w:rFonts w:hint="default"/>
                <w:b/>
                <w:spacing w:val="-5"/>
              </w:rPr>
              <w:t xml:space="preserve"> </w:t>
            </w:r>
            <w:r>
              <w:rPr>
                <w:rFonts w:hint="default"/>
                <w:b/>
              </w:rPr>
              <w:t>total</w:t>
            </w:r>
            <w:r>
              <w:rPr>
                <w:rFonts w:hint="default"/>
                <w:b/>
                <w:spacing w:val="-3"/>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359"/>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58"/>
              <w:jc w:val="right"/>
              <w:rPr>
                <w:rFonts w:hint="default"/>
                <w:b/>
              </w:rPr>
            </w:pPr>
            <w:r>
              <w:rPr>
                <w:rFonts w:hint="default"/>
                <w:b/>
              </w:rPr>
              <w:t>BDI</w:t>
            </w:r>
            <w:r>
              <w:rPr>
                <w:rFonts w:hint="default"/>
                <w:b/>
                <w:spacing w:val="-3"/>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359"/>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right="58"/>
              <w:jc w:val="right"/>
              <w:rPr>
                <w:rFonts w:hint="default"/>
                <w:b/>
              </w:rPr>
            </w:pPr>
            <w:r>
              <w:rPr>
                <w:rFonts w:hint="default"/>
                <w:b/>
              </w:rPr>
              <w:t>Valor</w:t>
            </w:r>
            <w:r>
              <w:rPr>
                <w:rFonts w:hint="default"/>
                <w:b/>
                <w:spacing w:val="-3"/>
              </w:rPr>
              <w:t xml:space="preserve"> </w:t>
            </w:r>
            <w:r>
              <w:rPr>
                <w:rFonts w:hint="default"/>
                <w:b/>
              </w:rPr>
              <w:t>total</w:t>
            </w:r>
            <w:r>
              <w:rPr>
                <w:rFonts w:hint="default"/>
                <w:b/>
                <w:spacing w:val="-4"/>
              </w:rPr>
              <w:t xml:space="preserve"> </w:t>
            </w:r>
            <w:r>
              <w:rPr>
                <w:rFonts w:hint="default"/>
                <w:b/>
              </w:rPr>
              <w:t>mensal</w:t>
            </w:r>
            <w:r>
              <w:rPr>
                <w:rFonts w:hint="default"/>
                <w:b/>
                <w:spacing w:val="-2"/>
              </w:rPr>
              <w:t xml:space="preserve"> </w:t>
            </w:r>
            <w:r>
              <w:rPr>
                <w:rFonts w:hint="default"/>
                <w:b/>
              </w:rPr>
              <w:t>c/</w:t>
            </w:r>
            <w:r>
              <w:rPr>
                <w:rFonts w:hint="default"/>
                <w:b/>
                <w:spacing w:val="-2"/>
              </w:rPr>
              <w:t xml:space="preserve"> </w:t>
            </w:r>
            <w:r>
              <w:rPr>
                <w:rFonts w:hint="default"/>
                <w:b/>
              </w:rPr>
              <w:t>BDI</w:t>
            </w:r>
            <w:r>
              <w:rPr>
                <w:rFonts w:hint="default"/>
                <w:b/>
                <w:spacing w:val="-2"/>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359"/>
              <w:rPr>
                <w:rFonts w:hint="default"/>
                <w:b/>
              </w:rPr>
            </w:pPr>
          </w:p>
        </w:tc>
      </w:tr>
    </w:tbl>
    <w:p>
      <w:pPr>
        <w:rPr>
          <w:sz w:val="20"/>
          <w:szCs w:val="24"/>
        </w:rPr>
      </w:pPr>
    </w:p>
    <w:p>
      <w:pPr>
        <w:spacing w:before="94"/>
        <w:ind w:left="212"/>
        <w:rPr>
          <w:rFonts w:ascii="Arial" w:hAnsi="Arial"/>
          <w:b/>
          <w:sz w:val="22"/>
          <w:szCs w:val="24"/>
        </w:rPr>
      </w:pPr>
      <w:r>
        <w:rPr>
          <w:rFonts w:ascii="Arial" w:hAnsi="Arial"/>
          <w:b/>
          <w:sz w:val="22"/>
          <w:szCs w:val="24"/>
        </w:rPr>
        <w:t>2</w:t>
      </w:r>
      <w:r>
        <w:rPr>
          <w:rFonts w:ascii="Arial" w:hAnsi="Arial"/>
          <w:b/>
          <w:spacing w:val="-4"/>
          <w:sz w:val="22"/>
          <w:szCs w:val="24"/>
        </w:rPr>
        <w:t xml:space="preserve"> </w:t>
      </w:r>
      <w:r>
        <w:rPr>
          <w:rFonts w:ascii="Arial" w:hAnsi="Arial"/>
          <w:b/>
          <w:sz w:val="22"/>
          <w:szCs w:val="24"/>
        </w:rPr>
        <w:t>-</w:t>
      </w:r>
      <w:r>
        <w:rPr>
          <w:rFonts w:ascii="Arial" w:hAnsi="Arial"/>
          <w:b/>
          <w:spacing w:val="-2"/>
          <w:sz w:val="22"/>
          <w:szCs w:val="24"/>
        </w:rPr>
        <w:t xml:space="preserve"> </w:t>
      </w:r>
      <w:r>
        <w:rPr>
          <w:rFonts w:ascii="Arial" w:hAnsi="Arial"/>
          <w:b/>
          <w:sz w:val="22"/>
          <w:szCs w:val="24"/>
        </w:rPr>
        <w:t>VEÍCULOS</w:t>
      </w:r>
      <w:r>
        <w:rPr>
          <w:rFonts w:ascii="Arial" w:hAnsi="Arial"/>
          <w:b/>
          <w:spacing w:val="-4"/>
          <w:sz w:val="22"/>
          <w:szCs w:val="24"/>
        </w:rPr>
        <w:t xml:space="preserve"> </w:t>
      </w:r>
      <w:r>
        <w:rPr>
          <w:rFonts w:ascii="Arial" w:hAnsi="Arial"/>
          <w:b/>
          <w:sz w:val="22"/>
          <w:szCs w:val="24"/>
        </w:rPr>
        <w:t>E</w:t>
      </w:r>
      <w:r>
        <w:rPr>
          <w:rFonts w:ascii="Arial" w:hAnsi="Arial"/>
          <w:b/>
          <w:spacing w:val="-1"/>
          <w:sz w:val="22"/>
          <w:szCs w:val="24"/>
        </w:rPr>
        <w:t xml:space="preserve"> </w:t>
      </w:r>
      <w:r>
        <w:rPr>
          <w:rFonts w:ascii="Arial" w:hAnsi="Arial"/>
          <w:b/>
          <w:sz w:val="22"/>
          <w:szCs w:val="24"/>
        </w:rPr>
        <w:t>EQUIPAMENTOS</w:t>
      </w:r>
    </w:p>
    <w:p>
      <w:pPr>
        <w:pStyle w:val="21"/>
        <w:spacing w:before="11"/>
        <w:rPr>
          <w:rFonts w:ascii="Arial"/>
          <w:b/>
          <w:sz w:val="23"/>
          <w:szCs w:val="24"/>
        </w:rPr>
      </w:pPr>
    </w:p>
    <w:p>
      <w:pPr>
        <w:pStyle w:val="103"/>
        <w:numPr>
          <w:ilvl w:val="0"/>
          <w:numId w:val="16"/>
        </w:numPr>
        <w:tabs>
          <w:tab w:val="left" w:pos="458"/>
        </w:tabs>
        <w:ind w:hanging="246"/>
        <w:rPr>
          <w:rFonts w:ascii="Arial" w:hAnsi="Arial"/>
          <w:b/>
          <w:sz w:val="22"/>
          <w:szCs w:val="24"/>
        </w:rPr>
      </w:pPr>
      <w:r>
        <w:rPr>
          <w:rFonts w:ascii="Arial" w:hAnsi="Arial"/>
          <w:b/>
          <w:sz w:val="22"/>
          <w:szCs w:val="24"/>
        </w:rPr>
        <w:t>Caminhão</w:t>
      </w:r>
      <w:r>
        <w:rPr>
          <w:rFonts w:ascii="Arial" w:hAnsi="Arial"/>
          <w:b/>
          <w:spacing w:val="-6"/>
          <w:sz w:val="22"/>
          <w:szCs w:val="24"/>
        </w:rPr>
        <w:t xml:space="preserve"> </w:t>
      </w:r>
      <w:r>
        <w:rPr>
          <w:rFonts w:ascii="Arial" w:hAnsi="Arial"/>
          <w:b/>
          <w:sz w:val="22"/>
          <w:szCs w:val="24"/>
        </w:rPr>
        <w:t>Poliguindaste</w:t>
      </w:r>
    </w:p>
    <w:p>
      <w:pPr>
        <w:pStyle w:val="21"/>
        <w:spacing w:before="10"/>
        <w:rPr>
          <w:rFonts w:ascii="Arial"/>
          <w:b/>
          <w:sz w:val="23"/>
          <w:szCs w:val="24"/>
        </w:rPr>
      </w:pPr>
    </w:p>
    <w:p>
      <w:pPr>
        <w:pStyle w:val="103"/>
        <w:numPr>
          <w:ilvl w:val="1"/>
          <w:numId w:val="16"/>
        </w:numPr>
        <w:tabs>
          <w:tab w:val="left" w:pos="580"/>
        </w:tabs>
        <w:ind w:left="588"/>
        <w:rPr>
          <w:rFonts w:ascii="Arial"/>
          <w:b/>
          <w:sz w:val="22"/>
          <w:szCs w:val="24"/>
        </w:rPr>
      </w:pPr>
      <w:r>
        <w:rPr>
          <w:rFonts w:ascii="Arial"/>
          <w:b/>
          <w:sz w:val="22"/>
          <w:szCs w:val="24"/>
        </w:rPr>
        <w:t>-</w:t>
      </w:r>
      <w:r>
        <w:rPr>
          <w:rFonts w:ascii="Arial"/>
          <w:b/>
          <w:spacing w:val="-2"/>
          <w:sz w:val="22"/>
          <w:szCs w:val="24"/>
        </w:rPr>
        <w:t xml:space="preserve"> </w:t>
      </w:r>
      <w:r>
        <w:rPr>
          <w:rFonts w:ascii="Arial"/>
          <w:b/>
          <w:sz w:val="22"/>
          <w:szCs w:val="24"/>
        </w:rPr>
        <w:t>Dados</w:t>
      </w:r>
      <w:r>
        <w:rPr>
          <w:rFonts w:ascii="Arial"/>
          <w:b/>
          <w:spacing w:val="-2"/>
          <w:sz w:val="22"/>
          <w:szCs w:val="24"/>
        </w:rPr>
        <w:t xml:space="preserve"> </w:t>
      </w:r>
      <w:r>
        <w:rPr>
          <w:rFonts w:ascii="Arial"/>
          <w:b/>
          <w:sz w:val="22"/>
          <w:szCs w:val="24"/>
        </w:rPr>
        <w:t>gerais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443"/>
              <w:jc w:val="right"/>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semana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ano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3"/>
              </w:rPr>
              <w:t xml:space="preserve"> </w:t>
            </w:r>
            <w:r>
              <w:rPr>
                <w:rFonts w:hint="default"/>
              </w:rPr>
              <w:t>mês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tabs>
                <w:tab w:val="left" w:pos="943"/>
                <w:tab w:val="left" w:pos="1487"/>
                <w:tab w:val="left" w:pos="2716"/>
                <w:tab w:val="left" w:pos="3259"/>
                <w:tab w:val="left" w:pos="4514"/>
              </w:tabs>
              <w:spacing w:before="4"/>
              <w:ind w:right="56"/>
              <w:rPr>
                <w:rFonts w:hint="default"/>
              </w:rPr>
            </w:pPr>
            <w:r>
              <w:rPr>
                <w:rFonts w:hint="default"/>
              </w:rPr>
              <w:t xml:space="preserve">Custo de aquisição de caminhão </w:t>
            </w:r>
            <w:r>
              <w:rPr>
                <w:rFonts w:hint="default"/>
                <w:spacing w:val="-1"/>
              </w:rPr>
              <w:t>com</w:t>
            </w:r>
            <w:r>
              <w:rPr>
                <w:rFonts w:hint="default"/>
                <w:spacing w:val="-59"/>
              </w:rPr>
              <w:t xml:space="preserve"> </w:t>
            </w:r>
            <w:r>
              <w:rPr>
                <w:rFonts w:hint="default"/>
              </w:rPr>
              <w:t>implemento</w:t>
            </w:r>
            <w:r>
              <w:rPr>
                <w:rFonts w:hint="default"/>
                <w:spacing w:val="-3"/>
              </w:rPr>
              <w:t xml:space="preserve"> </w:t>
            </w:r>
            <w:r>
              <w:rPr>
                <w:rFonts w:hint="default"/>
              </w:rPr>
              <w:t>poliguindaste</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277" w:right="27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Quantidade</w:t>
            </w:r>
            <w:r>
              <w:rPr>
                <w:rFonts w:hint="default"/>
                <w:spacing w:val="-5"/>
              </w:rPr>
              <w:t xml:space="preserve"> </w:t>
            </w:r>
            <w:r>
              <w:rPr>
                <w:rFonts w:hint="default"/>
              </w:rPr>
              <w:t>de</w:t>
            </w:r>
            <w:r>
              <w:rPr>
                <w:rFonts w:hint="default"/>
                <w:spacing w:val="-3"/>
              </w:rPr>
              <w:t xml:space="preserve"> </w:t>
            </w:r>
            <w:r>
              <w:rPr>
                <w:rFonts w:hint="default"/>
              </w:rPr>
              <w:t>veículos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486"/>
              <w:jc w:val="right"/>
              <w:rPr>
                <w:rFonts w:hint="default"/>
              </w:rPr>
            </w:pPr>
            <w:r>
              <w:rPr>
                <w:rFonts w:hint="default"/>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bl>
    <w:p>
      <w:pPr>
        <w:rPr>
          <w:sz w:val="20"/>
          <w:szCs w:val="24"/>
        </w:rPr>
      </w:pPr>
    </w:p>
    <w:p>
      <w:pPr>
        <w:rPr>
          <w:sz w:val="20"/>
          <w:szCs w:val="24"/>
        </w:rPr>
      </w:pPr>
    </w:p>
    <w:p>
      <w:pPr>
        <w:pStyle w:val="103"/>
        <w:numPr>
          <w:ilvl w:val="1"/>
          <w:numId w:val="16"/>
        </w:numPr>
        <w:tabs>
          <w:tab w:val="left" w:pos="580"/>
        </w:tabs>
        <w:spacing w:after="6"/>
        <w:ind w:left="588"/>
        <w:rPr>
          <w:rFonts w:ascii="Arial" w:hAnsi="Arial"/>
          <w:b/>
          <w:sz w:val="22"/>
          <w:szCs w:val="24"/>
        </w:rPr>
      </w:pPr>
      <w:r>
        <w:rPr>
          <w:rFonts w:ascii="Arial" w:hAnsi="Arial"/>
          <w:b/>
          <w:sz w:val="22"/>
          <w:szCs w:val="24"/>
        </w:rPr>
        <w:t>-</w:t>
      </w:r>
      <w:r>
        <w:rPr>
          <w:rFonts w:ascii="Arial" w:hAnsi="Arial"/>
          <w:b/>
          <w:spacing w:val="-3"/>
          <w:sz w:val="22"/>
          <w:szCs w:val="24"/>
        </w:rPr>
        <w:t xml:space="preserve"> </w:t>
      </w:r>
      <w:r>
        <w:rPr>
          <w:rFonts w:ascii="Arial" w:hAnsi="Arial"/>
          <w:b/>
          <w:sz w:val="22"/>
          <w:szCs w:val="24"/>
        </w:rPr>
        <w:t>Depreciação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Depreciação</w:t>
            </w:r>
            <w:r>
              <w:rPr>
                <w:rFonts w:hint="default"/>
                <w:spacing w:val="-4"/>
              </w:rPr>
              <w:t xml:space="preserve"> </w:t>
            </w:r>
            <w:r>
              <w:rPr>
                <w:rFonts w:hint="default"/>
              </w:rPr>
              <w:t>(60</w:t>
            </w:r>
            <w:r>
              <w:rPr>
                <w:rFonts w:hint="default"/>
                <w:spacing w:val="-4"/>
              </w:rPr>
              <w:t xml:space="preserve"> </w:t>
            </w:r>
            <w:r>
              <w:rPr>
                <w:rFonts w:hint="default"/>
              </w:rPr>
              <w:t>meses)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4"/>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Depreciação</w:t>
            </w:r>
            <w:r>
              <w:rPr>
                <w:rFonts w:hint="default"/>
                <w:spacing w:val="-4"/>
              </w:rPr>
              <w:t xml:space="preserve"> </w:t>
            </w:r>
            <w:r>
              <w:rPr>
                <w:rFonts w:hint="default"/>
              </w:rPr>
              <w:t>mensal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Depreciação</w:t>
            </w:r>
            <w:r>
              <w:rPr>
                <w:rFonts w:hint="default"/>
                <w:spacing w:val="-4"/>
              </w:rPr>
              <w:t xml:space="preserve"> </w:t>
            </w:r>
            <w:r>
              <w:rPr>
                <w:rFonts w:hint="default"/>
              </w:rPr>
              <w:t>mensal</w:t>
            </w:r>
            <w:r>
              <w:rPr>
                <w:rFonts w:hint="default"/>
                <w:spacing w:val="-6"/>
              </w:rPr>
              <w:t xml:space="preserve"> </w:t>
            </w:r>
            <w:r>
              <w:rPr>
                <w:rFonts w:hint="default"/>
              </w:rPr>
              <w:t>por</w:t>
            </w:r>
            <w:r>
              <w:rPr>
                <w:rFonts w:hint="default"/>
                <w:spacing w:val="-4"/>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rPr>
          <w:sz w:val="20"/>
          <w:szCs w:val="24"/>
        </w:rPr>
      </w:pPr>
    </w:p>
    <w:p>
      <w:pPr>
        <w:rPr>
          <w:sz w:val="20"/>
          <w:szCs w:val="24"/>
        </w:rPr>
      </w:pPr>
    </w:p>
    <w:p>
      <w:pPr>
        <w:rPr>
          <w:sz w:val="20"/>
          <w:szCs w:val="24"/>
        </w:rPr>
      </w:pPr>
      <w:r>
        <w:rPr>
          <w:rFonts w:ascii="Arial"/>
          <w:b/>
          <w:spacing w:val="-3"/>
          <w:sz w:val="22"/>
          <w:szCs w:val="24"/>
        </w:rPr>
        <w:t xml:space="preserve">    3.3 </w:t>
      </w:r>
      <w:r>
        <w:rPr>
          <w:rFonts w:ascii="Arial"/>
          <w:b/>
          <w:sz w:val="22"/>
          <w:szCs w:val="24"/>
        </w:rPr>
        <w:t>Licenciamento</w:t>
      </w:r>
      <w:r>
        <w:rPr>
          <w:rFonts w:ascii="Arial"/>
          <w:b/>
          <w:spacing w:val="-3"/>
          <w:sz w:val="22"/>
          <w:szCs w:val="24"/>
        </w:rPr>
        <w:t xml:space="preserve"> </w:t>
      </w:r>
      <w:r>
        <w:rPr>
          <w:rFonts w:ascii="Arial"/>
          <w:b/>
          <w:sz w:val="22"/>
          <w:szCs w:val="24"/>
        </w:rPr>
        <w:t>e</w:t>
      </w:r>
      <w:r>
        <w:rPr>
          <w:rFonts w:ascii="Arial"/>
          <w:b/>
          <w:spacing w:val="-1"/>
          <w:sz w:val="22"/>
          <w:szCs w:val="24"/>
        </w:rPr>
        <w:t xml:space="preserve"> </w:t>
      </w:r>
      <w:r>
        <w:rPr>
          <w:rFonts w:ascii="Arial"/>
          <w:b/>
          <w:sz w:val="22"/>
          <w:szCs w:val="24"/>
        </w:rPr>
        <w:t>Seguro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562"/>
              <w:jc w:val="right"/>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Seguro</w:t>
            </w:r>
            <w:r>
              <w:rPr>
                <w:rFonts w:hint="default"/>
                <w:spacing w:val="-6"/>
              </w:rPr>
              <w:t xml:space="preserve"> </w:t>
            </w:r>
            <w:r>
              <w:rPr>
                <w:rFonts w:hint="default"/>
              </w:rPr>
              <w:t>Obrigatório</w:t>
            </w:r>
            <w:r>
              <w:rPr>
                <w:rFonts w:hint="default"/>
                <w:spacing w:val="-5"/>
              </w:rPr>
              <w:t xml:space="preserve"> </w:t>
            </w:r>
            <w:r>
              <w:rPr>
                <w:rFonts w:hint="default"/>
              </w:rPr>
              <w:t>+</w:t>
            </w:r>
            <w:r>
              <w:rPr>
                <w:rFonts w:hint="default"/>
                <w:spacing w:val="-4"/>
              </w:rPr>
              <w:t xml:space="preserve"> </w:t>
            </w:r>
            <w:r>
              <w:rPr>
                <w:rFonts w:hint="default"/>
              </w:rPr>
              <w:t>Licenciamento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561"/>
              <w:jc w:val="righ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IPVA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499"/>
              <w:jc w:val="righ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Seguro</w:t>
            </w:r>
            <w:r>
              <w:rPr>
                <w:rFonts w:hint="default"/>
                <w:spacing w:val="-4"/>
              </w:rPr>
              <w:t xml:space="preserve"> </w:t>
            </w:r>
            <w:r>
              <w:rPr>
                <w:rFonts w:hint="default"/>
              </w:rPr>
              <w:t>contra</w:t>
            </w:r>
            <w:r>
              <w:rPr>
                <w:rFonts w:hint="default"/>
                <w:spacing w:val="-4"/>
              </w:rPr>
              <w:t xml:space="preserve"> </w:t>
            </w:r>
            <w:r>
              <w:rPr>
                <w:rFonts w:hint="default"/>
              </w:rPr>
              <w:t>terceiros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right="499"/>
              <w:jc w:val="righ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Total</w:t>
            </w:r>
            <w:r>
              <w:rPr>
                <w:rFonts w:hint="default"/>
                <w:spacing w:val="-5"/>
              </w:rPr>
              <w:t xml:space="preserve"> </w:t>
            </w:r>
            <w:r>
              <w:rPr>
                <w:rFonts w:hint="default"/>
              </w:rPr>
              <w:t>de</w:t>
            </w:r>
            <w:r>
              <w:rPr>
                <w:rFonts w:hint="default"/>
                <w:spacing w:val="-1"/>
              </w:rPr>
              <w:t xml:space="preserve"> </w:t>
            </w:r>
            <w:r>
              <w:rPr>
                <w:rFonts w:hint="default"/>
              </w:rPr>
              <w:t>licenciamento</w:t>
            </w:r>
            <w:r>
              <w:rPr>
                <w:rFonts w:hint="default"/>
                <w:spacing w:val="-3"/>
              </w:rPr>
              <w:t xml:space="preserve"> </w:t>
            </w:r>
            <w:r>
              <w:rPr>
                <w:rFonts w:hint="default"/>
              </w:rPr>
              <w:t>e</w:t>
            </w:r>
            <w:r>
              <w:rPr>
                <w:rFonts w:hint="default"/>
                <w:spacing w:val="-3"/>
              </w:rPr>
              <w:t xml:space="preserve"> </w:t>
            </w:r>
            <w:r>
              <w:rPr>
                <w:rFonts w:hint="default"/>
              </w:rPr>
              <w:t>seguro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right="499"/>
              <w:jc w:val="right"/>
              <w:rPr>
                <w:rFonts w:hint="default"/>
              </w:rPr>
            </w:pPr>
          </w:p>
        </w:tc>
      </w:tr>
    </w:tbl>
    <w:p>
      <w:pPr>
        <w:rPr>
          <w:sz w:val="20"/>
          <w:szCs w:val="24"/>
        </w:rPr>
      </w:pPr>
    </w:p>
    <w:p>
      <w:pPr>
        <w:rPr>
          <w:sz w:val="20"/>
          <w:szCs w:val="24"/>
        </w:rPr>
      </w:pPr>
    </w:p>
    <w:p>
      <w:pPr>
        <w:ind w:firstLine="221" w:firstLineChars="100"/>
        <w:rPr>
          <w:sz w:val="20"/>
          <w:szCs w:val="24"/>
        </w:rPr>
      </w:pPr>
      <w:r>
        <w:rPr>
          <w:rFonts w:ascii="Arial" w:hAnsi="Arial"/>
          <w:b/>
          <w:sz w:val="22"/>
          <w:szCs w:val="24"/>
        </w:rPr>
        <w:t>3.4 Remuneração</w:t>
      </w:r>
      <w:r>
        <w:rPr>
          <w:rFonts w:ascii="Arial" w:hAnsi="Arial"/>
          <w:b/>
          <w:spacing w:val="-3"/>
          <w:sz w:val="22"/>
          <w:szCs w:val="24"/>
        </w:rPr>
        <w:t xml:space="preserve"> </w:t>
      </w:r>
      <w:r>
        <w:rPr>
          <w:rFonts w:ascii="Arial" w:hAnsi="Arial"/>
          <w:b/>
          <w:sz w:val="22"/>
          <w:szCs w:val="24"/>
        </w:rPr>
        <w:t>do</w:t>
      </w:r>
      <w:r>
        <w:rPr>
          <w:rFonts w:ascii="Arial" w:hAnsi="Arial"/>
          <w:b/>
          <w:spacing w:val="-1"/>
          <w:sz w:val="22"/>
          <w:szCs w:val="24"/>
        </w:rPr>
        <w:t xml:space="preserve"> </w:t>
      </w:r>
      <w:r>
        <w:rPr>
          <w:rFonts w:ascii="Arial" w:hAnsi="Arial"/>
          <w:b/>
          <w:sz w:val="22"/>
          <w:szCs w:val="24"/>
        </w:rPr>
        <w:t>Capital</w:t>
      </w:r>
      <w:r>
        <w:rPr>
          <w:rFonts w:ascii="Arial" w:hAnsi="Arial"/>
          <w:b/>
          <w:spacing w:val="-4"/>
          <w:sz w:val="22"/>
          <w:szCs w:val="24"/>
        </w:rPr>
        <w:t xml:space="preserve"> </w:t>
      </w:r>
      <w:r>
        <w:rPr>
          <w:rFonts w:ascii="Arial" w:hAnsi="Arial"/>
          <w:b/>
          <w:sz w:val="22"/>
          <w:szCs w:val="24"/>
        </w:rPr>
        <w:t>Investido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Remuneração</w:t>
            </w:r>
            <w:r>
              <w:rPr>
                <w:rFonts w:hint="default"/>
                <w:spacing w:val="-5"/>
              </w:rPr>
              <w:t xml:space="preserve"> </w:t>
            </w:r>
            <w:r>
              <w:rPr>
                <w:rFonts w:hint="default"/>
              </w:rPr>
              <w:t>Mensal</w:t>
            </w:r>
            <w:r>
              <w:rPr>
                <w:rFonts w:hint="default"/>
                <w:spacing w:val="-2"/>
              </w:rPr>
              <w:t xml:space="preserve"> </w:t>
            </w:r>
            <w:r>
              <w:rPr>
                <w:rFonts w:hint="default"/>
              </w:rPr>
              <w:t>do</w:t>
            </w:r>
            <w:r>
              <w:rPr>
                <w:rFonts w:hint="default"/>
                <w:spacing w:val="-3"/>
              </w:rPr>
              <w:t xml:space="preserve"> </w:t>
            </w:r>
            <w:r>
              <w:rPr>
                <w:rFonts w:hint="default"/>
              </w:rPr>
              <w:t>Capital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Remuneração</w:t>
            </w:r>
            <w:r>
              <w:rPr>
                <w:rFonts w:hint="default"/>
                <w:spacing w:val="-5"/>
              </w:rPr>
              <w:t xml:space="preserve"> </w:t>
            </w:r>
            <w:r>
              <w:rPr>
                <w:rFonts w:hint="default"/>
              </w:rPr>
              <w:t>Mensal</w:t>
            </w:r>
            <w:r>
              <w:rPr>
                <w:rFonts w:hint="default"/>
                <w:spacing w:val="-3"/>
              </w:rPr>
              <w:t xml:space="preserve"> </w:t>
            </w:r>
            <w:r>
              <w:rPr>
                <w:rFonts w:hint="default"/>
              </w:rPr>
              <w:t>do</w:t>
            </w:r>
            <w:r>
              <w:rPr>
                <w:rFonts w:hint="default"/>
                <w:spacing w:val="-2"/>
              </w:rPr>
              <w:t xml:space="preserve"> </w:t>
            </w:r>
            <w:r>
              <w:rPr>
                <w:rFonts w:hint="default"/>
              </w:rPr>
              <w:t>Capital</w:t>
            </w:r>
            <w:r>
              <w:rPr>
                <w:rFonts w:hint="default"/>
                <w:spacing w:val="-6"/>
              </w:rPr>
              <w:t xml:space="preserve"> </w:t>
            </w:r>
            <w:r>
              <w:rPr>
                <w:rFonts w:hint="default"/>
              </w:rPr>
              <w:t>por</w:t>
            </w:r>
            <w:r>
              <w:rPr>
                <w:rFonts w:hint="default"/>
                <w:spacing w:val="-3"/>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bl>
    <w:p>
      <w:pPr>
        <w:rPr>
          <w:sz w:val="20"/>
          <w:szCs w:val="24"/>
        </w:rPr>
      </w:pPr>
    </w:p>
    <w:p>
      <w:pPr>
        <w:rPr>
          <w:sz w:val="20"/>
          <w:szCs w:val="24"/>
        </w:rPr>
      </w:pPr>
    </w:p>
    <w:p>
      <w:pPr>
        <w:rPr>
          <w:sz w:val="20"/>
          <w:szCs w:val="24"/>
        </w:rPr>
      </w:pPr>
      <w:r>
        <w:rPr>
          <w:sz w:val="20"/>
          <w:szCs w:val="24"/>
        </w:rPr>
        <w:t xml:space="preserve">   </w:t>
      </w:r>
      <w:r>
        <w:rPr>
          <w:rFonts w:ascii="Arial" w:hAnsi="Arial"/>
          <w:b/>
          <w:spacing w:val="-3"/>
          <w:sz w:val="22"/>
          <w:szCs w:val="24"/>
        </w:rPr>
        <w:t xml:space="preserve"> 3.5 </w:t>
      </w:r>
      <w:r>
        <w:rPr>
          <w:rFonts w:ascii="Arial" w:hAnsi="Arial"/>
          <w:b/>
          <w:sz w:val="22"/>
          <w:szCs w:val="24"/>
        </w:rPr>
        <w:t>Manutenção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Vida</w:t>
            </w:r>
            <w:r>
              <w:rPr>
                <w:rFonts w:hint="default"/>
                <w:spacing w:val="-2"/>
              </w:rPr>
              <w:t xml:space="preserve"> </w:t>
            </w:r>
            <w:r>
              <w:rPr>
                <w:rFonts w:hint="default"/>
              </w:rPr>
              <w:t>útil</w:t>
            </w:r>
            <w:r>
              <w:rPr>
                <w:rFonts w:hint="default"/>
                <w:spacing w:val="-5"/>
              </w:rPr>
              <w:t xml:space="preserve"> </w:t>
            </w:r>
            <w:r>
              <w:rPr>
                <w:rFonts w:hint="default"/>
              </w:rPr>
              <w:t>do</w:t>
            </w:r>
            <w:r>
              <w:rPr>
                <w:rFonts w:hint="default"/>
                <w:spacing w:val="-2"/>
              </w:rPr>
              <w:t xml:space="preserve"> </w:t>
            </w:r>
            <w:r>
              <w:rPr>
                <w:rFonts w:hint="default"/>
              </w:rPr>
              <w:t>caminhão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2" w:right="426"/>
              <w:rPr>
                <w:rFonts w:hint="default"/>
              </w:rPr>
            </w:pPr>
            <w:r>
              <w:rPr>
                <w:rFonts w:hint="default"/>
              </w:rPr>
              <w:t>anos</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Coeficiente</w:t>
            </w:r>
            <w:r>
              <w:rPr>
                <w:rFonts w:hint="default"/>
                <w:spacing w:val="-5"/>
              </w:rPr>
              <w:t xml:space="preserve"> </w:t>
            </w:r>
            <w:r>
              <w:rPr>
                <w:rFonts w:hint="default"/>
              </w:rPr>
              <w:t>de</w:t>
            </w:r>
            <w:r>
              <w:rPr>
                <w:rFonts w:hint="default"/>
                <w:spacing w:val="-4"/>
              </w:rPr>
              <w:t xml:space="preserve"> </w:t>
            </w:r>
            <w:r>
              <w:rPr>
                <w:rFonts w:hint="default"/>
              </w:rPr>
              <w:t>manutenção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0"/>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Custo</w:t>
            </w:r>
            <w:r>
              <w:rPr>
                <w:rFonts w:hint="default"/>
                <w:spacing w:val="-4"/>
              </w:rPr>
              <w:t xml:space="preserve"> </w:t>
            </w:r>
            <w:r>
              <w:rPr>
                <w:rFonts w:hint="default"/>
              </w:rPr>
              <w:t>de</w:t>
            </w:r>
            <w:r>
              <w:rPr>
                <w:rFonts w:hint="default"/>
                <w:spacing w:val="-4"/>
              </w:rPr>
              <w:t xml:space="preserve"> </w:t>
            </w:r>
            <w:r>
              <w:rPr>
                <w:rFonts w:hint="default"/>
              </w:rPr>
              <w:t>manutenção</w:t>
            </w:r>
            <w:r>
              <w:rPr>
                <w:rFonts w:hint="default"/>
                <w:spacing w:val="-3"/>
              </w:rPr>
              <w:t xml:space="preserve"> </w:t>
            </w:r>
            <w:r>
              <w:rPr>
                <w:rFonts w:hint="default"/>
              </w:rPr>
              <w:t>mensal</w:t>
            </w:r>
            <w:r>
              <w:rPr>
                <w:rFonts w:hint="default"/>
                <w:spacing w:val="-5"/>
              </w:rPr>
              <w:t xml:space="preserve"> </w:t>
            </w:r>
            <w:r>
              <w:rPr>
                <w:rFonts w:hint="default"/>
              </w:rPr>
              <w:t>por</w:t>
            </w:r>
            <w:r>
              <w:rPr>
                <w:rFonts w:hint="default"/>
                <w:spacing w:val="-2"/>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bl>
    <w:p>
      <w:pPr>
        <w:rPr>
          <w:sz w:val="20"/>
          <w:szCs w:val="24"/>
        </w:rPr>
      </w:pPr>
    </w:p>
    <w:tbl>
      <w:tblPr>
        <w:tblStyle w:val="12"/>
        <w:tblpPr w:leftFromText="180" w:rightFromText="180" w:vertAnchor="text" w:horzAnchor="page" w:tblpX="1218" w:tblpY="273"/>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27"/>
        <w:gridCol w:w="2045"/>
        <w:gridCol w:w="1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8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96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8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Número</w:t>
            </w:r>
            <w:r>
              <w:rPr>
                <w:rFonts w:hint="default"/>
                <w:spacing w:val="-4"/>
              </w:rPr>
              <w:t xml:space="preserve"> </w:t>
            </w:r>
            <w:r>
              <w:rPr>
                <w:rFonts w:hint="default"/>
              </w:rPr>
              <w:t>de</w:t>
            </w:r>
            <w:r>
              <w:rPr>
                <w:rFonts w:hint="default"/>
                <w:spacing w:val="-1"/>
              </w:rPr>
              <w:t xml:space="preserve"> </w:t>
            </w:r>
            <w:r>
              <w:rPr>
                <w:rFonts w:hint="default"/>
              </w:rPr>
              <w:t>pneus</w:t>
            </w:r>
          </w:p>
        </w:tc>
        <w:tc>
          <w:tcPr>
            <w:tcW w:w="10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Unidade</w:t>
            </w:r>
          </w:p>
        </w:tc>
        <w:tc>
          <w:tcPr>
            <w:tcW w:w="96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8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Preço</w:t>
            </w:r>
            <w:r>
              <w:rPr>
                <w:rFonts w:hint="default"/>
                <w:spacing w:val="-3"/>
              </w:rPr>
              <w:t xml:space="preserve"> </w:t>
            </w:r>
            <w:r>
              <w:rPr>
                <w:rFonts w:hint="default"/>
              </w:rPr>
              <w:t>pneu</w:t>
            </w:r>
            <w:r>
              <w:rPr>
                <w:rFonts w:hint="default"/>
                <w:spacing w:val="-4"/>
              </w:rPr>
              <w:t xml:space="preserve"> </w:t>
            </w:r>
            <w:r>
              <w:rPr>
                <w:rFonts w:hint="default"/>
              </w:rPr>
              <w:t>novo</w:t>
            </w:r>
          </w:p>
        </w:tc>
        <w:tc>
          <w:tcPr>
            <w:tcW w:w="10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3" w:right="426"/>
              <w:rPr>
                <w:rFonts w:hint="default"/>
              </w:rPr>
            </w:pPr>
            <w:r>
              <w:rPr>
                <w:rFonts w:hint="default"/>
              </w:rPr>
              <w:t>R$</w:t>
            </w:r>
          </w:p>
        </w:tc>
        <w:tc>
          <w:tcPr>
            <w:tcW w:w="96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8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Preço</w:t>
            </w:r>
            <w:r>
              <w:rPr>
                <w:rFonts w:hint="default"/>
                <w:spacing w:val="-4"/>
              </w:rPr>
              <w:t xml:space="preserve"> </w:t>
            </w:r>
            <w:r>
              <w:rPr>
                <w:rFonts w:hint="default"/>
              </w:rPr>
              <w:t>recauchutagem</w:t>
            </w:r>
          </w:p>
        </w:tc>
        <w:tc>
          <w:tcPr>
            <w:tcW w:w="10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96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8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Vida</w:t>
            </w:r>
            <w:r>
              <w:rPr>
                <w:rFonts w:hint="default"/>
                <w:spacing w:val="-2"/>
              </w:rPr>
              <w:t xml:space="preserve"> </w:t>
            </w:r>
            <w:r>
              <w:rPr>
                <w:rFonts w:hint="default"/>
              </w:rPr>
              <w:t>útil</w:t>
            </w:r>
            <w:r>
              <w:rPr>
                <w:rFonts w:hint="default"/>
                <w:spacing w:val="-4"/>
              </w:rPr>
              <w:t xml:space="preserve"> </w:t>
            </w:r>
            <w:r>
              <w:rPr>
                <w:rFonts w:hint="default"/>
              </w:rPr>
              <w:t>do</w:t>
            </w:r>
            <w:r>
              <w:rPr>
                <w:rFonts w:hint="default"/>
                <w:spacing w:val="-2"/>
              </w:rPr>
              <w:t xml:space="preserve"> </w:t>
            </w:r>
            <w:r>
              <w:rPr>
                <w:rFonts w:hint="default"/>
              </w:rPr>
              <w:t>pneu</w:t>
            </w:r>
            <w:r>
              <w:rPr>
                <w:rFonts w:hint="default"/>
                <w:spacing w:val="-3"/>
              </w:rPr>
              <w:t xml:space="preserve"> </w:t>
            </w:r>
            <w:r>
              <w:rPr>
                <w:rFonts w:hint="default"/>
              </w:rPr>
              <w:t>novo</w:t>
            </w:r>
          </w:p>
        </w:tc>
        <w:tc>
          <w:tcPr>
            <w:tcW w:w="10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96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8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Vida</w:t>
            </w:r>
            <w:r>
              <w:rPr>
                <w:rFonts w:hint="default"/>
                <w:spacing w:val="-2"/>
              </w:rPr>
              <w:t xml:space="preserve"> </w:t>
            </w:r>
            <w:r>
              <w:rPr>
                <w:rFonts w:hint="default"/>
              </w:rPr>
              <w:t>útil</w:t>
            </w:r>
            <w:r>
              <w:rPr>
                <w:rFonts w:hint="default"/>
                <w:spacing w:val="-4"/>
              </w:rPr>
              <w:t xml:space="preserve"> </w:t>
            </w:r>
            <w:r>
              <w:rPr>
                <w:rFonts w:hint="default"/>
              </w:rPr>
              <w:t>do</w:t>
            </w:r>
            <w:r>
              <w:rPr>
                <w:rFonts w:hint="default"/>
                <w:spacing w:val="-2"/>
              </w:rPr>
              <w:t xml:space="preserve"> </w:t>
            </w:r>
            <w:r>
              <w:rPr>
                <w:rFonts w:hint="default"/>
              </w:rPr>
              <w:t>pneu</w:t>
            </w:r>
            <w:r>
              <w:rPr>
                <w:rFonts w:hint="default"/>
                <w:spacing w:val="-3"/>
              </w:rPr>
              <w:t xml:space="preserve"> </w:t>
            </w:r>
            <w:r>
              <w:rPr>
                <w:rFonts w:hint="default"/>
              </w:rPr>
              <w:t>com</w:t>
            </w:r>
            <w:r>
              <w:rPr>
                <w:rFonts w:hint="default"/>
                <w:spacing w:val="-2"/>
              </w:rPr>
              <w:t xml:space="preserve"> </w:t>
            </w:r>
            <w:r>
              <w:rPr>
                <w:rFonts w:hint="default"/>
              </w:rPr>
              <w:t>recauchutagem</w:t>
            </w:r>
          </w:p>
        </w:tc>
        <w:tc>
          <w:tcPr>
            <w:tcW w:w="10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96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98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Preço</w:t>
            </w:r>
            <w:r>
              <w:rPr>
                <w:rFonts w:hint="default"/>
                <w:spacing w:val="57"/>
              </w:rPr>
              <w:t xml:space="preserve"> </w:t>
            </w:r>
            <w:r>
              <w:rPr>
                <w:rFonts w:hint="default"/>
              </w:rPr>
              <w:t>dos</w:t>
            </w:r>
            <w:r>
              <w:rPr>
                <w:rFonts w:hint="default"/>
                <w:spacing w:val="116"/>
              </w:rPr>
              <w:t xml:space="preserve"> </w:t>
            </w:r>
            <w:r>
              <w:rPr>
                <w:rFonts w:hint="default"/>
              </w:rPr>
              <w:t>pneus</w:t>
            </w:r>
            <w:r>
              <w:rPr>
                <w:rFonts w:hint="default"/>
                <w:spacing w:val="117"/>
              </w:rPr>
              <w:t xml:space="preserve"> </w:t>
            </w:r>
            <w:r>
              <w:rPr>
                <w:rFonts w:hint="default"/>
              </w:rPr>
              <w:t>e</w:t>
            </w:r>
            <w:r>
              <w:rPr>
                <w:rFonts w:hint="default"/>
                <w:spacing w:val="117"/>
              </w:rPr>
              <w:t xml:space="preserve"> </w:t>
            </w:r>
            <w:r>
              <w:rPr>
                <w:rFonts w:hint="default"/>
              </w:rPr>
              <w:t>recauchutagem</w:t>
            </w:r>
            <w:r>
              <w:rPr>
                <w:rFonts w:hint="default"/>
                <w:spacing w:val="115"/>
              </w:rPr>
              <w:t xml:space="preserve"> </w:t>
            </w:r>
            <w:r>
              <w:rPr>
                <w:rFonts w:hint="default"/>
              </w:rPr>
              <w:t>por</w:t>
            </w:r>
            <w:r>
              <w:rPr>
                <w:rFonts w:hint="default"/>
                <w:spacing w:val="118"/>
              </w:rPr>
              <w:t xml:space="preserve"> </w:t>
            </w:r>
            <w:r>
              <w:rPr>
                <w:rFonts w:hint="default"/>
              </w:rPr>
              <w:t>km rodado</w:t>
            </w:r>
          </w:p>
        </w:tc>
        <w:tc>
          <w:tcPr>
            <w:tcW w:w="10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2"/>
              <w:rPr>
                <w:rFonts w:hint="default"/>
              </w:rPr>
            </w:pPr>
            <w:r>
              <w:rPr>
                <w:rFonts w:hint="default"/>
              </w:rPr>
              <w:t>R$/km</w:t>
            </w:r>
          </w:p>
        </w:tc>
        <w:tc>
          <w:tcPr>
            <w:tcW w:w="966"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pStyle w:val="103"/>
        <w:tabs>
          <w:tab w:val="left" w:pos="580"/>
        </w:tabs>
        <w:ind w:left="220" w:firstLine="221" w:firstLineChars="100"/>
        <w:rPr>
          <w:rFonts w:ascii="Arial"/>
          <w:b/>
          <w:sz w:val="22"/>
          <w:szCs w:val="24"/>
        </w:rPr>
      </w:pPr>
    </w:p>
    <w:p>
      <w:pPr>
        <w:pStyle w:val="103"/>
        <w:tabs>
          <w:tab w:val="left" w:pos="580"/>
        </w:tabs>
        <w:ind w:left="220" w:firstLine="221" w:firstLineChars="100"/>
        <w:rPr>
          <w:rFonts w:ascii="Arial"/>
          <w:b/>
          <w:sz w:val="22"/>
          <w:szCs w:val="24"/>
        </w:rPr>
      </w:pPr>
    </w:p>
    <w:p>
      <w:pPr>
        <w:pStyle w:val="103"/>
        <w:tabs>
          <w:tab w:val="left" w:pos="580"/>
        </w:tabs>
        <w:ind w:left="220" w:firstLine="221" w:firstLineChars="100"/>
        <w:rPr>
          <w:rFonts w:ascii="Arial"/>
          <w:b/>
          <w:sz w:val="22"/>
          <w:szCs w:val="24"/>
        </w:rPr>
      </w:pPr>
    </w:p>
    <w:p>
      <w:pPr>
        <w:pStyle w:val="103"/>
        <w:tabs>
          <w:tab w:val="left" w:pos="580"/>
        </w:tabs>
        <w:ind w:left="220" w:firstLine="221" w:firstLineChars="100"/>
        <w:rPr>
          <w:rFonts w:ascii="Arial"/>
          <w:b/>
          <w:sz w:val="22"/>
          <w:szCs w:val="24"/>
        </w:rPr>
      </w:pPr>
    </w:p>
    <w:p>
      <w:pPr>
        <w:pStyle w:val="103"/>
        <w:tabs>
          <w:tab w:val="left" w:pos="580"/>
        </w:tabs>
        <w:ind w:left="220" w:firstLine="221" w:firstLineChars="100"/>
        <w:rPr>
          <w:rFonts w:ascii="Arial"/>
          <w:b/>
          <w:sz w:val="22"/>
          <w:szCs w:val="24"/>
        </w:rPr>
      </w:pPr>
    </w:p>
    <w:p>
      <w:pPr>
        <w:pStyle w:val="103"/>
        <w:tabs>
          <w:tab w:val="left" w:pos="580"/>
        </w:tabs>
        <w:ind w:left="220" w:firstLine="221" w:firstLineChars="100"/>
        <w:rPr>
          <w:rFonts w:ascii="Arial"/>
          <w:b/>
          <w:sz w:val="22"/>
          <w:szCs w:val="24"/>
        </w:rPr>
      </w:pPr>
    </w:p>
    <w:p>
      <w:pPr>
        <w:pStyle w:val="103"/>
        <w:tabs>
          <w:tab w:val="left" w:pos="580"/>
        </w:tabs>
        <w:ind w:left="0" w:firstLine="221" w:firstLineChars="100"/>
        <w:rPr>
          <w:rFonts w:ascii="Arial"/>
          <w:b/>
          <w:spacing w:val="-2"/>
          <w:sz w:val="22"/>
          <w:szCs w:val="24"/>
        </w:rPr>
      </w:pPr>
      <w:r>
        <w:rPr>
          <w:rFonts w:ascii="Arial"/>
          <w:b/>
          <w:sz w:val="22"/>
          <w:szCs w:val="24"/>
        </w:rPr>
        <w:t>3.6</w:t>
      </w:r>
      <w:r>
        <w:rPr>
          <w:rFonts w:ascii="Arial"/>
          <w:b/>
          <w:spacing w:val="-2"/>
          <w:sz w:val="22"/>
          <w:szCs w:val="24"/>
        </w:rPr>
        <w:t xml:space="preserve"> </w:t>
      </w:r>
      <w:r>
        <w:rPr>
          <w:rFonts w:ascii="Arial"/>
          <w:b/>
          <w:sz w:val="22"/>
          <w:szCs w:val="24"/>
        </w:rPr>
        <w:t>Pneu</w:t>
      </w:r>
    </w:p>
    <w:p>
      <w:pPr>
        <w:pStyle w:val="103"/>
        <w:tabs>
          <w:tab w:val="left" w:pos="580"/>
        </w:tabs>
        <w:spacing w:before="94" w:after="8"/>
        <w:ind w:left="0" w:firstLine="217" w:firstLineChars="100"/>
        <w:rPr>
          <w:rFonts w:ascii="Arial"/>
          <w:b/>
          <w:spacing w:val="-2"/>
          <w:sz w:val="22"/>
          <w:szCs w:val="24"/>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09"/>
        <w:gridCol w:w="2018"/>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977" w:type="pct"/>
            <w:tcBorders>
              <w:top w:val="single" w:color="000000" w:sz="4" w:space="0"/>
              <w:left w:val="single" w:color="000000" w:sz="4" w:space="0"/>
              <w:bottom w:val="single" w:color="000000" w:sz="4" w:space="0"/>
              <w:right w:val="single" w:color="000000" w:sz="4" w:space="0"/>
              <w:tl2br w:val="nil"/>
              <w:tr2bl w:val="nil"/>
            </w:tcBorders>
          </w:tcPr>
          <w:p>
            <w:pPr>
              <w:pStyle w:val="193"/>
              <w:rPr>
                <w:rFonts w:hint="default"/>
              </w:rPr>
            </w:pPr>
            <w:r>
              <w:rPr>
                <w:rFonts w:hint="default"/>
              </w:rPr>
              <w:t>Custo</w:t>
            </w:r>
            <w:r>
              <w:rPr>
                <w:rFonts w:hint="default"/>
                <w:spacing w:val="3"/>
              </w:rPr>
              <w:t xml:space="preserve"> </w:t>
            </w:r>
            <w:r>
              <w:rPr>
                <w:rFonts w:hint="default"/>
              </w:rPr>
              <w:t>de</w:t>
            </w:r>
            <w:r>
              <w:rPr>
                <w:rFonts w:hint="default"/>
                <w:spacing w:val="5"/>
              </w:rPr>
              <w:t xml:space="preserve"> </w:t>
            </w:r>
            <w:r>
              <w:rPr>
                <w:rFonts w:hint="default"/>
              </w:rPr>
              <w:t>pneus</w:t>
            </w:r>
            <w:r>
              <w:rPr>
                <w:rFonts w:hint="default"/>
                <w:spacing w:val="6"/>
              </w:rPr>
              <w:t xml:space="preserve"> </w:t>
            </w:r>
            <w:r>
              <w:rPr>
                <w:rFonts w:hint="default"/>
              </w:rPr>
              <w:t>e</w:t>
            </w:r>
            <w:r>
              <w:rPr>
                <w:rFonts w:hint="default"/>
                <w:spacing w:val="3"/>
              </w:rPr>
              <w:t xml:space="preserve"> </w:t>
            </w:r>
            <w:r>
              <w:rPr>
                <w:rFonts w:hint="default"/>
              </w:rPr>
              <w:t>recauchutagem</w:t>
            </w:r>
            <w:r>
              <w:rPr>
                <w:rFonts w:hint="default"/>
                <w:spacing w:val="4"/>
              </w:rPr>
              <w:t xml:space="preserve"> </w:t>
            </w:r>
            <w:r>
              <w:rPr>
                <w:rFonts w:hint="default"/>
              </w:rPr>
              <w:t>mensal</w:t>
            </w:r>
            <w:r>
              <w:rPr>
                <w:rFonts w:hint="default"/>
                <w:spacing w:val="2"/>
              </w:rPr>
              <w:t xml:space="preserve"> </w:t>
            </w:r>
            <w:r>
              <w:rPr>
                <w:rFonts w:hint="default"/>
              </w:rPr>
              <w:t>por</w:t>
            </w:r>
            <w:r>
              <w:rPr>
                <w:rFonts w:hint="default"/>
                <w:spacing w:val="-59"/>
              </w:rPr>
              <w:t xml:space="preserve"> </w:t>
            </w:r>
            <w:r>
              <w:rPr>
                <w:rFonts w:hint="default"/>
              </w:rPr>
              <w:t>veículo</w:t>
            </w:r>
          </w:p>
        </w:tc>
        <w:tc>
          <w:tcPr>
            <w:tcW w:w="1034"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6"/>
              <w:ind w:left="433" w:right="426"/>
              <w:rPr>
                <w:rFonts w:hint="default"/>
              </w:rPr>
            </w:pPr>
            <w:r>
              <w:rPr>
                <w:rFonts w:hint="default"/>
              </w:rPr>
              <w:t>R$</w:t>
            </w:r>
          </w:p>
        </w:tc>
        <w:tc>
          <w:tcPr>
            <w:tcW w:w="989"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6"/>
              <w:ind w:left="422"/>
              <w:rPr>
                <w:rFonts w:hint="default"/>
              </w:rPr>
            </w:pPr>
            <w:r>
              <w:rPr>
                <w:rFonts w:hint="default"/>
              </w:rPr>
              <w:t>3.600,00</w:t>
            </w:r>
          </w:p>
        </w:tc>
      </w:tr>
    </w:tbl>
    <w:p>
      <w:pPr>
        <w:pStyle w:val="103"/>
        <w:tabs>
          <w:tab w:val="left" w:pos="580"/>
        </w:tabs>
        <w:spacing w:before="94" w:after="8"/>
        <w:ind w:left="0" w:firstLine="217" w:firstLineChars="100"/>
        <w:rPr>
          <w:rFonts w:ascii="Arial"/>
          <w:b/>
          <w:spacing w:val="-2"/>
          <w:sz w:val="22"/>
          <w:szCs w:val="24"/>
        </w:rPr>
      </w:pPr>
    </w:p>
    <w:p>
      <w:pPr>
        <w:pStyle w:val="103"/>
        <w:tabs>
          <w:tab w:val="left" w:pos="580"/>
        </w:tabs>
        <w:spacing w:before="94" w:after="8"/>
        <w:ind w:left="0" w:firstLine="217" w:firstLineChars="100"/>
        <w:rPr>
          <w:rFonts w:ascii="Arial"/>
          <w:b/>
          <w:sz w:val="22"/>
          <w:szCs w:val="24"/>
        </w:rPr>
      </w:pPr>
      <w:r>
        <w:rPr>
          <w:rFonts w:ascii="Arial"/>
          <w:b/>
          <w:spacing w:val="-2"/>
          <w:sz w:val="22"/>
          <w:szCs w:val="24"/>
        </w:rPr>
        <w:t xml:space="preserve">3.7 </w:t>
      </w:r>
      <w:r>
        <w:rPr>
          <w:rFonts w:ascii="Arial"/>
          <w:b/>
          <w:sz w:val="22"/>
          <w:szCs w:val="24"/>
        </w:rPr>
        <w:t>Consumos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443"/>
              <w:jc w:val="right"/>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Custo</w:t>
            </w:r>
            <w:r>
              <w:rPr>
                <w:rFonts w:hint="default"/>
                <w:spacing w:val="-4"/>
              </w:rPr>
              <w:t xml:space="preserve"> </w:t>
            </w:r>
            <w:r>
              <w:rPr>
                <w:rFonts w:hint="default"/>
              </w:rPr>
              <w:t>óleo</w:t>
            </w:r>
            <w:r>
              <w:rPr>
                <w:rFonts w:hint="default"/>
                <w:spacing w:val="-4"/>
              </w:rPr>
              <w:t xml:space="preserve"> </w:t>
            </w:r>
            <w:r>
              <w:rPr>
                <w:rFonts w:hint="default"/>
              </w:rPr>
              <w:t>diesel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rPr>
                <w:rFonts w:hint="default"/>
              </w:rPr>
            </w:pPr>
            <w:r>
              <w:rPr>
                <w:rFonts w:hint="default"/>
              </w:rPr>
              <w:t>Consumo</w:t>
            </w:r>
            <w:r>
              <w:rPr>
                <w:rFonts w:hint="default"/>
                <w:spacing w:val="-3"/>
              </w:rPr>
              <w:t xml:space="preserve"> </w:t>
            </w:r>
            <w:r>
              <w:rPr>
                <w:rFonts w:hint="default"/>
              </w:rPr>
              <w:t>por</w:t>
            </w:r>
            <w:r>
              <w:rPr>
                <w:rFonts w:hint="default"/>
                <w:spacing w:val="-4"/>
              </w:rPr>
              <w:t xml:space="preserve"> </w:t>
            </w:r>
            <w:r>
              <w:rPr>
                <w:rFonts w:hint="default"/>
              </w:rPr>
              <w:t>km</w:t>
            </w:r>
            <w:r>
              <w:rPr>
                <w:rFonts w:hint="default"/>
                <w:spacing w:val="-1"/>
              </w:rPr>
              <w:t xml:space="preserve"> </w:t>
            </w:r>
            <w:r>
              <w:rPr>
                <w:rFonts w:hint="default"/>
              </w:rPr>
              <w:t>rodado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right="503"/>
              <w:jc w:val="right"/>
              <w:rPr>
                <w:rFonts w:hint="default"/>
              </w:rPr>
            </w:pPr>
            <w:r>
              <w:rPr>
                <w:rFonts w:hint="default"/>
              </w:rPr>
              <w:t>Km/litro</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2"/>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Consumo</w:t>
            </w:r>
            <w:r>
              <w:rPr>
                <w:rFonts w:hint="default"/>
                <w:spacing w:val="-5"/>
              </w:rPr>
              <w:t xml:space="preserve"> </w:t>
            </w:r>
            <w:r>
              <w:rPr>
                <w:rFonts w:hint="default"/>
              </w:rPr>
              <w:t>médio</w:t>
            </w:r>
            <w:r>
              <w:rPr>
                <w:rFonts w:hint="default"/>
                <w:spacing w:val="-2"/>
              </w:rPr>
              <w:t xml:space="preserve"> </w:t>
            </w:r>
            <w:r>
              <w:rPr>
                <w:rFonts w:hint="default"/>
              </w:rPr>
              <w:t>mensal</w:t>
            </w:r>
            <w:r>
              <w:rPr>
                <w:rFonts w:hint="default"/>
                <w:spacing w:val="-2"/>
              </w:rPr>
              <w:t xml:space="preserve"> </w:t>
            </w:r>
            <w:r>
              <w:rPr>
                <w:rFonts w:hint="default"/>
              </w:rPr>
              <w:t>por</w:t>
            </w:r>
            <w:r>
              <w:rPr>
                <w:rFonts w:hint="default"/>
                <w:spacing w:val="-4"/>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4"/>
              <w:rPr>
                <w:rFonts w:hint="default"/>
              </w:rPr>
            </w:pPr>
            <w:r>
              <w:rPr>
                <w:rFonts w:hint="default"/>
              </w:rPr>
              <w:t>Litros</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Custo</w:t>
            </w:r>
            <w:r>
              <w:rPr>
                <w:rFonts w:hint="default"/>
                <w:spacing w:val="-3"/>
              </w:rPr>
              <w:t xml:space="preserve"> </w:t>
            </w:r>
            <w:r>
              <w:rPr>
                <w:rFonts w:hint="default"/>
              </w:rPr>
              <w:t>com</w:t>
            </w:r>
            <w:r>
              <w:rPr>
                <w:rFonts w:hint="default"/>
                <w:spacing w:val="-4"/>
              </w:rPr>
              <w:t xml:space="preserve"> </w:t>
            </w:r>
            <w:r>
              <w:rPr>
                <w:rFonts w:hint="default"/>
              </w:rPr>
              <w:t>diesel</w:t>
            </w:r>
            <w:r>
              <w:rPr>
                <w:rFonts w:hint="default"/>
                <w:spacing w:val="-1"/>
              </w:rPr>
              <w:t xml:space="preserve"> </w:t>
            </w:r>
            <w:r>
              <w:rPr>
                <w:rFonts w:hint="default"/>
              </w:rPr>
              <w:t>por</w:t>
            </w:r>
            <w:r>
              <w:rPr>
                <w:rFonts w:hint="default"/>
                <w:spacing w:val="-2"/>
              </w:rPr>
              <w:t xml:space="preserve"> </w:t>
            </w:r>
            <w:r>
              <w:rPr>
                <w:rFonts w:hint="default"/>
              </w:rPr>
              <w:t>veículo</w:t>
            </w:r>
            <w:r>
              <w:rPr>
                <w:rFonts w:hint="default"/>
                <w:spacing w:val="-3"/>
              </w:rPr>
              <w:t xml:space="preserve"> </w:t>
            </w:r>
            <w:r>
              <w:rPr>
                <w:rFonts w:hint="default"/>
              </w:rPr>
              <w:t>por</w:t>
            </w:r>
            <w:r>
              <w:rPr>
                <w:rFonts w:hint="default"/>
                <w:spacing w:val="-1"/>
              </w:rPr>
              <w:t xml:space="preserve"> </w:t>
            </w:r>
            <w:r>
              <w:rPr>
                <w:rFonts w:hint="default"/>
              </w:rPr>
              <w:t>mês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rPr>
          <w:sz w:val="20"/>
          <w:szCs w:val="24"/>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2"/>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right="58"/>
              <w:jc w:val="right"/>
              <w:rPr>
                <w:rFonts w:hint="default"/>
                <w:b/>
              </w:rPr>
            </w:pPr>
            <w:r>
              <w:rPr>
                <w:rFonts w:hint="default"/>
                <w:b/>
              </w:rPr>
              <w:t>Valor</w:t>
            </w:r>
            <w:r>
              <w:rPr>
                <w:rFonts w:hint="default"/>
                <w:b/>
                <w:spacing w:val="-5"/>
              </w:rPr>
              <w:t xml:space="preserve"> </w:t>
            </w:r>
            <w:r>
              <w:rPr>
                <w:rFonts w:hint="default"/>
                <w:b/>
              </w:rPr>
              <w:t>total</w:t>
            </w:r>
            <w:r>
              <w:rPr>
                <w:rFonts w:hint="default"/>
                <w:b/>
                <w:spacing w:val="-3"/>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left="359"/>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7"/>
              <w:ind w:right="58"/>
              <w:jc w:val="right"/>
              <w:rPr>
                <w:rFonts w:hint="default"/>
                <w:b/>
              </w:rPr>
            </w:pPr>
            <w:r>
              <w:rPr>
                <w:rFonts w:hint="default"/>
                <w:b/>
              </w:rPr>
              <w:t>BDI</w:t>
            </w:r>
            <w:r>
              <w:rPr>
                <w:rFonts w:hint="default"/>
                <w:b/>
                <w:spacing w:val="-3"/>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7"/>
              <w:ind w:left="422"/>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right="58"/>
              <w:jc w:val="right"/>
              <w:rPr>
                <w:rFonts w:hint="default"/>
                <w:b/>
              </w:rPr>
            </w:pPr>
            <w:r>
              <w:rPr>
                <w:rFonts w:hint="default"/>
                <w:b/>
              </w:rPr>
              <w:t>Valor</w:t>
            </w:r>
            <w:r>
              <w:rPr>
                <w:rFonts w:hint="default"/>
                <w:b/>
                <w:spacing w:val="-3"/>
              </w:rPr>
              <w:t xml:space="preserve"> </w:t>
            </w:r>
            <w:r>
              <w:rPr>
                <w:rFonts w:hint="default"/>
                <w:b/>
              </w:rPr>
              <w:t>total</w:t>
            </w:r>
            <w:r>
              <w:rPr>
                <w:rFonts w:hint="default"/>
                <w:b/>
                <w:spacing w:val="-4"/>
              </w:rPr>
              <w:t xml:space="preserve"> </w:t>
            </w:r>
            <w:r>
              <w:rPr>
                <w:rFonts w:hint="default"/>
                <w:b/>
              </w:rPr>
              <w:t>mensal</w:t>
            </w:r>
            <w:r>
              <w:rPr>
                <w:rFonts w:hint="default"/>
                <w:b/>
                <w:spacing w:val="-2"/>
              </w:rPr>
              <w:t xml:space="preserve"> </w:t>
            </w:r>
            <w:r>
              <w:rPr>
                <w:rFonts w:hint="default"/>
                <w:b/>
              </w:rPr>
              <w:t>c/</w:t>
            </w:r>
            <w:r>
              <w:rPr>
                <w:rFonts w:hint="default"/>
                <w:b/>
                <w:spacing w:val="-2"/>
              </w:rPr>
              <w:t xml:space="preserve"> </w:t>
            </w:r>
            <w:r>
              <w:rPr>
                <w:rFonts w:hint="default"/>
                <w:b/>
              </w:rPr>
              <w:t>BDI</w:t>
            </w:r>
            <w:r>
              <w:rPr>
                <w:rFonts w:hint="default"/>
                <w:b/>
                <w:spacing w:val="-2"/>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left="359"/>
              <w:rPr>
                <w:rFonts w:hint="default"/>
                <w:b/>
              </w:rPr>
            </w:pPr>
          </w:p>
        </w:tc>
      </w:tr>
    </w:tbl>
    <w:p>
      <w:pPr>
        <w:rPr>
          <w:sz w:val="20"/>
          <w:szCs w:val="24"/>
        </w:rPr>
      </w:pPr>
    </w:p>
    <w:p>
      <w:pPr>
        <w:pStyle w:val="21"/>
        <w:spacing w:before="9"/>
        <w:rPr>
          <w:rFonts w:ascii="Arial"/>
          <w:b/>
          <w:sz w:val="29"/>
          <w:szCs w:val="24"/>
        </w:rPr>
      </w:pPr>
    </w:p>
    <w:p>
      <w:pPr>
        <w:spacing w:before="94"/>
        <w:ind w:left="212"/>
        <w:rPr>
          <w:rFonts w:ascii="Arial" w:hAnsi="Arial"/>
          <w:b/>
          <w:sz w:val="22"/>
          <w:szCs w:val="24"/>
        </w:rPr>
      </w:pPr>
      <w:r>
        <w:rPr>
          <w:rFonts w:ascii="Arial" w:hAnsi="Arial"/>
          <w:b/>
          <w:sz w:val="22"/>
          <w:szCs w:val="24"/>
        </w:rPr>
        <w:t>2</w:t>
      </w:r>
      <w:r>
        <w:rPr>
          <w:rFonts w:ascii="Arial" w:hAnsi="Arial"/>
          <w:b/>
          <w:spacing w:val="-4"/>
          <w:sz w:val="22"/>
          <w:szCs w:val="24"/>
        </w:rPr>
        <w:t xml:space="preserve"> </w:t>
      </w:r>
      <w:r>
        <w:rPr>
          <w:rFonts w:ascii="Arial" w:hAnsi="Arial"/>
          <w:b/>
          <w:sz w:val="22"/>
          <w:szCs w:val="24"/>
        </w:rPr>
        <w:t>-</w:t>
      </w:r>
      <w:r>
        <w:rPr>
          <w:rFonts w:ascii="Arial" w:hAnsi="Arial"/>
          <w:b/>
          <w:spacing w:val="-2"/>
          <w:sz w:val="22"/>
          <w:szCs w:val="24"/>
        </w:rPr>
        <w:t xml:space="preserve"> </w:t>
      </w:r>
      <w:r>
        <w:rPr>
          <w:rFonts w:ascii="Arial" w:hAnsi="Arial"/>
          <w:b/>
          <w:sz w:val="22"/>
          <w:szCs w:val="24"/>
        </w:rPr>
        <w:t>VEÍCULOS</w:t>
      </w:r>
      <w:r>
        <w:rPr>
          <w:rFonts w:ascii="Arial" w:hAnsi="Arial"/>
          <w:b/>
          <w:spacing w:val="-4"/>
          <w:sz w:val="22"/>
          <w:szCs w:val="24"/>
        </w:rPr>
        <w:t xml:space="preserve"> </w:t>
      </w:r>
      <w:r>
        <w:rPr>
          <w:rFonts w:ascii="Arial" w:hAnsi="Arial"/>
          <w:b/>
          <w:sz w:val="22"/>
          <w:szCs w:val="24"/>
        </w:rPr>
        <w:t>E</w:t>
      </w:r>
      <w:r>
        <w:rPr>
          <w:rFonts w:ascii="Arial" w:hAnsi="Arial"/>
          <w:b/>
          <w:spacing w:val="-1"/>
          <w:sz w:val="22"/>
          <w:szCs w:val="24"/>
        </w:rPr>
        <w:t xml:space="preserve"> </w:t>
      </w:r>
      <w:r>
        <w:rPr>
          <w:rFonts w:ascii="Arial" w:hAnsi="Arial"/>
          <w:b/>
          <w:sz w:val="22"/>
          <w:szCs w:val="24"/>
        </w:rPr>
        <w:t>EQUIPAMENTOS</w:t>
      </w:r>
    </w:p>
    <w:p>
      <w:pPr>
        <w:pStyle w:val="21"/>
        <w:spacing w:before="11"/>
        <w:rPr>
          <w:rFonts w:ascii="Arial"/>
          <w:b/>
          <w:sz w:val="23"/>
          <w:szCs w:val="24"/>
        </w:rPr>
      </w:pPr>
    </w:p>
    <w:p>
      <w:pPr>
        <w:pStyle w:val="103"/>
        <w:numPr>
          <w:ilvl w:val="0"/>
          <w:numId w:val="16"/>
        </w:numPr>
        <w:tabs>
          <w:tab w:val="left" w:pos="458"/>
        </w:tabs>
        <w:ind w:hanging="246"/>
        <w:rPr>
          <w:rFonts w:ascii="Arial" w:hAnsi="Arial"/>
          <w:b/>
          <w:sz w:val="22"/>
          <w:szCs w:val="24"/>
        </w:rPr>
      </w:pPr>
      <w:r>
        <w:rPr>
          <w:rFonts w:ascii="Arial" w:hAnsi="Arial"/>
          <w:b/>
          <w:sz w:val="22"/>
          <w:szCs w:val="24"/>
        </w:rPr>
        <w:t>Veículo</w:t>
      </w:r>
      <w:r>
        <w:rPr>
          <w:rFonts w:ascii="Arial" w:hAnsi="Arial"/>
          <w:b/>
          <w:spacing w:val="-3"/>
          <w:sz w:val="22"/>
          <w:szCs w:val="24"/>
        </w:rPr>
        <w:t xml:space="preserve"> </w:t>
      </w:r>
      <w:r>
        <w:rPr>
          <w:rFonts w:ascii="Arial" w:hAnsi="Arial"/>
          <w:b/>
          <w:sz w:val="22"/>
          <w:szCs w:val="24"/>
        </w:rPr>
        <w:t>de</w:t>
      </w:r>
      <w:r>
        <w:rPr>
          <w:rFonts w:ascii="Arial" w:hAnsi="Arial"/>
          <w:b/>
          <w:spacing w:val="-1"/>
          <w:sz w:val="22"/>
          <w:szCs w:val="24"/>
        </w:rPr>
        <w:t xml:space="preserve"> </w:t>
      </w:r>
      <w:r>
        <w:rPr>
          <w:rFonts w:ascii="Arial" w:hAnsi="Arial"/>
          <w:b/>
          <w:sz w:val="22"/>
          <w:szCs w:val="24"/>
        </w:rPr>
        <w:t>apoio</w:t>
      </w:r>
    </w:p>
    <w:p>
      <w:pPr>
        <w:pStyle w:val="21"/>
        <w:spacing w:before="10"/>
        <w:rPr>
          <w:rFonts w:ascii="Arial"/>
          <w:b/>
          <w:sz w:val="23"/>
          <w:szCs w:val="24"/>
        </w:rPr>
      </w:pPr>
    </w:p>
    <w:p>
      <w:pPr>
        <w:pStyle w:val="103"/>
        <w:numPr>
          <w:ilvl w:val="1"/>
          <w:numId w:val="16"/>
        </w:numPr>
        <w:tabs>
          <w:tab w:val="left" w:pos="580"/>
        </w:tabs>
        <w:ind w:left="588"/>
        <w:rPr>
          <w:rFonts w:ascii="Arial"/>
          <w:b/>
          <w:sz w:val="22"/>
          <w:szCs w:val="24"/>
        </w:rPr>
      </w:pPr>
      <w:r>
        <w:rPr>
          <w:rFonts w:ascii="Arial"/>
          <w:b/>
          <w:sz w:val="22"/>
          <w:szCs w:val="24"/>
        </w:rPr>
        <w:t>-</w:t>
      </w:r>
      <w:r>
        <w:rPr>
          <w:rFonts w:ascii="Arial"/>
          <w:b/>
          <w:spacing w:val="-2"/>
          <w:sz w:val="22"/>
          <w:szCs w:val="24"/>
        </w:rPr>
        <w:t xml:space="preserve"> </w:t>
      </w:r>
      <w:r>
        <w:rPr>
          <w:rFonts w:ascii="Arial"/>
          <w:b/>
          <w:sz w:val="22"/>
          <w:szCs w:val="24"/>
        </w:rPr>
        <w:t>Dados</w:t>
      </w:r>
      <w:r>
        <w:rPr>
          <w:rFonts w:ascii="Arial"/>
          <w:b/>
          <w:spacing w:val="-2"/>
          <w:sz w:val="22"/>
          <w:szCs w:val="24"/>
        </w:rPr>
        <w:t xml:space="preserve"> </w:t>
      </w:r>
      <w:r>
        <w:rPr>
          <w:rFonts w:ascii="Arial"/>
          <w:b/>
          <w:sz w:val="22"/>
          <w:szCs w:val="24"/>
        </w:rPr>
        <w:t>gerais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443"/>
              <w:jc w:val="right"/>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semana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4"/>
              </w:rPr>
              <w:t xml:space="preserve"> </w:t>
            </w:r>
            <w:r>
              <w:rPr>
                <w:rFonts w:hint="default"/>
              </w:rPr>
              <w:t>ano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Distância</w:t>
            </w:r>
            <w:r>
              <w:rPr>
                <w:rFonts w:hint="default"/>
                <w:spacing w:val="-5"/>
              </w:rPr>
              <w:t xml:space="preserve"> </w:t>
            </w:r>
            <w:r>
              <w:rPr>
                <w:rFonts w:hint="default"/>
              </w:rPr>
              <w:t>percorrida</w:t>
            </w:r>
            <w:r>
              <w:rPr>
                <w:rFonts w:hint="default"/>
                <w:spacing w:val="-4"/>
              </w:rPr>
              <w:t xml:space="preserve"> </w:t>
            </w:r>
            <w:r>
              <w:rPr>
                <w:rFonts w:hint="default"/>
              </w:rPr>
              <w:t>por</w:t>
            </w:r>
            <w:r>
              <w:rPr>
                <w:rFonts w:hint="default"/>
                <w:spacing w:val="-3"/>
              </w:rPr>
              <w:t xml:space="preserve"> </w:t>
            </w:r>
            <w:r>
              <w:rPr>
                <w:rFonts w:hint="default"/>
              </w:rPr>
              <w:t>mês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tabs>
                <w:tab w:val="left" w:pos="943"/>
                <w:tab w:val="left" w:pos="1487"/>
                <w:tab w:val="left" w:pos="2716"/>
                <w:tab w:val="left" w:pos="3259"/>
                <w:tab w:val="left" w:pos="4514"/>
              </w:tabs>
              <w:spacing w:before="4"/>
              <w:ind w:right="56"/>
              <w:rPr>
                <w:rFonts w:hint="default"/>
              </w:rPr>
            </w:pPr>
            <w:r>
              <w:rPr>
                <w:rFonts w:hint="default"/>
              </w:rPr>
              <w:t>Custo</w:t>
            </w:r>
            <w:r>
              <w:rPr>
                <w:rFonts w:hint="default"/>
              </w:rPr>
              <w:tab/>
            </w:r>
            <w:r>
              <w:rPr>
                <w:rFonts w:hint="default"/>
              </w:rPr>
              <w:t>de</w:t>
            </w:r>
            <w:r>
              <w:rPr>
                <w:rFonts w:hint="default"/>
              </w:rPr>
              <w:tab/>
            </w:r>
            <w:r>
              <w:rPr>
                <w:rFonts w:hint="default"/>
              </w:rPr>
              <w:t>aquisição</w:t>
            </w:r>
            <w:r>
              <w:rPr>
                <w:rFonts w:hint="default"/>
              </w:rPr>
              <w:tab/>
            </w:r>
            <w:r>
              <w:rPr>
                <w:rFonts w:hint="default"/>
              </w:rPr>
              <w:t>de</w:t>
            </w:r>
            <w:r>
              <w:rPr>
                <w:rFonts w:hint="default"/>
              </w:rPr>
              <w:tab/>
            </w:r>
            <w:r>
              <w:rPr>
                <w:rFonts w:hint="default"/>
              </w:rPr>
              <w:t>caminhão</w:t>
            </w:r>
            <w:r>
              <w:rPr>
                <w:rFonts w:hint="default"/>
              </w:rPr>
              <w:tab/>
            </w:r>
            <w:r>
              <w:rPr>
                <w:rFonts w:hint="default"/>
                <w:spacing w:val="-1"/>
              </w:rPr>
              <w:t>com</w:t>
            </w:r>
            <w:r>
              <w:rPr>
                <w:rFonts w:hint="default"/>
                <w:spacing w:val="-59"/>
              </w:rPr>
              <w:t xml:space="preserve"> </w:t>
            </w:r>
            <w:r>
              <w:rPr>
                <w:rFonts w:hint="default"/>
              </w:rPr>
              <w:t>implemento</w:t>
            </w:r>
            <w:r>
              <w:rPr>
                <w:rFonts w:hint="default"/>
                <w:spacing w:val="-3"/>
              </w:rPr>
              <w:t xml:space="preserve"> </w:t>
            </w:r>
            <w:r>
              <w:rPr>
                <w:rFonts w:hint="default"/>
              </w:rPr>
              <w:t>poliguindaste</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36"/>
              <w:ind w:left="277" w:right="27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Quantidade</w:t>
            </w:r>
            <w:r>
              <w:rPr>
                <w:rFonts w:hint="default"/>
                <w:spacing w:val="-5"/>
              </w:rPr>
              <w:t xml:space="preserve"> </w:t>
            </w:r>
            <w:r>
              <w:rPr>
                <w:rFonts w:hint="default"/>
              </w:rPr>
              <w:t>de</w:t>
            </w:r>
            <w:r>
              <w:rPr>
                <w:rFonts w:hint="default"/>
                <w:spacing w:val="-3"/>
              </w:rPr>
              <w:t xml:space="preserve"> </w:t>
            </w:r>
            <w:r>
              <w:rPr>
                <w:rFonts w:hint="default"/>
              </w:rPr>
              <w:t>veículos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right="486"/>
              <w:jc w:val="right"/>
              <w:rPr>
                <w:rFonts w:hint="default"/>
              </w:rPr>
            </w:pPr>
            <w:r>
              <w:rPr>
                <w:rFonts w:hint="default"/>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bl>
    <w:p>
      <w:pPr>
        <w:pStyle w:val="21"/>
        <w:spacing w:before="7"/>
        <w:rPr>
          <w:rFonts w:ascii="Arial"/>
          <w:b/>
          <w:sz w:val="23"/>
          <w:szCs w:val="24"/>
        </w:rPr>
      </w:pPr>
    </w:p>
    <w:p>
      <w:pPr>
        <w:pStyle w:val="103"/>
        <w:numPr>
          <w:ilvl w:val="1"/>
          <w:numId w:val="16"/>
        </w:numPr>
        <w:tabs>
          <w:tab w:val="left" w:pos="580"/>
        </w:tabs>
        <w:spacing w:after="6"/>
        <w:ind w:left="588"/>
        <w:rPr>
          <w:rFonts w:ascii="Arial" w:hAnsi="Arial"/>
          <w:b/>
          <w:sz w:val="22"/>
          <w:szCs w:val="24"/>
        </w:rPr>
      </w:pPr>
      <w:r>
        <w:rPr>
          <w:rFonts w:ascii="Arial" w:hAnsi="Arial"/>
          <w:b/>
          <w:sz w:val="22"/>
          <w:szCs w:val="24"/>
        </w:rPr>
        <w:t>-</w:t>
      </w:r>
      <w:r>
        <w:rPr>
          <w:rFonts w:ascii="Arial" w:hAnsi="Arial"/>
          <w:b/>
          <w:spacing w:val="-3"/>
          <w:sz w:val="22"/>
          <w:szCs w:val="24"/>
        </w:rPr>
        <w:t xml:space="preserve"> </w:t>
      </w:r>
      <w:r>
        <w:rPr>
          <w:rFonts w:ascii="Arial" w:hAnsi="Arial"/>
          <w:b/>
          <w:sz w:val="22"/>
          <w:szCs w:val="24"/>
        </w:rPr>
        <w:t>Depreciação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Depreciação</w:t>
            </w:r>
            <w:r>
              <w:rPr>
                <w:rFonts w:hint="default"/>
                <w:spacing w:val="-4"/>
              </w:rPr>
              <w:t xml:space="preserve"> </w:t>
            </w:r>
            <w:r>
              <w:rPr>
                <w:rFonts w:hint="default"/>
              </w:rPr>
              <w:t>(60</w:t>
            </w:r>
            <w:r>
              <w:rPr>
                <w:rFonts w:hint="default"/>
                <w:spacing w:val="-4"/>
              </w:rPr>
              <w:t xml:space="preserve"> </w:t>
            </w:r>
            <w:r>
              <w:rPr>
                <w:rFonts w:hint="default"/>
              </w:rPr>
              <w:t>meses)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4"/>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Depreciação</w:t>
            </w:r>
            <w:r>
              <w:rPr>
                <w:rFonts w:hint="default"/>
                <w:spacing w:val="-4"/>
              </w:rPr>
              <w:t xml:space="preserve"> </w:t>
            </w:r>
            <w:r>
              <w:rPr>
                <w:rFonts w:hint="default"/>
              </w:rPr>
              <w:t>mensal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Depreciação</w:t>
            </w:r>
            <w:r>
              <w:rPr>
                <w:rFonts w:hint="default"/>
                <w:spacing w:val="-4"/>
              </w:rPr>
              <w:t xml:space="preserve"> </w:t>
            </w:r>
            <w:r>
              <w:rPr>
                <w:rFonts w:hint="default"/>
              </w:rPr>
              <w:t>mensal</w:t>
            </w:r>
            <w:r>
              <w:rPr>
                <w:rFonts w:hint="default"/>
                <w:spacing w:val="-6"/>
              </w:rPr>
              <w:t xml:space="preserve"> </w:t>
            </w:r>
            <w:r>
              <w:rPr>
                <w:rFonts w:hint="default"/>
              </w:rPr>
              <w:t>por</w:t>
            </w:r>
            <w:r>
              <w:rPr>
                <w:rFonts w:hint="default"/>
                <w:spacing w:val="-4"/>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pStyle w:val="21"/>
        <w:spacing w:before="7"/>
        <w:rPr>
          <w:rFonts w:ascii="Arial"/>
          <w:b/>
          <w:sz w:val="23"/>
          <w:szCs w:val="24"/>
        </w:rPr>
      </w:pPr>
    </w:p>
    <w:p>
      <w:pPr>
        <w:pStyle w:val="103"/>
        <w:numPr>
          <w:ilvl w:val="1"/>
          <w:numId w:val="16"/>
        </w:numPr>
        <w:tabs>
          <w:tab w:val="left" w:pos="580"/>
        </w:tabs>
        <w:spacing w:after="8"/>
        <w:ind w:left="588"/>
        <w:rPr>
          <w:rFonts w:ascii="Arial"/>
          <w:b/>
          <w:sz w:val="22"/>
          <w:szCs w:val="24"/>
        </w:rPr>
      </w:pPr>
      <w:r>
        <w:rPr>
          <w:rFonts w:ascii="Arial"/>
          <w:b/>
          <w:sz w:val="22"/>
          <w:szCs w:val="24"/>
        </w:rPr>
        <w:t>-</w:t>
      </w:r>
      <w:r>
        <w:rPr>
          <w:rFonts w:ascii="Arial"/>
          <w:b/>
          <w:spacing w:val="-3"/>
          <w:sz w:val="22"/>
          <w:szCs w:val="24"/>
        </w:rPr>
        <w:t xml:space="preserve"> </w:t>
      </w:r>
      <w:r>
        <w:rPr>
          <w:rFonts w:ascii="Arial"/>
          <w:b/>
          <w:sz w:val="22"/>
          <w:szCs w:val="24"/>
        </w:rPr>
        <w:t>Licenciamento</w:t>
      </w:r>
      <w:r>
        <w:rPr>
          <w:rFonts w:ascii="Arial"/>
          <w:b/>
          <w:spacing w:val="-3"/>
          <w:sz w:val="22"/>
          <w:szCs w:val="24"/>
        </w:rPr>
        <w:t xml:space="preserve"> </w:t>
      </w:r>
      <w:r>
        <w:rPr>
          <w:rFonts w:ascii="Arial"/>
          <w:b/>
          <w:sz w:val="22"/>
          <w:szCs w:val="24"/>
        </w:rPr>
        <w:t>e</w:t>
      </w:r>
      <w:r>
        <w:rPr>
          <w:rFonts w:ascii="Arial"/>
          <w:b/>
          <w:spacing w:val="-1"/>
          <w:sz w:val="22"/>
          <w:szCs w:val="24"/>
        </w:rPr>
        <w:t xml:space="preserve"> </w:t>
      </w:r>
      <w:r>
        <w:rPr>
          <w:rFonts w:ascii="Arial"/>
          <w:b/>
          <w:sz w:val="22"/>
          <w:szCs w:val="24"/>
        </w:rPr>
        <w:t>Seguro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562"/>
              <w:jc w:val="right"/>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Seguro</w:t>
            </w:r>
            <w:r>
              <w:rPr>
                <w:rFonts w:hint="default"/>
                <w:spacing w:val="-6"/>
              </w:rPr>
              <w:t xml:space="preserve"> </w:t>
            </w:r>
            <w:r>
              <w:rPr>
                <w:rFonts w:hint="default"/>
              </w:rPr>
              <w:t>Obrigatório</w:t>
            </w:r>
            <w:r>
              <w:rPr>
                <w:rFonts w:hint="default"/>
                <w:spacing w:val="-5"/>
              </w:rPr>
              <w:t xml:space="preserve"> </w:t>
            </w:r>
            <w:r>
              <w:rPr>
                <w:rFonts w:hint="default"/>
              </w:rPr>
              <w:t>+</w:t>
            </w:r>
            <w:r>
              <w:rPr>
                <w:rFonts w:hint="default"/>
                <w:spacing w:val="-4"/>
              </w:rPr>
              <w:t xml:space="preserve"> </w:t>
            </w:r>
            <w:r>
              <w:rPr>
                <w:rFonts w:hint="default"/>
              </w:rPr>
              <w:t>Licenciamento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561"/>
              <w:jc w:val="righ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IPVA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499"/>
              <w:jc w:val="righ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Seguro</w:t>
            </w:r>
            <w:r>
              <w:rPr>
                <w:rFonts w:hint="default"/>
                <w:spacing w:val="-4"/>
              </w:rPr>
              <w:t xml:space="preserve"> </w:t>
            </w:r>
            <w:r>
              <w:rPr>
                <w:rFonts w:hint="default"/>
              </w:rPr>
              <w:t>contra</w:t>
            </w:r>
            <w:r>
              <w:rPr>
                <w:rFonts w:hint="default"/>
                <w:spacing w:val="-4"/>
              </w:rPr>
              <w:t xml:space="preserve"> </w:t>
            </w:r>
            <w:r>
              <w:rPr>
                <w:rFonts w:hint="default"/>
              </w:rPr>
              <w:t>terceiros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right="499"/>
              <w:jc w:val="righ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Total</w:t>
            </w:r>
            <w:r>
              <w:rPr>
                <w:rFonts w:hint="default"/>
                <w:spacing w:val="-5"/>
              </w:rPr>
              <w:t xml:space="preserve"> </w:t>
            </w:r>
            <w:r>
              <w:rPr>
                <w:rFonts w:hint="default"/>
              </w:rPr>
              <w:t>de</w:t>
            </w:r>
            <w:r>
              <w:rPr>
                <w:rFonts w:hint="default"/>
                <w:spacing w:val="-1"/>
              </w:rPr>
              <w:t xml:space="preserve"> </w:t>
            </w:r>
            <w:r>
              <w:rPr>
                <w:rFonts w:hint="default"/>
              </w:rPr>
              <w:t>licenciamento</w:t>
            </w:r>
            <w:r>
              <w:rPr>
                <w:rFonts w:hint="default"/>
                <w:spacing w:val="-3"/>
              </w:rPr>
              <w:t xml:space="preserve"> </w:t>
            </w:r>
            <w:r>
              <w:rPr>
                <w:rFonts w:hint="default"/>
              </w:rPr>
              <w:t>e</w:t>
            </w:r>
            <w:r>
              <w:rPr>
                <w:rFonts w:hint="default"/>
                <w:spacing w:val="-3"/>
              </w:rPr>
              <w:t xml:space="preserve"> </w:t>
            </w:r>
            <w:r>
              <w:rPr>
                <w:rFonts w:hint="default"/>
              </w:rPr>
              <w:t>seguro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right="499"/>
              <w:jc w:val="right"/>
              <w:rPr>
                <w:rFonts w:hint="default"/>
              </w:rPr>
            </w:pPr>
          </w:p>
        </w:tc>
      </w:tr>
    </w:tbl>
    <w:p>
      <w:pPr>
        <w:pStyle w:val="21"/>
        <w:spacing w:before="7"/>
        <w:rPr>
          <w:rFonts w:ascii="Arial"/>
          <w:b/>
          <w:sz w:val="23"/>
          <w:szCs w:val="24"/>
        </w:rPr>
      </w:pPr>
    </w:p>
    <w:p>
      <w:pPr>
        <w:pStyle w:val="103"/>
        <w:numPr>
          <w:ilvl w:val="1"/>
          <w:numId w:val="16"/>
        </w:numPr>
        <w:tabs>
          <w:tab w:val="left" w:pos="580"/>
        </w:tabs>
        <w:ind w:left="588"/>
        <w:rPr>
          <w:rFonts w:ascii="Arial" w:hAnsi="Arial"/>
          <w:b/>
          <w:sz w:val="22"/>
          <w:szCs w:val="24"/>
        </w:rPr>
      </w:pPr>
      <w:r>
        <w:rPr>
          <w:rFonts w:ascii="Arial" w:hAnsi="Arial"/>
          <w:b/>
          <w:sz w:val="22"/>
          <w:szCs w:val="24"/>
        </w:rPr>
        <w:t>-</w:t>
      </w:r>
      <w:r>
        <w:rPr>
          <w:rFonts w:ascii="Arial" w:hAnsi="Arial"/>
          <w:b/>
          <w:spacing w:val="-2"/>
          <w:sz w:val="22"/>
          <w:szCs w:val="24"/>
        </w:rPr>
        <w:t xml:space="preserve"> </w:t>
      </w:r>
      <w:r>
        <w:rPr>
          <w:rFonts w:ascii="Arial" w:hAnsi="Arial"/>
          <w:b/>
          <w:sz w:val="22"/>
          <w:szCs w:val="24"/>
        </w:rPr>
        <w:t>Remuneração</w:t>
      </w:r>
      <w:r>
        <w:rPr>
          <w:rFonts w:ascii="Arial" w:hAnsi="Arial"/>
          <w:b/>
          <w:spacing w:val="-3"/>
          <w:sz w:val="22"/>
          <w:szCs w:val="24"/>
        </w:rPr>
        <w:t xml:space="preserve"> </w:t>
      </w:r>
      <w:r>
        <w:rPr>
          <w:rFonts w:ascii="Arial" w:hAnsi="Arial"/>
          <w:b/>
          <w:sz w:val="22"/>
          <w:szCs w:val="24"/>
        </w:rPr>
        <w:t>do</w:t>
      </w:r>
      <w:r>
        <w:rPr>
          <w:rFonts w:ascii="Arial" w:hAnsi="Arial"/>
          <w:b/>
          <w:spacing w:val="-1"/>
          <w:sz w:val="22"/>
          <w:szCs w:val="24"/>
        </w:rPr>
        <w:t xml:space="preserve"> </w:t>
      </w:r>
      <w:r>
        <w:rPr>
          <w:rFonts w:ascii="Arial" w:hAnsi="Arial"/>
          <w:b/>
          <w:sz w:val="22"/>
          <w:szCs w:val="24"/>
        </w:rPr>
        <w:t>Capital</w:t>
      </w:r>
      <w:r>
        <w:rPr>
          <w:rFonts w:ascii="Arial" w:hAnsi="Arial"/>
          <w:b/>
          <w:spacing w:val="-4"/>
          <w:sz w:val="22"/>
          <w:szCs w:val="24"/>
        </w:rPr>
        <w:t xml:space="preserve"> </w:t>
      </w:r>
      <w:r>
        <w:rPr>
          <w:rFonts w:ascii="Arial" w:hAnsi="Arial"/>
          <w:b/>
          <w:sz w:val="22"/>
          <w:szCs w:val="24"/>
        </w:rPr>
        <w:t>Investido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Remuneração</w:t>
            </w:r>
            <w:r>
              <w:rPr>
                <w:rFonts w:hint="default"/>
                <w:spacing w:val="-5"/>
              </w:rPr>
              <w:t xml:space="preserve"> </w:t>
            </w:r>
            <w:r>
              <w:rPr>
                <w:rFonts w:hint="default"/>
              </w:rPr>
              <w:t>Mensal</w:t>
            </w:r>
            <w:r>
              <w:rPr>
                <w:rFonts w:hint="default"/>
                <w:spacing w:val="-2"/>
              </w:rPr>
              <w:t xml:space="preserve"> </w:t>
            </w:r>
            <w:r>
              <w:rPr>
                <w:rFonts w:hint="default"/>
              </w:rPr>
              <w:t>do</w:t>
            </w:r>
            <w:r>
              <w:rPr>
                <w:rFonts w:hint="default"/>
                <w:spacing w:val="-3"/>
              </w:rPr>
              <w:t xml:space="preserve"> </w:t>
            </w:r>
            <w:r>
              <w:rPr>
                <w:rFonts w:hint="default"/>
              </w:rPr>
              <w:t>Capital</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8"/>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6"/>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Remuneração</w:t>
            </w:r>
            <w:r>
              <w:rPr>
                <w:rFonts w:hint="default"/>
                <w:spacing w:val="-5"/>
              </w:rPr>
              <w:t xml:space="preserve"> </w:t>
            </w:r>
            <w:r>
              <w:rPr>
                <w:rFonts w:hint="default"/>
              </w:rPr>
              <w:t>Mensal</w:t>
            </w:r>
            <w:r>
              <w:rPr>
                <w:rFonts w:hint="default"/>
                <w:spacing w:val="-3"/>
              </w:rPr>
              <w:t xml:space="preserve"> </w:t>
            </w:r>
            <w:r>
              <w:rPr>
                <w:rFonts w:hint="default"/>
              </w:rPr>
              <w:t>do</w:t>
            </w:r>
            <w:r>
              <w:rPr>
                <w:rFonts w:hint="default"/>
                <w:spacing w:val="-2"/>
              </w:rPr>
              <w:t xml:space="preserve"> </w:t>
            </w:r>
            <w:r>
              <w:rPr>
                <w:rFonts w:hint="default"/>
              </w:rPr>
              <w:t>Capital</w:t>
            </w:r>
            <w:r>
              <w:rPr>
                <w:rFonts w:hint="default"/>
                <w:spacing w:val="-6"/>
              </w:rPr>
              <w:t xml:space="preserve"> </w:t>
            </w:r>
            <w:r>
              <w:rPr>
                <w:rFonts w:hint="default"/>
              </w:rPr>
              <w:t>por</w:t>
            </w:r>
            <w:r>
              <w:rPr>
                <w:rFonts w:hint="default"/>
                <w:spacing w:val="-3"/>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bl>
    <w:p>
      <w:pPr>
        <w:pStyle w:val="21"/>
        <w:spacing w:before="7"/>
        <w:rPr>
          <w:rFonts w:ascii="Arial"/>
          <w:b/>
          <w:sz w:val="23"/>
          <w:szCs w:val="24"/>
        </w:rPr>
      </w:pPr>
    </w:p>
    <w:p>
      <w:pPr>
        <w:pStyle w:val="21"/>
        <w:spacing w:before="7"/>
        <w:rPr>
          <w:rFonts w:ascii="Arial"/>
          <w:b/>
          <w:sz w:val="23"/>
          <w:szCs w:val="24"/>
        </w:rPr>
      </w:pPr>
    </w:p>
    <w:p>
      <w:pPr>
        <w:pStyle w:val="103"/>
        <w:numPr>
          <w:ilvl w:val="1"/>
          <w:numId w:val="16"/>
        </w:numPr>
        <w:tabs>
          <w:tab w:val="left" w:pos="580"/>
        </w:tabs>
        <w:ind w:left="588"/>
        <w:rPr>
          <w:rFonts w:ascii="Arial" w:hAnsi="Arial"/>
          <w:b/>
          <w:sz w:val="22"/>
          <w:szCs w:val="24"/>
        </w:rPr>
      </w:pPr>
      <w:r>
        <w:rPr>
          <w:rFonts w:ascii="Arial" w:hAnsi="Arial"/>
          <w:b/>
          <w:sz w:val="22"/>
          <w:szCs w:val="24"/>
        </w:rPr>
        <w:t>-</w:t>
      </w:r>
      <w:r>
        <w:rPr>
          <w:rFonts w:ascii="Arial" w:hAnsi="Arial"/>
          <w:b/>
          <w:spacing w:val="-2"/>
          <w:sz w:val="22"/>
          <w:szCs w:val="24"/>
        </w:rPr>
        <w:t xml:space="preserve"> </w:t>
      </w:r>
      <w:r>
        <w:rPr>
          <w:rFonts w:ascii="Arial" w:hAnsi="Arial"/>
          <w:b/>
          <w:sz w:val="22"/>
          <w:szCs w:val="24"/>
        </w:rPr>
        <w:t>Manutenção</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Vida</w:t>
            </w:r>
            <w:r>
              <w:rPr>
                <w:rFonts w:hint="default"/>
                <w:spacing w:val="-2"/>
              </w:rPr>
              <w:t xml:space="preserve"> </w:t>
            </w:r>
            <w:r>
              <w:rPr>
                <w:rFonts w:hint="default"/>
              </w:rPr>
              <w:t>útil</w:t>
            </w:r>
            <w:r>
              <w:rPr>
                <w:rFonts w:hint="default"/>
                <w:spacing w:val="-5"/>
              </w:rPr>
              <w:t xml:space="preserve"> </w:t>
            </w:r>
            <w:r>
              <w:rPr>
                <w:rFonts w:hint="default"/>
              </w:rPr>
              <w:t>do</w:t>
            </w:r>
            <w:r>
              <w:rPr>
                <w:rFonts w:hint="default"/>
                <w:spacing w:val="-2"/>
              </w:rPr>
              <w:t xml:space="preserve"> </w:t>
            </w:r>
            <w:r>
              <w:rPr>
                <w:rFonts w:hint="default"/>
              </w:rPr>
              <w:t>caminhão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2" w:right="426"/>
              <w:rPr>
                <w:rFonts w:hint="default"/>
              </w:rPr>
            </w:pPr>
            <w:r>
              <w:rPr>
                <w:rFonts w:hint="default"/>
              </w:rPr>
              <w:t>anos</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Coeficiente</w:t>
            </w:r>
            <w:r>
              <w:rPr>
                <w:rFonts w:hint="default"/>
                <w:spacing w:val="-5"/>
              </w:rPr>
              <w:t xml:space="preserve"> </w:t>
            </w:r>
            <w:r>
              <w:rPr>
                <w:rFonts w:hint="default"/>
              </w:rPr>
              <w:t>de</w:t>
            </w:r>
            <w:r>
              <w:rPr>
                <w:rFonts w:hint="default"/>
                <w:spacing w:val="-4"/>
              </w:rPr>
              <w:t xml:space="preserve"> </w:t>
            </w:r>
            <w:r>
              <w:rPr>
                <w:rFonts w:hint="default"/>
              </w:rPr>
              <w:t>manutenção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10"/>
              <w:rPr>
                <w:rFonts w:hint="default"/>
              </w:rPr>
            </w:pPr>
            <w:r>
              <w:rPr>
                <w:rFonts w:hint="default"/>
              </w:rPr>
              <w:t>-</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Custo</w:t>
            </w:r>
            <w:r>
              <w:rPr>
                <w:rFonts w:hint="default"/>
                <w:spacing w:val="-4"/>
              </w:rPr>
              <w:t xml:space="preserve"> </w:t>
            </w:r>
            <w:r>
              <w:rPr>
                <w:rFonts w:hint="default"/>
              </w:rPr>
              <w:t>de</w:t>
            </w:r>
            <w:r>
              <w:rPr>
                <w:rFonts w:hint="default"/>
                <w:spacing w:val="-4"/>
              </w:rPr>
              <w:t xml:space="preserve"> </w:t>
            </w:r>
            <w:r>
              <w:rPr>
                <w:rFonts w:hint="default"/>
              </w:rPr>
              <w:t>manutenção</w:t>
            </w:r>
            <w:r>
              <w:rPr>
                <w:rFonts w:hint="default"/>
                <w:spacing w:val="-3"/>
              </w:rPr>
              <w:t xml:space="preserve"> </w:t>
            </w:r>
            <w:r>
              <w:rPr>
                <w:rFonts w:hint="default"/>
              </w:rPr>
              <w:t>mensal</w:t>
            </w:r>
            <w:r>
              <w:rPr>
                <w:rFonts w:hint="default"/>
                <w:spacing w:val="-5"/>
              </w:rPr>
              <w:t xml:space="preserve"> </w:t>
            </w:r>
            <w:r>
              <w:rPr>
                <w:rFonts w:hint="default"/>
              </w:rPr>
              <w:t>por</w:t>
            </w:r>
            <w:r>
              <w:rPr>
                <w:rFonts w:hint="default"/>
                <w:spacing w:val="-2"/>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bl>
    <w:p>
      <w:pPr>
        <w:pStyle w:val="103"/>
        <w:tabs>
          <w:tab w:val="left" w:pos="580"/>
        </w:tabs>
        <w:ind w:left="0"/>
        <w:rPr>
          <w:rFonts w:ascii="Arial" w:hAnsi="Arial"/>
          <w:b/>
          <w:sz w:val="22"/>
          <w:szCs w:val="24"/>
        </w:rPr>
      </w:pPr>
    </w:p>
    <w:p>
      <w:pPr>
        <w:pStyle w:val="103"/>
        <w:numPr>
          <w:ilvl w:val="1"/>
          <w:numId w:val="16"/>
        </w:numPr>
        <w:tabs>
          <w:tab w:val="left" w:pos="580"/>
        </w:tabs>
        <w:ind w:left="588"/>
        <w:rPr>
          <w:rFonts w:ascii="Arial" w:hAnsi="Arial"/>
          <w:b/>
          <w:sz w:val="22"/>
          <w:szCs w:val="24"/>
        </w:rPr>
      </w:pPr>
      <w:r>
        <w:rPr>
          <w:rFonts w:ascii="Arial" w:hAnsi="Arial"/>
          <w:b/>
          <w:sz w:val="22"/>
          <w:szCs w:val="24"/>
        </w:rPr>
        <w:t>- Pneu</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6"/>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Número</w:t>
            </w:r>
            <w:r>
              <w:rPr>
                <w:rFonts w:hint="default"/>
                <w:spacing w:val="-4"/>
              </w:rPr>
              <w:t xml:space="preserve"> </w:t>
            </w:r>
            <w:r>
              <w:rPr>
                <w:rFonts w:hint="default"/>
              </w:rPr>
              <w:t>de</w:t>
            </w:r>
            <w:r>
              <w:rPr>
                <w:rFonts w:hint="default"/>
                <w:spacing w:val="-1"/>
              </w:rPr>
              <w:t xml:space="preserve"> </w:t>
            </w:r>
            <w:r>
              <w:rPr>
                <w:rFonts w:hint="default"/>
              </w:rPr>
              <w:t>pneus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rPr>
                <w:rFonts w:hint="default"/>
              </w:rPr>
            </w:pPr>
            <w:r>
              <w:rPr>
                <w:rFonts w:hint="default"/>
              </w:rPr>
              <w:t>Preço</w:t>
            </w:r>
            <w:r>
              <w:rPr>
                <w:rFonts w:hint="default"/>
                <w:spacing w:val="-3"/>
              </w:rPr>
              <w:t xml:space="preserve"> </w:t>
            </w:r>
            <w:r>
              <w:rPr>
                <w:rFonts w:hint="default"/>
              </w:rPr>
              <w:t>pneu</w:t>
            </w:r>
            <w:r>
              <w:rPr>
                <w:rFonts w:hint="default"/>
                <w:spacing w:val="-4"/>
              </w:rPr>
              <w:t xml:space="preserve"> </w:t>
            </w:r>
            <w:r>
              <w:rPr>
                <w:rFonts w:hint="default"/>
              </w:rPr>
              <w:t>novo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3"/>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Vida</w:t>
            </w:r>
            <w:r>
              <w:rPr>
                <w:rFonts w:hint="default"/>
                <w:spacing w:val="-2"/>
              </w:rPr>
              <w:t xml:space="preserve"> </w:t>
            </w:r>
            <w:r>
              <w:rPr>
                <w:rFonts w:hint="default"/>
              </w:rPr>
              <w:t>útil</w:t>
            </w:r>
            <w:r>
              <w:rPr>
                <w:rFonts w:hint="default"/>
                <w:spacing w:val="-4"/>
              </w:rPr>
              <w:t xml:space="preserve"> </w:t>
            </w:r>
            <w:r>
              <w:rPr>
                <w:rFonts w:hint="default"/>
              </w:rPr>
              <w:t>do</w:t>
            </w:r>
            <w:r>
              <w:rPr>
                <w:rFonts w:hint="default"/>
                <w:spacing w:val="-2"/>
              </w:rPr>
              <w:t xml:space="preserve"> </w:t>
            </w:r>
            <w:r>
              <w:rPr>
                <w:rFonts w:hint="default"/>
              </w:rPr>
              <w:t>pneu</w:t>
            </w:r>
            <w:r>
              <w:rPr>
                <w:rFonts w:hint="default"/>
                <w:spacing w:val="-3"/>
              </w:rPr>
              <w:t xml:space="preserve"> </w:t>
            </w:r>
            <w:r>
              <w:rPr>
                <w:rFonts w:hint="default"/>
              </w:rPr>
              <w:t>novo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5" w:right="425"/>
              <w:rPr>
                <w:rFonts w:hint="default"/>
              </w:rPr>
            </w:pPr>
            <w:r>
              <w:rPr>
                <w:rFonts w:hint="default"/>
              </w:rPr>
              <w:t>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8"/>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rPr>
                <w:rFonts w:hint="default"/>
              </w:rPr>
            </w:pPr>
            <w:r>
              <w:rPr>
                <w:rFonts w:hint="default"/>
              </w:rPr>
              <w:t>Preço</w:t>
            </w:r>
            <w:r>
              <w:rPr>
                <w:rFonts w:hint="default"/>
                <w:spacing w:val="56"/>
              </w:rPr>
              <w:t xml:space="preserve"> </w:t>
            </w:r>
            <w:r>
              <w:rPr>
                <w:rFonts w:hint="default"/>
              </w:rPr>
              <w:t>dos</w:t>
            </w:r>
            <w:r>
              <w:rPr>
                <w:rFonts w:hint="default"/>
                <w:spacing w:val="56"/>
              </w:rPr>
              <w:t xml:space="preserve"> </w:t>
            </w:r>
            <w:r>
              <w:rPr>
                <w:rFonts w:hint="default"/>
              </w:rPr>
              <w:t>pneus</w:t>
            </w:r>
            <w:r>
              <w:rPr>
                <w:rFonts w:hint="default"/>
                <w:spacing w:val="56"/>
              </w:rPr>
              <w:t xml:space="preserve"> </w:t>
            </w:r>
            <w:r>
              <w:rPr>
                <w:rFonts w:hint="default"/>
              </w:rPr>
              <w:t>e</w:t>
            </w:r>
            <w:r>
              <w:rPr>
                <w:rFonts w:hint="default"/>
                <w:spacing w:val="56"/>
              </w:rPr>
              <w:t xml:space="preserve"> </w:t>
            </w:r>
            <w:r>
              <w:rPr>
                <w:rFonts w:hint="default"/>
              </w:rPr>
              <w:t>recauchutagem</w:t>
            </w:r>
            <w:r>
              <w:rPr>
                <w:rFonts w:hint="default"/>
                <w:spacing w:val="55"/>
              </w:rPr>
              <w:t xml:space="preserve"> </w:t>
            </w:r>
            <w:r>
              <w:rPr>
                <w:rFonts w:hint="default"/>
              </w:rPr>
              <w:t>por</w:t>
            </w:r>
            <w:r>
              <w:rPr>
                <w:rFonts w:hint="default"/>
                <w:spacing w:val="57"/>
              </w:rPr>
              <w:t xml:space="preserve"> </w:t>
            </w:r>
            <w:r>
              <w:rPr>
                <w:rFonts w:hint="default"/>
              </w:rPr>
              <w:t>km</w:t>
            </w:r>
            <w:r>
              <w:rPr>
                <w:rFonts w:hint="default"/>
                <w:spacing w:val="-59"/>
              </w:rPr>
              <w:t xml:space="preserve"> </w:t>
            </w:r>
            <w:r>
              <w:rPr>
                <w:rFonts w:hint="default"/>
              </w:rPr>
              <w:t>rodado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5"/>
              <w:ind w:left="435" w:right="422"/>
              <w:rPr>
                <w:rFonts w:hint="default"/>
              </w:rPr>
            </w:pPr>
            <w:r>
              <w:rPr>
                <w:rFonts w:hint="default"/>
              </w:rPr>
              <w:t>R$/km</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2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Custo</w:t>
            </w:r>
            <w:r>
              <w:rPr>
                <w:rFonts w:hint="default"/>
                <w:spacing w:val="4"/>
              </w:rPr>
              <w:t xml:space="preserve"> </w:t>
            </w:r>
            <w:r>
              <w:rPr>
                <w:rFonts w:hint="default"/>
              </w:rPr>
              <w:t>de</w:t>
            </w:r>
            <w:r>
              <w:rPr>
                <w:rFonts w:hint="default"/>
                <w:spacing w:val="65"/>
              </w:rPr>
              <w:t xml:space="preserve"> </w:t>
            </w:r>
            <w:r>
              <w:rPr>
                <w:rFonts w:hint="default"/>
              </w:rPr>
              <w:t>pneus</w:t>
            </w:r>
            <w:r>
              <w:rPr>
                <w:rFonts w:hint="default"/>
                <w:spacing w:val="67"/>
              </w:rPr>
              <w:t xml:space="preserve"> </w:t>
            </w:r>
            <w:r>
              <w:rPr>
                <w:rFonts w:hint="default"/>
              </w:rPr>
              <w:t>e</w:t>
            </w:r>
            <w:r>
              <w:rPr>
                <w:rFonts w:hint="default"/>
                <w:spacing w:val="64"/>
              </w:rPr>
              <w:t xml:space="preserve"> </w:t>
            </w:r>
            <w:r>
              <w:rPr>
                <w:rFonts w:hint="default"/>
              </w:rPr>
              <w:t>recauchutagem</w:t>
            </w:r>
            <w:r>
              <w:rPr>
                <w:rFonts w:hint="default"/>
                <w:spacing w:val="65"/>
              </w:rPr>
              <w:t xml:space="preserve"> </w:t>
            </w:r>
            <w:r>
              <w:rPr>
                <w:rFonts w:hint="default"/>
              </w:rPr>
              <w:t>mensal</w:t>
            </w:r>
            <w:r>
              <w:rPr>
                <w:rFonts w:hint="default"/>
                <w:spacing w:val="63"/>
              </w:rPr>
              <w:t xml:space="preserve"> </w:t>
            </w:r>
            <w:r>
              <w:rPr>
                <w:rFonts w:hint="default"/>
              </w:rPr>
              <w:t>por 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bl>
    <w:p>
      <w:pPr>
        <w:pStyle w:val="103"/>
        <w:tabs>
          <w:tab w:val="left" w:pos="580"/>
        </w:tabs>
        <w:ind w:left="0"/>
        <w:rPr>
          <w:rFonts w:ascii="Arial" w:hAnsi="Arial"/>
          <w:b/>
          <w:sz w:val="22"/>
          <w:szCs w:val="24"/>
        </w:rPr>
      </w:pPr>
    </w:p>
    <w:p>
      <w:pPr>
        <w:pStyle w:val="103"/>
        <w:numPr>
          <w:ilvl w:val="1"/>
          <w:numId w:val="16"/>
        </w:numPr>
        <w:tabs>
          <w:tab w:val="left" w:pos="580"/>
        </w:tabs>
        <w:ind w:left="588"/>
        <w:rPr>
          <w:rFonts w:ascii="Arial" w:hAnsi="Arial"/>
          <w:b/>
          <w:sz w:val="22"/>
          <w:szCs w:val="24"/>
        </w:rPr>
      </w:pPr>
      <w:r>
        <w:rPr>
          <w:rFonts w:ascii="Arial" w:hAnsi="Arial"/>
          <w:b/>
          <w:sz w:val="22"/>
          <w:szCs w:val="24"/>
        </w:rPr>
        <w:t>- Consumos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3"/>
        <w:gridCol w:w="204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ind w:left="1952" w:right="1945"/>
              <w:rPr>
                <w:rFonts w:hint="default"/>
                <w:b/>
              </w:rPr>
            </w:pPr>
            <w:r>
              <w:rPr>
                <w:rFonts w:hint="default"/>
                <w:b/>
              </w:rPr>
              <w:t>Descrição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ind w:right="443"/>
              <w:jc w:val="right"/>
              <w:rPr>
                <w:rFonts w:hint="default"/>
                <w:b/>
              </w:rPr>
            </w:pPr>
            <w:r>
              <w:rPr>
                <w:rFonts w:hint="default"/>
                <w:b/>
              </w:rPr>
              <w:t>Unidade</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6"/>
              <w:ind w:left="277" w:right="269"/>
              <w:rPr>
                <w:rFonts w:hint="default"/>
                <w:b/>
              </w:rPr>
            </w:pPr>
            <w:r>
              <w:rPr>
                <w:rFonts w:hint="default"/>
                <w:b/>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Custo</w:t>
            </w:r>
            <w:r>
              <w:rPr>
                <w:rFonts w:hint="default"/>
                <w:spacing w:val="-5"/>
              </w:rPr>
              <w:t xml:space="preserve"> </w:t>
            </w:r>
            <w:r>
              <w:rPr>
                <w:rFonts w:hint="default"/>
              </w:rPr>
              <w:t>gasolina</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rPr>
                <w:rFonts w:hint="default"/>
              </w:rPr>
            </w:pPr>
            <w:r>
              <w:rPr>
                <w:rFonts w:hint="default"/>
              </w:rPr>
              <w:t>Consumo</w:t>
            </w:r>
            <w:r>
              <w:rPr>
                <w:rFonts w:hint="default"/>
                <w:spacing w:val="-3"/>
              </w:rPr>
              <w:t xml:space="preserve"> </w:t>
            </w:r>
            <w:r>
              <w:rPr>
                <w:rFonts w:hint="default"/>
              </w:rPr>
              <w:t>por</w:t>
            </w:r>
            <w:r>
              <w:rPr>
                <w:rFonts w:hint="default"/>
                <w:spacing w:val="-4"/>
              </w:rPr>
              <w:t xml:space="preserve"> </w:t>
            </w:r>
            <w:r>
              <w:rPr>
                <w:rFonts w:hint="default"/>
              </w:rPr>
              <w:t>km</w:t>
            </w:r>
            <w:r>
              <w:rPr>
                <w:rFonts w:hint="default"/>
                <w:spacing w:val="-1"/>
              </w:rPr>
              <w:t xml:space="preserve"> </w:t>
            </w:r>
            <w:r>
              <w:rPr>
                <w:rFonts w:hint="default"/>
              </w:rPr>
              <w:t>rodado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right="503"/>
              <w:jc w:val="right"/>
              <w:rPr>
                <w:rFonts w:hint="default"/>
              </w:rPr>
            </w:pPr>
            <w:r>
              <w:rPr>
                <w:rFonts w:hint="default"/>
              </w:rPr>
              <w:t>Km/litro</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5"/>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Consumo</w:t>
            </w:r>
            <w:r>
              <w:rPr>
                <w:rFonts w:hint="default"/>
                <w:spacing w:val="-5"/>
              </w:rPr>
              <w:t xml:space="preserve"> </w:t>
            </w:r>
            <w:r>
              <w:rPr>
                <w:rFonts w:hint="default"/>
              </w:rPr>
              <w:t>médio</w:t>
            </w:r>
            <w:r>
              <w:rPr>
                <w:rFonts w:hint="default"/>
                <w:spacing w:val="-2"/>
              </w:rPr>
              <w:t xml:space="preserve"> </w:t>
            </w:r>
            <w:r>
              <w:rPr>
                <w:rFonts w:hint="default"/>
              </w:rPr>
              <w:t>mensal</w:t>
            </w:r>
            <w:r>
              <w:rPr>
                <w:rFonts w:hint="default"/>
                <w:spacing w:val="-2"/>
              </w:rPr>
              <w:t xml:space="preserve"> </w:t>
            </w:r>
            <w:r>
              <w:rPr>
                <w:rFonts w:hint="default"/>
              </w:rPr>
              <w:t>por</w:t>
            </w:r>
            <w:r>
              <w:rPr>
                <w:rFonts w:hint="default"/>
                <w:spacing w:val="-4"/>
              </w:rPr>
              <w:t xml:space="preserve"> </w:t>
            </w:r>
            <w:r>
              <w:rPr>
                <w:rFonts w:hint="default"/>
              </w:rPr>
              <w:t>veículo</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5" w:right="424"/>
              <w:rPr>
                <w:rFonts w:hint="default"/>
              </w:rPr>
            </w:pPr>
            <w:r>
              <w:rPr>
                <w:rFonts w:hint="default"/>
              </w:rPr>
              <w:t>Litros</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94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rPr>
                <w:rFonts w:hint="default"/>
              </w:rPr>
            </w:pPr>
            <w:r>
              <w:rPr>
                <w:rFonts w:hint="default"/>
              </w:rPr>
              <w:t>Custo</w:t>
            </w:r>
            <w:r>
              <w:rPr>
                <w:rFonts w:hint="default"/>
                <w:spacing w:val="-3"/>
              </w:rPr>
              <w:t xml:space="preserve"> </w:t>
            </w:r>
            <w:r>
              <w:rPr>
                <w:rFonts w:hint="default"/>
              </w:rPr>
              <w:t>com</w:t>
            </w:r>
            <w:r>
              <w:rPr>
                <w:rFonts w:hint="default"/>
                <w:spacing w:val="-4"/>
              </w:rPr>
              <w:t xml:space="preserve"> </w:t>
            </w:r>
            <w:r>
              <w:rPr>
                <w:rFonts w:hint="default"/>
              </w:rPr>
              <w:t>diesel</w:t>
            </w:r>
            <w:r>
              <w:rPr>
                <w:rFonts w:hint="default"/>
                <w:spacing w:val="-1"/>
              </w:rPr>
              <w:t xml:space="preserve"> </w:t>
            </w:r>
            <w:r>
              <w:rPr>
                <w:rFonts w:hint="default"/>
              </w:rPr>
              <w:t>por</w:t>
            </w:r>
            <w:r>
              <w:rPr>
                <w:rFonts w:hint="default"/>
                <w:spacing w:val="-2"/>
              </w:rPr>
              <w:t xml:space="preserve"> </w:t>
            </w:r>
            <w:r>
              <w:rPr>
                <w:rFonts w:hint="default"/>
              </w:rPr>
              <w:t>veículo</w:t>
            </w:r>
            <w:r>
              <w:rPr>
                <w:rFonts w:hint="default"/>
                <w:spacing w:val="-3"/>
              </w:rPr>
              <w:t xml:space="preserve"> </w:t>
            </w:r>
            <w:r>
              <w:rPr>
                <w:rFonts w:hint="default"/>
              </w:rPr>
              <w:t>por</w:t>
            </w:r>
            <w:r>
              <w:rPr>
                <w:rFonts w:hint="default"/>
                <w:spacing w:val="-1"/>
              </w:rPr>
              <w:t xml:space="preserve"> </w:t>
            </w:r>
            <w:r>
              <w:rPr>
                <w:rFonts w:hint="default"/>
              </w:rPr>
              <w:t>mês</w:t>
            </w:r>
          </w:p>
        </w:tc>
        <w:tc>
          <w:tcPr>
            <w:tcW w:w="1050"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433" w:right="426"/>
              <w:rPr>
                <w:rFonts w:hint="default"/>
              </w:rPr>
            </w:pPr>
            <w:r>
              <w:rPr>
                <w:rFonts w:hint="default"/>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4"/>
              <w:ind w:left="277" w:right="265"/>
              <w:rPr>
                <w:rFonts w:hint="default"/>
              </w:rPr>
            </w:pPr>
          </w:p>
        </w:tc>
      </w:tr>
    </w:tbl>
    <w:p>
      <w:pPr>
        <w:pStyle w:val="21"/>
        <w:spacing w:before="7"/>
        <w:rPr>
          <w:rFonts w:ascii="Arial"/>
          <w:b/>
          <w:sz w:val="23"/>
          <w:szCs w:val="24"/>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2"/>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right="58"/>
              <w:jc w:val="right"/>
              <w:rPr>
                <w:rFonts w:hint="default"/>
                <w:b/>
              </w:rPr>
            </w:pPr>
            <w:r>
              <w:rPr>
                <w:rFonts w:hint="default"/>
                <w:b/>
              </w:rPr>
              <w:t>Valor</w:t>
            </w:r>
            <w:r>
              <w:rPr>
                <w:rFonts w:hint="default"/>
                <w:b/>
                <w:spacing w:val="-5"/>
              </w:rPr>
              <w:t xml:space="preserve"> </w:t>
            </w:r>
            <w:r>
              <w:rPr>
                <w:rFonts w:hint="default"/>
                <w:b/>
              </w:rPr>
              <w:t>total</w:t>
            </w:r>
            <w:r>
              <w:rPr>
                <w:rFonts w:hint="default"/>
                <w:b/>
                <w:spacing w:val="-3"/>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left="277" w:right="265"/>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9"/>
              <w:ind w:right="58"/>
              <w:jc w:val="right"/>
              <w:rPr>
                <w:rFonts w:hint="default"/>
                <w:b/>
              </w:rPr>
            </w:pPr>
            <w:r>
              <w:rPr>
                <w:rFonts w:hint="default"/>
                <w:b/>
              </w:rPr>
              <w:t>BDI</w:t>
            </w:r>
            <w:r>
              <w:rPr>
                <w:rFonts w:hint="default"/>
                <w:b/>
                <w:spacing w:val="-3"/>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9"/>
              <w:ind w:left="277" w:right="265"/>
              <w:rPr>
                <w:rFonts w:hint="default"/>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3998"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right="58"/>
              <w:jc w:val="right"/>
              <w:rPr>
                <w:rFonts w:hint="default"/>
                <w:b/>
              </w:rPr>
            </w:pPr>
            <w:r>
              <w:rPr>
                <w:rFonts w:hint="default"/>
                <w:b/>
              </w:rPr>
              <w:t>Valor</w:t>
            </w:r>
            <w:r>
              <w:rPr>
                <w:rFonts w:hint="default"/>
                <w:b/>
                <w:spacing w:val="-3"/>
              </w:rPr>
              <w:t xml:space="preserve"> </w:t>
            </w:r>
            <w:r>
              <w:rPr>
                <w:rFonts w:hint="default"/>
                <w:b/>
              </w:rPr>
              <w:t>total</w:t>
            </w:r>
            <w:r>
              <w:rPr>
                <w:rFonts w:hint="default"/>
                <w:b/>
                <w:spacing w:val="-4"/>
              </w:rPr>
              <w:t xml:space="preserve"> </w:t>
            </w:r>
            <w:r>
              <w:rPr>
                <w:rFonts w:hint="default"/>
                <w:b/>
              </w:rPr>
              <w:t>mensal</w:t>
            </w:r>
            <w:r>
              <w:rPr>
                <w:rFonts w:hint="default"/>
                <w:b/>
                <w:spacing w:val="-2"/>
              </w:rPr>
              <w:t xml:space="preserve"> </w:t>
            </w:r>
            <w:r>
              <w:rPr>
                <w:rFonts w:hint="default"/>
                <w:b/>
              </w:rPr>
              <w:t>c/</w:t>
            </w:r>
            <w:r>
              <w:rPr>
                <w:rFonts w:hint="default"/>
                <w:b/>
                <w:spacing w:val="-2"/>
              </w:rPr>
              <w:t xml:space="preserve"> </w:t>
            </w:r>
            <w:r>
              <w:rPr>
                <w:rFonts w:hint="default"/>
                <w:b/>
              </w:rPr>
              <w:t>BDI</w:t>
            </w:r>
            <w:r>
              <w:rPr>
                <w:rFonts w:hint="default"/>
                <w:b/>
                <w:spacing w:val="-2"/>
              </w:rPr>
              <w:t xml:space="preserve"> </w:t>
            </w:r>
            <w:r>
              <w:rPr>
                <w:rFonts w:hint="default"/>
                <w:b/>
              </w:rPr>
              <w:t>(R$)</w:t>
            </w:r>
          </w:p>
        </w:tc>
        <w:tc>
          <w:tcPr>
            <w:tcW w:w="1002" w:type="pct"/>
            <w:tcBorders>
              <w:top w:val="single" w:color="000000" w:sz="4" w:space="0"/>
              <w:left w:val="single" w:color="000000" w:sz="4" w:space="0"/>
              <w:bottom w:val="single" w:color="000000" w:sz="4" w:space="0"/>
              <w:right w:val="single" w:color="000000" w:sz="4" w:space="0"/>
              <w:tl2br w:val="nil"/>
              <w:tr2bl w:val="nil"/>
            </w:tcBorders>
          </w:tcPr>
          <w:p>
            <w:pPr>
              <w:pStyle w:val="193"/>
              <w:spacing w:before="18"/>
              <w:ind w:left="277" w:right="265"/>
              <w:rPr>
                <w:rFonts w:hint="default"/>
                <w:b/>
              </w:rPr>
            </w:pPr>
          </w:p>
        </w:tc>
      </w:tr>
    </w:tbl>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21"/>
        <w:spacing w:before="7"/>
        <w:rPr>
          <w:rFonts w:ascii="Arial"/>
          <w:b/>
          <w:sz w:val="23"/>
          <w:szCs w:val="24"/>
        </w:rPr>
      </w:pPr>
    </w:p>
    <w:p>
      <w:pPr>
        <w:pStyle w:val="31"/>
        <w:widowControl w:val="0"/>
        <w:spacing w:before="120" w:after="120"/>
        <w:jc w:val="center"/>
        <w:rPr>
          <w:rFonts w:ascii="Arial" w:hAnsi="Arial" w:eastAsia="Calibri" w:cs="Arial"/>
          <w:b/>
        </w:rPr>
      </w:pPr>
      <w:r>
        <w:rPr>
          <w:rFonts w:ascii="Arial" w:hAnsi="Arial" w:eastAsia="Calibri" w:cs="Arial"/>
          <w:b/>
        </w:rPr>
        <w:t>PREGÃO ELETRÔNICO Nº 141/2023</w:t>
      </w:r>
    </w:p>
    <w:p>
      <w:pPr>
        <w:pStyle w:val="20"/>
        <w:widowControl w:val="0"/>
        <w:spacing w:before="120" w:after="120"/>
        <w:ind w:left="0" w:firstLine="0"/>
        <w:jc w:val="center"/>
        <w:rPr>
          <w:rFonts w:ascii="Arial" w:hAnsi="Arial" w:eastAsia="Calibri" w:cs="Arial"/>
          <w:b/>
        </w:rPr>
      </w:pPr>
      <w:r>
        <w:rPr>
          <w:rFonts w:ascii="Arial" w:hAnsi="Arial" w:eastAsia="Calibri" w:cs="Arial"/>
          <w:b/>
        </w:rPr>
        <w:t>ANEXO II</w:t>
      </w:r>
    </w:p>
    <w:p>
      <w:pPr>
        <w:pStyle w:val="57"/>
        <w:spacing w:before="120" w:after="120"/>
        <w:jc w:val="center"/>
        <w:rPr>
          <w:rFonts w:ascii="Arial" w:hAnsi="Arial" w:eastAsia="Calibri" w:cs="Arial"/>
        </w:rPr>
      </w:pPr>
      <w:r>
        <w:rPr>
          <w:rFonts w:ascii="Arial" w:hAnsi="Arial" w:eastAsia="Calibri" w:cs="Arial"/>
          <w:b/>
        </w:rPr>
        <w:t>MODELO DE PROPOSTA DE PREÇOS</w:t>
      </w:r>
    </w:p>
    <w:p>
      <w:pPr>
        <w:widowControl w:val="0"/>
        <w:jc w:val="center"/>
        <w:rPr>
          <w:rFonts w:ascii="Arial" w:hAnsi="Arial" w:eastAsia="Calibri" w:cs="Arial"/>
          <w:b/>
          <w:color w:val="FF0000"/>
        </w:rPr>
      </w:pPr>
      <w:r>
        <w:rPr>
          <w:rFonts w:ascii="Arial" w:hAnsi="Arial" w:eastAsia="Calibri" w:cs="Arial"/>
          <w:b/>
          <w:color w:val="FF0000"/>
        </w:rPr>
        <w:t>(papel timbrado da empresa)</w:t>
      </w:r>
    </w:p>
    <w:p>
      <w:pPr>
        <w:pStyle w:val="57"/>
        <w:jc w:val="both"/>
        <w:rPr>
          <w:rFonts w:ascii="Arial" w:hAnsi="Arial" w:eastAsia="Calibri" w:cs="Arial"/>
          <w:b/>
          <w:sz w:val="22"/>
        </w:rPr>
      </w:pPr>
    </w:p>
    <w:p>
      <w:pPr>
        <w:pStyle w:val="57"/>
        <w:jc w:val="both"/>
        <w:rPr>
          <w:rFonts w:ascii="Arial" w:hAnsi="Arial" w:eastAsia="Calibri" w:cs="Arial"/>
          <w:sz w:val="22"/>
        </w:rPr>
      </w:pPr>
      <w:r>
        <w:rPr>
          <w:rFonts w:ascii="Arial" w:hAnsi="Arial" w:eastAsia="Calibri" w:cs="Arial"/>
          <w:b/>
          <w:sz w:val="22"/>
        </w:rPr>
        <w:t xml:space="preserve">Tipo: </w:t>
      </w:r>
      <w:r>
        <w:rPr>
          <w:rFonts w:ascii="Arial" w:hAnsi="Arial" w:eastAsia="Calibri" w:cs="Arial"/>
          <w:sz w:val="22"/>
        </w:rPr>
        <w:t xml:space="preserve">MENOR PREÇO POR LOTE. </w:t>
      </w:r>
    </w:p>
    <w:p>
      <w:pPr>
        <w:pStyle w:val="57"/>
        <w:jc w:val="both"/>
        <w:rPr>
          <w:rFonts w:ascii="Arial" w:hAnsi="Arial" w:eastAsia="Calibri" w:cs="Arial"/>
          <w:sz w:val="22"/>
        </w:rPr>
      </w:pPr>
      <w:r>
        <w:rPr>
          <w:rFonts w:ascii="Arial" w:hAnsi="Arial" w:eastAsia="Calibri" w:cs="Arial"/>
          <w:sz w:val="22"/>
        </w:rPr>
        <w:t>Nome de Fantasia: ..............................................................................................................................</w:t>
      </w:r>
    </w:p>
    <w:p>
      <w:pPr>
        <w:pStyle w:val="57"/>
        <w:jc w:val="both"/>
        <w:rPr>
          <w:rFonts w:ascii="Arial" w:hAnsi="Arial" w:eastAsia="Calibri" w:cs="Arial"/>
          <w:sz w:val="22"/>
        </w:rPr>
      </w:pPr>
      <w:r>
        <w:rPr>
          <w:rFonts w:ascii="Arial" w:hAnsi="Arial" w:eastAsia="Calibri" w:cs="Arial"/>
          <w:sz w:val="22"/>
        </w:rPr>
        <w:t>Razão Social: ......................................................................................................................................</w:t>
      </w:r>
    </w:p>
    <w:p>
      <w:pPr>
        <w:pStyle w:val="57"/>
        <w:jc w:val="both"/>
        <w:rPr>
          <w:rFonts w:ascii="Arial" w:hAnsi="Arial" w:eastAsia="Calibri" w:cs="Arial"/>
          <w:sz w:val="22"/>
        </w:rPr>
      </w:pPr>
      <w:r>
        <w:rPr>
          <w:rFonts w:ascii="Arial" w:hAnsi="Arial" w:eastAsia="Calibri" w:cs="Arial"/>
          <w:sz w:val="22"/>
        </w:rPr>
        <w:t xml:space="preserve">CNPJ: ...................................................................... OPTANTE PELO SIMPLES? SIM ( ) NÃO ( ) </w:t>
      </w:r>
    </w:p>
    <w:p>
      <w:pPr>
        <w:pStyle w:val="57"/>
        <w:jc w:val="both"/>
        <w:rPr>
          <w:rFonts w:ascii="Arial" w:hAnsi="Arial" w:eastAsia="Calibri" w:cs="Arial"/>
          <w:sz w:val="22"/>
        </w:rPr>
      </w:pPr>
      <w:r>
        <w:rPr>
          <w:rFonts w:ascii="Arial" w:hAnsi="Arial" w:eastAsia="Calibri" w:cs="Arial"/>
          <w:sz w:val="22"/>
        </w:rPr>
        <w:t>Endereço: ............................................................................................................................................</w:t>
      </w:r>
    </w:p>
    <w:p>
      <w:pPr>
        <w:pStyle w:val="57"/>
        <w:jc w:val="both"/>
        <w:rPr>
          <w:rFonts w:ascii="Arial" w:hAnsi="Arial" w:eastAsia="Calibri" w:cs="Arial"/>
          <w:sz w:val="22"/>
        </w:rPr>
      </w:pPr>
      <w:r>
        <w:rPr>
          <w:rFonts w:ascii="Arial" w:hAnsi="Arial" w:eastAsia="Calibri" w:cs="Arial"/>
          <w:sz w:val="22"/>
        </w:rPr>
        <w:t xml:space="preserve">Bairro: ............................................................ Município: ................................................................... </w:t>
      </w:r>
    </w:p>
    <w:p>
      <w:pPr>
        <w:pStyle w:val="57"/>
        <w:jc w:val="both"/>
        <w:rPr>
          <w:rFonts w:ascii="Arial" w:hAnsi="Arial" w:eastAsia="Calibri" w:cs="Arial"/>
          <w:sz w:val="22"/>
        </w:rPr>
      </w:pPr>
      <w:r>
        <w:rPr>
          <w:rFonts w:ascii="Arial" w:hAnsi="Arial" w:eastAsia="Calibri" w:cs="Arial"/>
          <w:sz w:val="22"/>
        </w:rPr>
        <w:t xml:space="preserve">Estado: ........................................................... CEP: .......................................................................... </w:t>
      </w:r>
    </w:p>
    <w:p>
      <w:pPr>
        <w:pStyle w:val="57"/>
        <w:jc w:val="both"/>
        <w:rPr>
          <w:rFonts w:ascii="Arial" w:hAnsi="Arial" w:eastAsia="Calibri" w:cs="Arial"/>
          <w:sz w:val="22"/>
        </w:rPr>
      </w:pPr>
      <w:r>
        <w:rPr>
          <w:rFonts w:ascii="Arial" w:hAnsi="Arial" w:eastAsia="Calibri" w:cs="Arial"/>
          <w:sz w:val="22"/>
        </w:rPr>
        <w:t xml:space="preserve">Fone/Fax: (     ) .............................................. E-MAIL: ...................................................................... </w:t>
      </w:r>
    </w:p>
    <w:p>
      <w:pPr>
        <w:pStyle w:val="57"/>
        <w:jc w:val="both"/>
        <w:rPr>
          <w:rFonts w:ascii="Arial" w:hAnsi="Arial" w:eastAsia="Calibri" w:cs="Arial"/>
          <w:sz w:val="22"/>
        </w:rPr>
      </w:pPr>
      <w:r>
        <w:rPr>
          <w:rFonts w:ascii="Arial" w:hAnsi="Arial" w:eastAsia="Calibri" w:cs="Arial"/>
          <w:sz w:val="22"/>
        </w:rPr>
        <w:t xml:space="preserve">Conta Corrente nº.................................. Agência nº. ........................... Banco ................................. </w:t>
      </w:r>
    </w:p>
    <w:p>
      <w:pPr>
        <w:pStyle w:val="57"/>
        <w:jc w:val="both"/>
        <w:rPr>
          <w:rFonts w:ascii="Arial" w:hAnsi="Arial" w:eastAsia="Calibri" w:cs="Arial"/>
          <w:sz w:val="22"/>
        </w:rPr>
      </w:pPr>
      <w:r>
        <w:rPr>
          <w:rFonts w:ascii="Arial" w:hAnsi="Arial" w:eastAsia="Calibri" w:cs="Arial"/>
          <w:sz w:val="22"/>
        </w:rPr>
        <w:t xml:space="preserve">Nome completo do responsável legal da empresa: ........................................................................... </w:t>
      </w:r>
    </w:p>
    <w:p>
      <w:pPr>
        <w:pStyle w:val="57"/>
        <w:jc w:val="both"/>
        <w:rPr>
          <w:rFonts w:ascii="Arial" w:hAnsi="Arial" w:eastAsia="Calibri" w:cs="Arial"/>
          <w:sz w:val="22"/>
        </w:rPr>
      </w:pPr>
      <w:r>
        <w:rPr>
          <w:rFonts w:ascii="Arial" w:hAnsi="Arial" w:eastAsia="Calibri" w:cs="Arial"/>
          <w:sz w:val="22"/>
        </w:rPr>
        <w:t xml:space="preserve">CPF: ........................................ RG: .................................. CEL/TELEFONE: .................................. </w:t>
      </w:r>
    </w:p>
    <w:p>
      <w:pPr>
        <w:pStyle w:val="20"/>
        <w:widowControl w:val="0"/>
        <w:ind w:left="0" w:firstLine="0"/>
        <w:jc w:val="both"/>
        <w:rPr>
          <w:rFonts w:ascii="Arial" w:hAnsi="Arial" w:eastAsia="Calibri" w:cs="Arial"/>
          <w:b/>
          <w:sz w:val="20"/>
        </w:rPr>
      </w:pPr>
      <w:r>
        <w:rPr>
          <w:rFonts w:ascii="Arial" w:hAnsi="Arial" w:eastAsia="Calibri" w:cs="Arial"/>
          <w:b/>
          <w:sz w:val="20"/>
        </w:rPr>
        <w:t xml:space="preserve">IDENTIFICAÇÃO DOS ITENS DOS QUAIS FOI VENCEDOR: </w:t>
      </w:r>
    </w:p>
    <w:tbl>
      <w:tblPr>
        <w:tblStyle w:val="1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tcPr>
          <w:p>
            <w:pPr>
              <w:jc w:val="center"/>
              <w:rPr>
                <w:rFonts w:ascii="Arial" w:hAnsi="Arial" w:eastAsia="Calibri" w:cs="Arial"/>
                <w:b/>
                <w:color w:val="000000"/>
                <w:sz w:val="18"/>
              </w:rPr>
            </w:pPr>
            <w:r>
              <w:rPr>
                <w:rFonts w:ascii="Arial" w:hAnsi="Arial" w:eastAsia="Calibri" w:cs="Arial"/>
                <w:b/>
                <w:color w:val="000000"/>
                <w:sz w:val="18"/>
              </w:rPr>
              <w:t>Item</w:t>
            </w:r>
          </w:p>
        </w:tc>
        <w:tc>
          <w:tcPr>
            <w:tcW w:w="4674" w:type="dxa"/>
            <w:tcBorders>
              <w:top w:val="single" w:color="auto" w:sz="4" w:space="0"/>
              <w:left w:val="single" w:color="auto" w:sz="4" w:space="0"/>
              <w:bottom w:val="single" w:color="auto" w:sz="4" w:space="0"/>
              <w:right w:val="single" w:color="auto" w:sz="4" w:space="0"/>
              <w:tl2br w:val="nil"/>
              <w:tr2bl w:val="nil"/>
            </w:tcBorders>
            <w:vAlign w:val="bottom"/>
          </w:tcPr>
          <w:p>
            <w:pPr>
              <w:jc w:val="center"/>
              <w:rPr>
                <w:rFonts w:ascii="Arial" w:hAnsi="Arial" w:eastAsia="Calibri" w:cs="Arial"/>
                <w:b/>
                <w:color w:val="000000"/>
                <w:sz w:val="18"/>
              </w:rPr>
            </w:pPr>
            <w:r>
              <w:rPr>
                <w:rFonts w:ascii="Arial" w:hAnsi="Arial" w:eastAsia="Calibri" w:cs="Arial"/>
                <w:b/>
                <w:color w:val="000000"/>
                <w:sz w:val="18"/>
              </w:rPr>
              <w:t>Serviço</w:t>
            </w:r>
          </w:p>
        </w:tc>
        <w:tc>
          <w:tcPr>
            <w:tcW w:w="1207" w:type="dxa"/>
            <w:tcBorders>
              <w:top w:val="single" w:color="auto" w:sz="4" w:space="0"/>
              <w:left w:val="single" w:color="auto" w:sz="4" w:space="0"/>
              <w:bottom w:val="single" w:color="auto" w:sz="4" w:space="0"/>
              <w:right w:val="single" w:color="auto" w:sz="4" w:space="0"/>
              <w:tl2br w:val="nil"/>
              <w:tr2bl w:val="nil"/>
            </w:tcBorders>
            <w:vAlign w:val="bottom"/>
          </w:tcPr>
          <w:p>
            <w:pPr>
              <w:jc w:val="center"/>
              <w:rPr>
                <w:rFonts w:ascii="Arial" w:hAnsi="Arial" w:eastAsia="Calibri" w:cs="Arial"/>
                <w:b/>
                <w:color w:val="000000"/>
                <w:sz w:val="18"/>
              </w:rPr>
            </w:pPr>
            <w:r>
              <w:rPr>
                <w:rFonts w:ascii="Arial" w:hAnsi="Arial" w:eastAsia="Calibri" w:cs="Arial"/>
                <w:b/>
                <w:color w:val="000000"/>
                <w:sz w:val="18"/>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vAlign w:val="bottom"/>
          </w:tcPr>
          <w:p>
            <w:pPr>
              <w:jc w:val="center"/>
              <w:rPr>
                <w:rFonts w:ascii="Arial" w:hAnsi="Arial" w:eastAsia="Calibri" w:cs="Arial"/>
                <w:b/>
                <w:color w:val="000000"/>
                <w:sz w:val="18"/>
              </w:rPr>
            </w:pPr>
            <w:r>
              <w:rPr>
                <w:rFonts w:ascii="Arial" w:hAnsi="Arial" w:eastAsia="Calibri" w:cs="Arial"/>
                <w:b/>
                <w:color w:val="000000"/>
                <w:sz w:val="18"/>
              </w:rPr>
              <w:t>Unidade</w:t>
            </w:r>
          </w:p>
        </w:tc>
        <w:tc>
          <w:tcPr>
            <w:tcW w:w="842" w:type="dxa"/>
            <w:tcBorders>
              <w:top w:val="single" w:color="auto" w:sz="4" w:space="0"/>
              <w:left w:val="single" w:color="auto" w:sz="4" w:space="0"/>
              <w:bottom w:val="single" w:color="auto" w:sz="4" w:space="0"/>
              <w:right w:val="single" w:color="auto" w:sz="4" w:space="0"/>
              <w:tl2br w:val="nil"/>
              <w:tr2bl w:val="nil"/>
            </w:tcBorders>
            <w:vAlign w:val="bottom"/>
          </w:tcPr>
          <w:p>
            <w:pPr>
              <w:jc w:val="center"/>
              <w:rPr>
                <w:rFonts w:ascii="Arial" w:hAnsi="Arial" w:eastAsia="Calibri" w:cs="Arial"/>
                <w:b/>
                <w:color w:val="000000"/>
                <w:sz w:val="18"/>
              </w:rPr>
            </w:pPr>
            <w:r>
              <w:rPr>
                <w:rFonts w:ascii="Arial" w:hAnsi="Arial" w:eastAsia="Calibri" w:cs="Arial"/>
                <w:b/>
                <w:color w:val="000000"/>
                <w:sz w:val="18"/>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vAlign w:val="bottom"/>
          </w:tcPr>
          <w:p>
            <w:pPr>
              <w:jc w:val="center"/>
              <w:rPr>
                <w:rFonts w:ascii="Arial" w:hAnsi="Arial" w:eastAsia="Calibri" w:cs="Arial"/>
                <w:b/>
                <w:color w:val="000000"/>
                <w:sz w:val="18"/>
              </w:rPr>
            </w:pPr>
            <w:r>
              <w:rPr>
                <w:rFonts w:ascii="Arial" w:hAnsi="Arial" w:eastAsia="Calibri" w:cs="Arial"/>
                <w:b/>
                <w:color w:val="000000"/>
                <w:sz w:val="18"/>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tcPr>
          <w:p>
            <w:pPr>
              <w:pStyle w:val="20"/>
              <w:widowControl w:val="0"/>
              <w:ind w:left="0" w:firstLine="0"/>
              <w:rPr>
                <w:rFonts w:ascii="Arial" w:hAnsi="Arial" w:eastAsia="Calibri" w:cs="Arial"/>
                <w:b/>
                <w:sz w:val="18"/>
              </w:rPr>
            </w:pPr>
          </w:p>
        </w:tc>
      </w:tr>
    </w:tbl>
    <w:p>
      <w:pPr>
        <w:pStyle w:val="31"/>
        <w:widowControl w:val="0"/>
        <w:rPr>
          <w:rFonts w:ascii="Arial" w:hAnsi="Arial" w:eastAsia="Calibri" w:cs="Arial"/>
          <w:b/>
        </w:rPr>
      </w:pPr>
    </w:p>
    <w:p>
      <w:pPr>
        <w:pStyle w:val="41"/>
        <w:widowControl w:val="0"/>
        <w:spacing w:after="120"/>
        <w:ind w:left="0" w:firstLine="0"/>
        <w:rPr>
          <w:rFonts w:ascii="Arial" w:hAnsi="Arial" w:eastAsia="Calibri" w:cs="Arial"/>
          <w:sz w:val="22"/>
        </w:rPr>
      </w:pPr>
      <w:r>
        <w:rPr>
          <w:rFonts w:ascii="Arial" w:hAnsi="Arial" w:eastAsia="Calibri" w:cs="Arial"/>
          <w:sz w:val="22"/>
        </w:rPr>
        <w:t xml:space="preserve">Prazo de validade da proposta é de </w:t>
      </w:r>
      <w:r>
        <w:rPr>
          <w:rFonts w:ascii="Arial" w:hAnsi="Arial" w:eastAsia="Calibri" w:cs="Arial"/>
          <w:b/>
          <w:sz w:val="22"/>
        </w:rPr>
        <w:t>60 (sessenta)</w:t>
      </w:r>
      <w:r>
        <w:rPr>
          <w:rFonts w:ascii="Arial" w:hAnsi="Arial" w:eastAsia="Calibri" w:cs="Arial"/>
          <w:sz w:val="22"/>
        </w:rPr>
        <w:t xml:space="preserve"> dias a partir da data de sua abertura.</w:t>
      </w:r>
    </w:p>
    <w:p>
      <w:pPr>
        <w:pStyle w:val="41"/>
        <w:widowControl w:val="0"/>
        <w:spacing w:after="120"/>
        <w:ind w:left="0" w:firstLine="0"/>
        <w:rPr>
          <w:rFonts w:ascii="Arial" w:hAnsi="Arial" w:eastAsia="Calibri" w:cs="Arial"/>
          <w:sz w:val="22"/>
        </w:rPr>
      </w:pPr>
      <w:r>
        <w:rPr>
          <w:rFonts w:ascii="Arial" w:hAnsi="Arial" w:eastAsia="Calibri" w:cs="Arial"/>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after="120"/>
        <w:jc w:val="both"/>
        <w:rPr>
          <w:rFonts w:ascii="Arial" w:hAnsi="Arial" w:eastAsia="Calibri" w:cs="Arial"/>
          <w:sz w:val="22"/>
        </w:rPr>
      </w:pPr>
      <w:r>
        <w:rPr>
          <w:rFonts w:ascii="Arial" w:hAnsi="Arial" w:eastAsia="Calibri" w:cs="Arial"/>
          <w:sz w:val="22"/>
        </w:rPr>
        <w:t>Declaramos que atendemos todas as exigências técnicas mínimas, inclusive de garantia, prazos de entrega e quantidades.</w:t>
      </w:r>
    </w:p>
    <w:p>
      <w:pPr>
        <w:widowControl w:val="0"/>
        <w:spacing w:after="120"/>
        <w:jc w:val="both"/>
        <w:rPr>
          <w:rFonts w:ascii="Arial" w:hAnsi="Arial" w:eastAsia="Calibri" w:cs="Arial"/>
          <w:sz w:val="22"/>
        </w:rPr>
      </w:pPr>
      <w:r>
        <w:rPr>
          <w:rFonts w:ascii="Arial" w:hAnsi="Arial" w:eastAsia="Calibri" w:cs="Arial"/>
          <w:sz w:val="22"/>
        </w:rPr>
        <w:t>Informamos ainda, que os pagamentos deverão ser efetuados com todas as condições estabelecidas no Edital da Licitação e seus anexos, na Conta Corrente nº xxxxxxx Agência nº xxxx  do Banco Xxxxxxxx.</w:t>
      </w:r>
    </w:p>
    <w:p>
      <w:pPr>
        <w:widowControl w:val="0"/>
        <w:spacing w:after="120"/>
        <w:jc w:val="both"/>
        <w:rPr>
          <w:rFonts w:ascii="Arial" w:hAnsi="Arial" w:eastAsia="Calibri" w:cs="Arial"/>
          <w:sz w:val="22"/>
        </w:rPr>
      </w:pPr>
      <w:r>
        <w:rPr>
          <w:rFonts w:ascii="Arial" w:hAnsi="Arial" w:eastAsia="Calibri" w:cs="Arial"/>
          <w:sz w:val="22"/>
        </w:rPr>
        <w:t>OBS.: Anexar todas as Planilhas.</w:t>
      </w:r>
    </w:p>
    <w:p>
      <w:pPr>
        <w:widowControl w:val="0"/>
        <w:spacing w:after="120"/>
        <w:jc w:val="both"/>
        <w:rPr>
          <w:rFonts w:ascii="Arial" w:hAnsi="Arial" w:eastAsia="Calibri" w:cs="Arial"/>
          <w:sz w:val="22"/>
        </w:rPr>
      </w:pPr>
      <w:r>
        <w:rPr>
          <w:rFonts w:ascii="Arial" w:hAnsi="Arial" w:eastAsia="Calibri" w:cs="Arial"/>
          <w:sz w:val="22"/>
        </w:rPr>
        <w:tab/>
      </w:r>
      <w:r>
        <w:rPr>
          <w:rFonts w:ascii="Arial" w:hAnsi="Arial" w:eastAsia="Calibri" w:cs="Arial"/>
          <w:sz w:val="22"/>
        </w:rPr>
        <w:tab/>
      </w:r>
    </w:p>
    <w:p>
      <w:pPr>
        <w:pStyle w:val="20"/>
        <w:widowControl w:val="0"/>
        <w:jc w:val="center"/>
        <w:rPr>
          <w:rFonts w:ascii="Arial" w:hAnsi="Arial" w:eastAsia="Calibri" w:cs="Arial"/>
          <w:sz w:val="22"/>
        </w:rPr>
      </w:pPr>
      <w:r>
        <w:rPr>
          <w:rFonts w:ascii="Arial" w:hAnsi="Arial" w:eastAsia="Calibri" w:cs="Arial"/>
          <w:sz w:val="22"/>
        </w:rPr>
        <w:t>Local e data</w:t>
      </w:r>
    </w:p>
    <w:p>
      <w:pPr>
        <w:pStyle w:val="20"/>
        <w:widowControl w:val="0"/>
        <w:jc w:val="center"/>
        <w:rPr>
          <w:rFonts w:ascii="Arial" w:hAnsi="Arial" w:eastAsia="Calibri" w:cs="Arial"/>
          <w:sz w:val="22"/>
        </w:rPr>
      </w:pPr>
    </w:p>
    <w:p>
      <w:pPr>
        <w:pStyle w:val="20"/>
        <w:widowControl w:val="0"/>
        <w:jc w:val="center"/>
        <w:rPr>
          <w:rFonts w:ascii="Arial" w:hAnsi="Arial" w:eastAsia="Calibri" w:cs="Arial"/>
          <w:sz w:val="22"/>
        </w:rPr>
      </w:pPr>
    </w:p>
    <w:p>
      <w:pPr>
        <w:pStyle w:val="20"/>
        <w:widowControl w:val="0"/>
        <w:jc w:val="center"/>
        <w:rPr>
          <w:rFonts w:ascii="Arial" w:hAnsi="Arial" w:eastAsia="Calibri" w:cs="Arial"/>
          <w:sz w:val="22"/>
        </w:rPr>
      </w:pPr>
      <w:r>
        <w:rPr>
          <w:rFonts w:ascii="Arial" w:hAnsi="Arial" w:eastAsia="Calibri" w:cs="Arial"/>
          <w:sz w:val="22"/>
        </w:rPr>
        <w:t>_________________________________________</w:t>
      </w:r>
    </w:p>
    <w:p>
      <w:pPr>
        <w:pStyle w:val="20"/>
        <w:widowControl w:val="0"/>
        <w:jc w:val="center"/>
        <w:rPr>
          <w:rFonts w:ascii="Arial" w:hAnsi="Arial" w:eastAsia="Calibri" w:cs="Arial"/>
          <w:sz w:val="22"/>
        </w:rPr>
      </w:pPr>
      <w:r>
        <w:rPr>
          <w:rFonts w:ascii="Arial" w:hAnsi="Arial" w:eastAsia="Calibri" w:cs="Arial"/>
          <w:sz w:val="22"/>
        </w:rPr>
        <w:t>Carimbo da empresa/Assinatura do responsável</w:t>
      </w:r>
    </w:p>
    <w:p>
      <w:pPr>
        <w:pStyle w:val="20"/>
        <w:widowControl w:val="0"/>
        <w:jc w:val="center"/>
        <w:rPr>
          <w:rFonts w:ascii="Arial" w:hAnsi="Arial" w:eastAsia="Calibri" w:cs="Arial"/>
          <w:sz w:val="22"/>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r>
        <w:rPr>
          <w:rFonts w:ascii="Arial" w:hAnsi="Arial" w:eastAsia="Calibri" w:cs="Arial"/>
          <w:b/>
        </w:rPr>
        <w:t>PREGÃO ELETRÔNICO Nº 141/2023</w:t>
      </w:r>
    </w:p>
    <w:p>
      <w:pPr>
        <w:pStyle w:val="20"/>
        <w:widowControl w:val="0"/>
        <w:spacing w:before="120" w:after="120"/>
        <w:ind w:left="0" w:firstLine="0"/>
        <w:jc w:val="center"/>
        <w:rPr>
          <w:rFonts w:ascii="Arial" w:hAnsi="Arial" w:eastAsia="Calibri" w:cs="Arial"/>
          <w:b/>
        </w:rPr>
      </w:pPr>
      <w:r>
        <w:rPr>
          <w:rFonts w:ascii="Arial" w:hAnsi="Arial" w:eastAsia="Calibri" w:cs="Arial"/>
          <w:b/>
        </w:rPr>
        <w:t>ANEXO III</w:t>
      </w:r>
    </w:p>
    <w:p>
      <w:pPr>
        <w:widowControl w:val="0"/>
        <w:spacing w:before="120" w:after="120"/>
        <w:ind w:right="-1"/>
        <w:jc w:val="center"/>
        <w:rPr>
          <w:rFonts w:ascii="Arial" w:hAnsi="Arial" w:eastAsia="Calibri" w:cs="Arial"/>
        </w:rPr>
      </w:pPr>
      <w:r>
        <w:rPr>
          <w:rFonts w:ascii="Arial" w:hAnsi="Arial" w:eastAsia="Calibri" w:cs="Arial"/>
          <w:b/>
        </w:rPr>
        <w:t>MODELO DE DECLARAÇÃO DE CUMPRIMENTO DE REQUISITOS LEGAIS</w:t>
      </w:r>
    </w:p>
    <w:p>
      <w:pPr>
        <w:widowControl w:val="0"/>
        <w:spacing w:after="120"/>
        <w:ind w:right="-1"/>
        <w:jc w:val="center"/>
        <w:rPr>
          <w:rFonts w:ascii="Arial" w:hAnsi="Arial" w:eastAsia="Calibri" w:cs="Arial"/>
        </w:rPr>
      </w:pPr>
      <w:r>
        <w:rPr>
          <w:rFonts w:ascii="Arial" w:hAnsi="Arial" w:eastAsia="Calibri" w:cs="Arial"/>
        </w:rPr>
        <w:t>Modelo da Declaração (Empregador Pessoa Jurídica)</w:t>
      </w:r>
    </w:p>
    <w:p>
      <w:pPr>
        <w:widowControl w:val="0"/>
        <w:jc w:val="center"/>
        <w:rPr>
          <w:rFonts w:ascii="Arial" w:hAnsi="Arial" w:eastAsia="Calibri" w:cs="Arial"/>
          <w:b/>
          <w:color w:val="FF0000"/>
        </w:rPr>
      </w:pPr>
      <w:r>
        <w:rPr>
          <w:rFonts w:ascii="Arial" w:hAnsi="Arial" w:eastAsia="Calibri" w:cs="Arial"/>
          <w:b/>
          <w:color w:val="FF0000"/>
        </w:rPr>
        <w:t>(papel timbrado da empresa)</w:t>
      </w:r>
    </w:p>
    <w:p>
      <w:pPr>
        <w:widowControl w:val="0"/>
        <w:spacing w:after="120"/>
        <w:ind w:right="-1"/>
        <w:jc w:val="both"/>
        <w:rPr>
          <w:rFonts w:ascii="Arial" w:hAnsi="Arial" w:eastAsia="Calibri" w:cs="Arial"/>
        </w:rPr>
      </w:pPr>
      <w:r>
        <w:rPr>
          <w:rFonts w:ascii="Arial" w:hAnsi="Arial" w:eastAsia="Calibri" w:cs="Arial"/>
        </w:rPr>
        <w:t>A</w:t>
      </w:r>
    </w:p>
    <w:p>
      <w:pPr>
        <w:widowControl w:val="0"/>
        <w:spacing w:after="120"/>
        <w:ind w:right="-1"/>
        <w:jc w:val="both"/>
        <w:rPr>
          <w:rFonts w:ascii="Arial" w:hAnsi="Arial" w:eastAsia="Calibri" w:cs="Arial"/>
        </w:rPr>
      </w:pPr>
      <w:r>
        <w:rPr>
          <w:rFonts w:ascii="Arial" w:hAnsi="Arial" w:eastAsia="Calibri" w:cs="Arial"/>
        </w:rPr>
        <w:t>Prefeitura Municipal de Primavera do Leste</w:t>
      </w:r>
    </w:p>
    <w:p>
      <w:pPr>
        <w:widowControl w:val="0"/>
        <w:spacing w:after="120"/>
        <w:ind w:right="-1"/>
        <w:jc w:val="both"/>
        <w:rPr>
          <w:rFonts w:ascii="Arial" w:hAnsi="Arial" w:eastAsia="Calibri" w:cs="Arial"/>
        </w:rPr>
      </w:pPr>
      <w:r>
        <w:rPr>
          <w:rFonts w:ascii="Arial" w:hAnsi="Arial" w:eastAsia="Calibri" w:cs="Arial"/>
        </w:rPr>
        <w:t>Ref.: Licitação na modalidade PREGÃO ELETRÔNICO nº 141/2023</w:t>
      </w:r>
    </w:p>
    <w:p>
      <w:pPr>
        <w:widowControl w:val="0"/>
        <w:spacing w:after="120"/>
        <w:ind w:right="-1"/>
        <w:jc w:val="both"/>
        <w:rPr>
          <w:rFonts w:ascii="Arial" w:hAnsi="Arial" w:eastAsia="Calibri" w:cs="Arial"/>
        </w:rPr>
      </w:pPr>
    </w:p>
    <w:p>
      <w:pPr>
        <w:widowControl w:val="0"/>
        <w:spacing w:after="120"/>
        <w:jc w:val="both"/>
        <w:rPr>
          <w:rFonts w:ascii="Arial" w:hAnsi="Arial" w:eastAsia="Calibri" w:cs="Arial"/>
        </w:rPr>
      </w:pPr>
      <w:r>
        <w:rPr>
          <w:rFonts w:ascii="Arial" w:hAnsi="Arial" w:eastAsia="Calibri" w:cs="Arial"/>
        </w:rPr>
        <w:t>(Nome da Empresa) -----------------------------------, CNPJ Nº ------------------------, sediada na Rua --------------------------------------, n. -----------, bairro, -----------------------, CEP---------- Município -------------------------, por seu representante legal abaixo assinado, em cumprimento ao solicitado no Edital do Pregão Eletrônico nº 141/2023 – Prefeitura de Primavera do Leste/MT. DECLARA, sob as penas da lei, que:</w:t>
      </w:r>
    </w:p>
    <w:p>
      <w:pPr>
        <w:widowControl w:val="0"/>
        <w:spacing w:after="120"/>
        <w:jc w:val="both"/>
        <w:rPr>
          <w:rFonts w:ascii="Arial" w:hAnsi="Arial" w:eastAsia="Calibri" w:cs="Arial"/>
        </w:rPr>
      </w:pPr>
      <w:r>
        <w:rPr>
          <w:rFonts w:ascii="Arial" w:hAnsi="Arial" w:eastAsia="Calibri" w:cs="Arial"/>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after="120"/>
        <w:jc w:val="both"/>
        <w:rPr>
          <w:rFonts w:ascii="Arial" w:hAnsi="Arial" w:eastAsia="Calibri" w:cs="Arial"/>
        </w:rPr>
      </w:pPr>
      <w:r>
        <w:rPr>
          <w:rFonts w:ascii="Arial" w:hAnsi="Arial" w:eastAsia="Calibri" w:cs="Arial"/>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after="120"/>
        <w:jc w:val="both"/>
        <w:rPr>
          <w:rFonts w:ascii="Arial" w:hAnsi="Arial" w:eastAsia="Calibri" w:cs="Arial"/>
        </w:rPr>
      </w:pPr>
      <w:r>
        <w:rPr>
          <w:rFonts w:ascii="Arial" w:hAnsi="Arial" w:eastAsia="Calibri" w:cs="Arial"/>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ind w:right="-1"/>
        <w:jc w:val="center"/>
        <w:rPr>
          <w:rFonts w:ascii="Arial" w:hAnsi="Arial" w:eastAsia="Calibri" w:cs="Arial"/>
        </w:rPr>
      </w:pPr>
    </w:p>
    <w:p>
      <w:pPr>
        <w:widowControl w:val="0"/>
        <w:ind w:right="-1"/>
        <w:jc w:val="center"/>
        <w:rPr>
          <w:rFonts w:ascii="Arial" w:hAnsi="Arial" w:eastAsia="Calibri" w:cs="Arial"/>
        </w:rPr>
      </w:pPr>
      <w:r>
        <w:rPr>
          <w:rFonts w:ascii="Arial" w:hAnsi="Arial" w:eastAsia="Calibri" w:cs="Arial"/>
        </w:rPr>
        <w:t>Local e data</w:t>
      </w:r>
    </w:p>
    <w:p>
      <w:pPr>
        <w:widowControl w:val="0"/>
        <w:ind w:right="-1"/>
        <w:jc w:val="center"/>
        <w:rPr>
          <w:rFonts w:ascii="Arial" w:hAnsi="Arial" w:eastAsia="Calibri" w:cs="Arial"/>
        </w:rPr>
      </w:pPr>
    </w:p>
    <w:p>
      <w:pPr>
        <w:widowControl w:val="0"/>
        <w:ind w:right="-1"/>
        <w:jc w:val="center"/>
        <w:rPr>
          <w:rFonts w:ascii="Arial" w:hAnsi="Arial" w:eastAsia="Calibri" w:cs="Arial"/>
        </w:rPr>
      </w:pPr>
    </w:p>
    <w:p>
      <w:pPr>
        <w:widowControl w:val="0"/>
        <w:ind w:right="-1"/>
        <w:jc w:val="center"/>
        <w:rPr>
          <w:rFonts w:ascii="Arial" w:hAnsi="Arial" w:eastAsia="Calibri" w:cs="Arial"/>
        </w:rPr>
      </w:pPr>
    </w:p>
    <w:p>
      <w:pPr>
        <w:widowControl w:val="0"/>
        <w:ind w:right="-1"/>
        <w:jc w:val="center"/>
        <w:rPr>
          <w:rFonts w:ascii="Arial" w:hAnsi="Arial" w:eastAsia="Calibri" w:cs="Arial"/>
        </w:rPr>
      </w:pPr>
      <w:r>
        <w:rPr>
          <w:rFonts w:ascii="Arial" w:hAnsi="Arial" w:eastAsia="Calibri" w:cs="Arial"/>
        </w:rPr>
        <w:t xml:space="preserve">Assinatura do representante legal </w:t>
      </w:r>
    </w:p>
    <w:p>
      <w:pPr>
        <w:widowControl w:val="0"/>
        <w:ind w:right="-1"/>
        <w:jc w:val="center"/>
        <w:rPr>
          <w:rFonts w:ascii="Arial" w:hAnsi="Arial" w:eastAsia="Calibri" w:cs="Arial"/>
        </w:rPr>
      </w:pPr>
      <w:r>
        <w:rPr>
          <w:rFonts w:ascii="Arial" w:hAnsi="Arial" w:eastAsia="Calibri" w:cs="Arial"/>
        </w:rPr>
        <w:t>CPF:</w:t>
      </w:r>
    </w:p>
    <w:p>
      <w:pPr>
        <w:widowControl w:val="0"/>
        <w:ind w:right="-1"/>
        <w:jc w:val="center"/>
        <w:rPr>
          <w:rFonts w:ascii="Arial" w:hAnsi="Arial" w:eastAsia="Calibri" w:cs="Arial"/>
        </w:rPr>
      </w:pPr>
      <w:r>
        <w:rPr>
          <w:rFonts w:ascii="Arial" w:hAnsi="Arial" w:eastAsia="Calibri" w:cs="Arial"/>
        </w:rPr>
        <w:t>Carimbo de CNPJ da empresa:</w:t>
      </w:r>
    </w:p>
    <w:p>
      <w:pPr>
        <w:pStyle w:val="3"/>
        <w:keepNext w:val="0"/>
        <w:widowControl w:val="0"/>
        <w:rPr>
          <w:rFonts w:ascii="Arial" w:hAnsi="Arial" w:eastAsia="Calibri" w:cs="Arial"/>
          <w:color w:val="4F81BD"/>
        </w:rPr>
      </w:pPr>
    </w:p>
    <w:p>
      <w:pPr>
        <w:widowControl w:val="0"/>
        <w:spacing w:before="240"/>
        <w:jc w:val="both"/>
        <w:rPr>
          <w:rFonts w:ascii="Arial" w:hAnsi="Arial" w:eastAsia="Calibri" w:cs="Arial"/>
        </w:rPr>
      </w:pPr>
      <w:r>
        <w:rPr>
          <w:rFonts w:ascii="Arial" w:hAnsi="Arial" w:eastAsia="Calibri" w:cs="Arial"/>
        </w:rPr>
        <w:t>( ) Ressalva: emprega menor, a partir de quatorze anos, na condição de aprendiz*.</w:t>
      </w:r>
    </w:p>
    <w:p>
      <w:pPr>
        <w:pStyle w:val="31"/>
        <w:widowControl w:val="0"/>
        <w:spacing w:after="120"/>
        <w:jc w:val="center"/>
        <w:rPr>
          <w:rFonts w:ascii="Arial" w:hAnsi="Arial" w:eastAsia="Calibri" w:cs="Arial"/>
          <w:b/>
        </w:rPr>
      </w:pPr>
    </w:p>
    <w:p>
      <w:pPr>
        <w:pStyle w:val="31"/>
        <w:widowControl w:val="0"/>
        <w:spacing w:after="120"/>
        <w:jc w:val="center"/>
        <w:rPr>
          <w:rFonts w:ascii="Arial" w:hAnsi="Arial" w:eastAsia="Calibri" w:cs="Arial"/>
          <w:b/>
        </w:rPr>
      </w:pPr>
    </w:p>
    <w:p>
      <w:pPr>
        <w:pStyle w:val="31"/>
        <w:widowControl w:val="0"/>
        <w:spacing w:after="120"/>
        <w:jc w:val="center"/>
        <w:rPr>
          <w:rFonts w:ascii="Arial" w:hAnsi="Arial" w:eastAsia="Calibri" w:cs="Arial"/>
          <w:b/>
        </w:rPr>
      </w:pPr>
    </w:p>
    <w:p>
      <w:pPr>
        <w:pStyle w:val="31"/>
        <w:widowControl w:val="0"/>
        <w:spacing w:after="120"/>
        <w:jc w:val="center"/>
        <w:rPr>
          <w:rFonts w:ascii="Arial" w:hAnsi="Arial" w:eastAsia="Calibri" w:cs="Arial"/>
          <w:b/>
        </w:rPr>
      </w:pPr>
      <w:r>
        <w:rPr>
          <w:rFonts w:ascii="Arial" w:hAnsi="Arial" w:eastAsia="Calibri" w:cs="Arial"/>
          <w:b/>
        </w:rPr>
        <w:t>PREGÃO ELETRÔNICO Nº 141/2023</w:t>
      </w:r>
    </w:p>
    <w:p>
      <w:pPr>
        <w:pStyle w:val="5"/>
        <w:keepNext w:val="0"/>
        <w:widowControl w:val="0"/>
        <w:spacing w:before="120" w:after="120"/>
        <w:ind w:right="-1"/>
        <w:jc w:val="center"/>
        <w:rPr>
          <w:rFonts w:ascii="Arial" w:hAnsi="Arial" w:eastAsia="Calibri" w:cs="Arial"/>
        </w:rPr>
      </w:pPr>
      <w:r>
        <w:rPr>
          <w:rFonts w:ascii="Arial" w:hAnsi="Arial" w:eastAsia="Calibri" w:cs="Arial"/>
        </w:rPr>
        <w:t>ANEXO IV</w:t>
      </w:r>
    </w:p>
    <w:p>
      <w:pPr>
        <w:widowControl w:val="0"/>
        <w:spacing w:before="120" w:after="120"/>
        <w:jc w:val="center"/>
        <w:rPr>
          <w:rFonts w:ascii="Arial" w:hAnsi="Arial" w:eastAsia="Calibri" w:cs="Arial"/>
          <w:b/>
        </w:rPr>
      </w:pPr>
      <w:r>
        <w:rPr>
          <w:rFonts w:ascii="Arial" w:hAnsi="Arial" w:eastAsia="Calibri" w:cs="Arial"/>
          <w:b/>
        </w:rPr>
        <w:t xml:space="preserve">MODELO DE DECLARAÇÃO DE SUPERVENIÊNCIA DE FATOS </w:t>
      </w:r>
    </w:p>
    <w:p>
      <w:pPr>
        <w:widowControl w:val="0"/>
        <w:spacing w:before="120" w:after="120"/>
        <w:jc w:val="center"/>
        <w:rPr>
          <w:rFonts w:ascii="Arial" w:hAnsi="Arial" w:eastAsia="Calibri" w:cs="Arial"/>
          <w:b/>
        </w:rPr>
      </w:pPr>
      <w:r>
        <w:rPr>
          <w:rFonts w:ascii="Arial" w:hAnsi="Arial" w:eastAsia="Calibri" w:cs="Arial"/>
          <w:b/>
        </w:rPr>
        <w:t>IMPEDITIVOS</w:t>
      </w:r>
    </w:p>
    <w:p>
      <w:pPr>
        <w:widowControl w:val="0"/>
        <w:jc w:val="center"/>
        <w:rPr>
          <w:rFonts w:ascii="Arial" w:hAnsi="Arial" w:eastAsia="Calibri" w:cs="Arial"/>
          <w:b/>
          <w:color w:val="FF0000"/>
        </w:rPr>
      </w:pPr>
      <w:r>
        <w:rPr>
          <w:rFonts w:ascii="Arial" w:hAnsi="Arial" w:eastAsia="Calibri" w:cs="Arial"/>
          <w:b/>
          <w:color w:val="FF0000"/>
        </w:rPr>
        <w:t>(papel timbrado da empresa)</w:t>
      </w:r>
    </w:p>
    <w:p>
      <w:pPr>
        <w:widowControl w:val="0"/>
        <w:jc w:val="both"/>
        <w:rPr>
          <w:rFonts w:ascii="Arial" w:hAnsi="Arial" w:eastAsia="Calibri" w:cs="Arial"/>
          <w:b/>
          <w:sz w:val="28"/>
        </w:rPr>
      </w:pPr>
    </w:p>
    <w:p>
      <w:pPr>
        <w:pStyle w:val="24"/>
        <w:widowControl w:val="0"/>
        <w:ind w:firstLine="1416"/>
        <w:rPr>
          <w:rFonts w:ascii="Arial" w:hAnsi="Arial" w:eastAsia="Calibri" w:cs="Arial"/>
          <w:strike w:val="0"/>
        </w:rPr>
      </w:pPr>
    </w:p>
    <w:p>
      <w:pPr>
        <w:pStyle w:val="24"/>
        <w:widowControl w:val="0"/>
        <w:ind w:firstLine="1416"/>
        <w:rPr>
          <w:rFonts w:ascii="Arial" w:hAnsi="Arial" w:eastAsia="Calibri" w:cs="Arial"/>
          <w:strike w:val="0"/>
        </w:rPr>
      </w:pPr>
    </w:p>
    <w:p>
      <w:pPr>
        <w:pStyle w:val="24"/>
        <w:widowControl w:val="0"/>
        <w:ind w:firstLine="1416"/>
        <w:rPr>
          <w:rFonts w:ascii="Arial" w:hAnsi="Arial" w:eastAsia="Calibri" w:cs="Arial"/>
          <w:strike w:val="0"/>
        </w:rPr>
      </w:pPr>
    </w:p>
    <w:p>
      <w:pPr>
        <w:pStyle w:val="24"/>
        <w:widowControl w:val="0"/>
        <w:ind w:firstLine="1416"/>
        <w:rPr>
          <w:rFonts w:ascii="Arial" w:hAnsi="Arial" w:eastAsia="Calibri" w:cs="Arial"/>
          <w:strike w:val="0"/>
        </w:rPr>
      </w:pPr>
    </w:p>
    <w:p>
      <w:pPr>
        <w:pStyle w:val="24"/>
        <w:rPr>
          <w:rFonts w:ascii="Arial" w:hAnsi="Arial" w:eastAsia="Calibri" w:cs="Arial"/>
          <w:strike w:val="0"/>
        </w:rPr>
      </w:pPr>
      <w:r>
        <w:rPr>
          <w:rFonts w:ascii="Arial" w:hAnsi="Arial" w:eastAsia="Calibri" w:cs="Arial"/>
          <w:strike w:val="0"/>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ascii="Arial" w:hAnsi="Arial" w:eastAsia="Calibri" w:cs="Arial"/>
          <w:b/>
          <w:strike w:val="0"/>
        </w:rPr>
        <w:t>Pregão Eletrônico n° 141/2023</w:t>
      </w:r>
      <w:r>
        <w:rPr>
          <w:rFonts w:ascii="Arial" w:hAnsi="Arial" w:eastAsia="Calibri" w:cs="Arial"/>
          <w:strike w:val="0"/>
        </w:rPr>
        <w:t>, na forma determinada no § 2º, do artigo 32, da lei 8666/93 e alterações, devidamente assinada pelo representante legal da empresa participante.</w:t>
      </w:r>
    </w:p>
    <w:p>
      <w:pPr>
        <w:pStyle w:val="24"/>
        <w:widowControl w:val="0"/>
        <w:rPr>
          <w:rFonts w:ascii="Arial" w:hAnsi="Arial" w:eastAsia="Calibri" w:cs="Arial"/>
          <w:strike w:val="0"/>
          <w:sz w:val="20"/>
        </w:rPr>
      </w:pPr>
    </w:p>
    <w:p>
      <w:pPr>
        <w:pStyle w:val="24"/>
        <w:widowControl w:val="0"/>
        <w:rPr>
          <w:rFonts w:ascii="Arial" w:hAnsi="Arial" w:eastAsia="Calibri" w:cs="Arial"/>
          <w:strike w:val="0"/>
        </w:rPr>
      </w:pPr>
    </w:p>
    <w:p>
      <w:pPr>
        <w:pStyle w:val="24"/>
        <w:widowControl w:val="0"/>
        <w:ind w:right="-1"/>
        <w:rPr>
          <w:rFonts w:ascii="Arial" w:hAnsi="Arial" w:eastAsia="Calibri" w:cs="Arial"/>
          <w:strike w:val="0"/>
        </w:rPr>
      </w:pPr>
    </w:p>
    <w:p>
      <w:pPr>
        <w:pStyle w:val="24"/>
        <w:widowControl w:val="0"/>
        <w:ind w:right="-1" w:firstLine="0"/>
        <w:jc w:val="center"/>
        <w:rPr>
          <w:rFonts w:ascii="Arial" w:hAnsi="Arial" w:eastAsia="Calibri" w:cs="Arial"/>
          <w:strike w:val="0"/>
        </w:rPr>
      </w:pPr>
      <w:r>
        <w:rPr>
          <w:rFonts w:ascii="Arial" w:hAnsi="Arial" w:eastAsia="Calibri" w:cs="Arial"/>
          <w:strike w:val="0"/>
        </w:rPr>
        <w:t>Local e data,</w:t>
      </w:r>
    </w:p>
    <w:p>
      <w:pPr>
        <w:pStyle w:val="24"/>
        <w:widowControl w:val="0"/>
        <w:ind w:right="-1"/>
        <w:jc w:val="center"/>
        <w:rPr>
          <w:rFonts w:ascii="Arial" w:hAnsi="Arial" w:eastAsia="Calibri" w:cs="Arial"/>
          <w:strike w:val="0"/>
        </w:rPr>
      </w:pPr>
    </w:p>
    <w:p>
      <w:pPr>
        <w:pStyle w:val="24"/>
        <w:widowControl w:val="0"/>
        <w:ind w:right="-1"/>
        <w:jc w:val="center"/>
        <w:rPr>
          <w:rFonts w:ascii="Arial" w:hAnsi="Arial" w:eastAsia="Calibri" w:cs="Arial"/>
          <w:strike w:val="0"/>
        </w:rPr>
      </w:pPr>
    </w:p>
    <w:p>
      <w:pPr>
        <w:pStyle w:val="24"/>
        <w:widowControl w:val="0"/>
        <w:tabs>
          <w:tab w:val="left" w:pos="0"/>
        </w:tabs>
        <w:ind w:right="-1" w:firstLine="0"/>
        <w:jc w:val="center"/>
        <w:rPr>
          <w:rFonts w:ascii="Arial" w:hAnsi="Arial" w:eastAsia="Calibri" w:cs="Arial"/>
          <w:strike w:val="0"/>
        </w:rPr>
      </w:pPr>
    </w:p>
    <w:p>
      <w:pPr>
        <w:pStyle w:val="24"/>
        <w:widowControl w:val="0"/>
        <w:tabs>
          <w:tab w:val="left" w:pos="0"/>
        </w:tabs>
        <w:ind w:right="-1" w:firstLine="0"/>
        <w:jc w:val="center"/>
        <w:rPr>
          <w:rFonts w:ascii="Arial" w:hAnsi="Arial" w:eastAsia="Calibri" w:cs="Arial"/>
          <w:strike w:val="0"/>
        </w:rPr>
      </w:pPr>
      <w:r>
        <w:rPr>
          <w:rFonts w:ascii="Arial" w:hAnsi="Arial" w:eastAsia="Calibri" w:cs="Arial"/>
          <w:strike w:val="0"/>
        </w:rPr>
        <w:t>_____________________________________________</w:t>
      </w:r>
    </w:p>
    <w:p>
      <w:pPr>
        <w:widowControl w:val="0"/>
        <w:tabs>
          <w:tab w:val="left" w:pos="0"/>
        </w:tabs>
        <w:ind w:right="-1"/>
        <w:jc w:val="center"/>
        <w:rPr>
          <w:rFonts w:ascii="Arial" w:hAnsi="Arial" w:eastAsia="Calibri" w:cs="Arial"/>
        </w:rPr>
      </w:pPr>
      <w:r>
        <w:rPr>
          <w:rFonts w:ascii="Arial" w:hAnsi="Arial" w:eastAsia="Calibri" w:cs="Arial"/>
        </w:rPr>
        <w:t>(assinatura e identificação do responsável pela empresa)</w:t>
      </w:r>
    </w:p>
    <w:p>
      <w:pPr>
        <w:widowControl w:val="0"/>
        <w:ind w:right="-1"/>
        <w:jc w:val="center"/>
        <w:rPr>
          <w:rFonts w:ascii="Arial" w:hAnsi="Arial" w:eastAsia="Calibri" w:cs="Arial"/>
          <w:sz w:val="20"/>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jc w:val="center"/>
        <w:rPr>
          <w:rFonts w:ascii="Arial" w:hAnsi="Arial" w:eastAsia="Calibri" w:cs="Arial"/>
          <w:b/>
        </w:rPr>
      </w:pPr>
    </w:p>
    <w:p>
      <w:pPr>
        <w:pStyle w:val="31"/>
        <w:widowControl w:val="0"/>
        <w:rPr>
          <w:rFonts w:ascii="Arial" w:hAnsi="Arial" w:eastAsia="Calibri" w:cs="Arial"/>
          <w:b/>
        </w:rPr>
      </w:pPr>
    </w:p>
    <w:p>
      <w:pPr>
        <w:widowControl w:val="0"/>
        <w:spacing w:after="120"/>
        <w:jc w:val="center"/>
        <w:rPr>
          <w:rFonts w:ascii="Arial" w:hAnsi="Arial" w:eastAsia="Calibri" w:cs="Arial"/>
          <w:b/>
        </w:rPr>
      </w:pPr>
      <w:r>
        <w:rPr>
          <w:rFonts w:ascii="Arial" w:hAnsi="Arial" w:eastAsia="Calibri" w:cs="Arial"/>
          <w:b/>
        </w:rPr>
        <w:t>PREGÃO ELETRÔNICO Nº 141/2023</w:t>
      </w:r>
    </w:p>
    <w:p>
      <w:pPr>
        <w:widowControl w:val="0"/>
        <w:spacing w:after="120"/>
        <w:jc w:val="center"/>
        <w:rPr>
          <w:rFonts w:ascii="Arial" w:hAnsi="Arial" w:eastAsia="Calibri" w:cs="Arial"/>
          <w:b/>
        </w:rPr>
      </w:pPr>
      <w:r>
        <w:rPr>
          <w:rFonts w:ascii="Arial" w:hAnsi="Arial" w:eastAsia="Calibri" w:cs="Arial"/>
          <w:b/>
        </w:rPr>
        <w:t>ANEXO V</w:t>
      </w:r>
    </w:p>
    <w:p>
      <w:pPr>
        <w:widowControl w:val="0"/>
        <w:jc w:val="center"/>
        <w:rPr>
          <w:rFonts w:ascii="Arial" w:hAnsi="Arial" w:eastAsia="Calibri" w:cs="Arial"/>
          <w:b/>
          <w:color w:val="FF0000"/>
        </w:rPr>
      </w:pPr>
      <w:r>
        <w:rPr>
          <w:rFonts w:ascii="Arial" w:hAnsi="Arial" w:eastAsia="Calibri" w:cs="Arial"/>
          <w:b/>
          <w:color w:val="FF0000"/>
        </w:rPr>
        <w:t>(papel timbrado da empresa)</w:t>
      </w:r>
    </w:p>
    <w:p>
      <w:pPr>
        <w:widowControl w:val="0"/>
        <w:spacing w:after="120"/>
        <w:jc w:val="both"/>
        <w:rPr>
          <w:rFonts w:ascii="Arial" w:hAnsi="Arial" w:eastAsia="Calibri" w:cs="Arial"/>
          <w:b/>
        </w:rPr>
      </w:pPr>
      <w:r>
        <w:rPr>
          <w:rFonts w:ascii="Arial" w:hAnsi="Arial" w:eastAsia="Calibri" w:cs="Arial"/>
          <w:b/>
        </w:rPr>
        <w:t>REQUERIMENTO DE BENEFÍCIO DO TRATAMENTO DIFERENCIADO E DECLA</w:t>
      </w:r>
      <w:r>
        <w:rPr>
          <w:rFonts w:ascii="Arial" w:hAnsi="Arial" w:eastAsia="Calibri" w:cs="Arial"/>
          <w:b/>
        </w:rPr>
        <w:softHyphen/>
      </w:r>
      <w:r>
        <w:rPr>
          <w:rFonts w:ascii="Arial" w:hAnsi="Arial" w:eastAsia="Calibri" w:cs="Arial"/>
          <w:b/>
        </w:rPr>
        <w:t>RA</w:t>
      </w:r>
      <w:r>
        <w:rPr>
          <w:rFonts w:ascii="Arial" w:hAnsi="Arial" w:eastAsia="Calibri" w:cs="Arial"/>
          <w:b/>
        </w:rPr>
        <w:softHyphen/>
      </w:r>
      <w:r>
        <w:rPr>
          <w:rFonts w:ascii="Arial" w:hAnsi="Arial" w:eastAsia="Calibri" w:cs="Arial"/>
          <w:b/>
        </w:rPr>
        <w:t>ÇÃO PARA MICROEMPRESAS E EMPRESAS DE PEQUENO PORTE (Lei Comple</w:t>
      </w:r>
      <w:r>
        <w:rPr>
          <w:rFonts w:ascii="Arial" w:hAnsi="Arial" w:eastAsia="Calibri" w:cs="Arial"/>
          <w:b/>
        </w:rPr>
        <w:softHyphen/>
      </w:r>
      <w:r>
        <w:rPr>
          <w:rFonts w:ascii="Arial" w:hAnsi="Arial" w:eastAsia="Calibri" w:cs="Arial"/>
          <w:b/>
        </w:rPr>
        <w:t>men</w:t>
      </w:r>
      <w:r>
        <w:rPr>
          <w:rFonts w:ascii="Arial" w:hAnsi="Arial" w:eastAsia="Calibri" w:cs="Arial"/>
          <w:b/>
        </w:rPr>
        <w:softHyphen/>
      </w:r>
      <w:r>
        <w:rPr>
          <w:rFonts w:ascii="Arial" w:hAnsi="Arial" w:eastAsia="Calibri" w:cs="Arial"/>
          <w:b/>
        </w:rPr>
        <w:t>tar nº 123/2006)</w:t>
      </w:r>
    </w:p>
    <w:p>
      <w:pPr>
        <w:widowControl w:val="0"/>
        <w:spacing w:after="120"/>
        <w:jc w:val="both"/>
        <w:rPr>
          <w:rFonts w:ascii="Arial" w:hAnsi="Arial" w:eastAsia="Calibri" w:cs="Arial"/>
        </w:rPr>
      </w:pPr>
    </w:p>
    <w:p>
      <w:pPr>
        <w:widowControl w:val="0"/>
        <w:spacing w:after="120"/>
        <w:jc w:val="both"/>
        <w:rPr>
          <w:rFonts w:ascii="Arial" w:hAnsi="Arial" w:eastAsia="Calibri" w:cs="Arial"/>
        </w:rPr>
      </w:pPr>
    </w:p>
    <w:p>
      <w:pPr>
        <w:widowControl w:val="0"/>
        <w:spacing w:after="120"/>
        <w:jc w:val="both"/>
        <w:rPr>
          <w:rFonts w:ascii="Arial" w:hAnsi="Arial" w:eastAsia="Calibri" w:cs="Arial"/>
        </w:rPr>
      </w:pPr>
      <w:r>
        <w:rPr>
          <w:rFonts w:ascii="Arial" w:hAnsi="Arial" w:eastAsia="Calibri" w:cs="Arial"/>
        </w:rPr>
        <w:tab/>
      </w:r>
      <w:r>
        <w:rPr>
          <w:rFonts w:ascii="Arial" w:hAnsi="Arial" w:eastAsia="Calibri" w:cs="Arial"/>
        </w:rPr>
        <w:t>_____________________________________, portador (a) da Carteira de Identidade R.G. nº. ______________ - SSP/_____ e do CPF/MF nº. ________________, represen</w:t>
      </w:r>
      <w:r>
        <w:rPr>
          <w:rFonts w:ascii="Arial" w:hAnsi="Arial" w:eastAsia="Calibri" w:cs="Arial"/>
        </w:rPr>
        <w:softHyphen/>
      </w:r>
      <w:r>
        <w:rPr>
          <w:rFonts w:ascii="Arial" w:hAnsi="Arial" w:eastAsia="Calibri" w:cs="Arial"/>
        </w:rPr>
        <w:t>tante da empresa ____________________________________, CNPJ/MF nº _______________________, solicitamos na condição de MICROEMPRESA/EMPRESA DE PEQUENO PORTE, quando da sua participação na licitação, modalidade Pregão Eletrônico Nº. 141/2023 seja dado o tratamento diferenciado concedido a essas em</w:t>
      </w:r>
      <w:r>
        <w:rPr>
          <w:rFonts w:ascii="Arial" w:hAnsi="Arial" w:eastAsia="Calibri" w:cs="Arial"/>
        </w:rPr>
        <w:softHyphen/>
      </w:r>
      <w:r>
        <w:rPr>
          <w:rFonts w:ascii="Arial" w:hAnsi="Arial" w:eastAsia="Calibri" w:cs="Arial"/>
        </w:rPr>
        <w:t xml:space="preserve">presas com base nos artigos 42 a 45 da Lei Complementar nº. 123/2006. </w:t>
      </w:r>
    </w:p>
    <w:p>
      <w:pPr>
        <w:widowControl w:val="0"/>
        <w:spacing w:after="120"/>
        <w:ind w:firstLine="708"/>
        <w:jc w:val="both"/>
        <w:rPr>
          <w:rFonts w:ascii="Arial" w:hAnsi="Arial" w:eastAsia="Calibri" w:cs="Arial"/>
        </w:rPr>
      </w:pPr>
      <w:r>
        <w:rPr>
          <w:rFonts w:ascii="Arial" w:hAnsi="Arial" w:eastAsia="Calibri" w:cs="Arial"/>
        </w:rPr>
        <w:t xml:space="preserve">Declaramos ainda, que não existe qualquer impedimento entre os previstos nos incisos do § 4º do artigo 3º da Lei Complementar Federal nº. 123/2006. </w:t>
      </w:r>
    </w:p>
    <w:p>
      <w:pPr>
        <w:widowControl w:val="0"/>
        <w:spacing w:after="120"/>
        <w:ind w:firstLine="708"/>
        <w:jc w:val="both"/>
        <w:rPr>
          <w:rFonts w:ascii="Arial" w:hAnsi="Arial" w:eastAsia="Calibri" w:cs="Arial"/>
          <w:b/>
        </w:rPr>
      </w:pPr>
      <w:r>
        <w:rPr>
          <w:rFonts w:ascii="Arial" w:hAnsi="Arial" w:eastAsia="Calibri" w:cs="Arial"/>
          <w:b/>
        </w:rPr>
        <w:t>Como prova da referida condição, apresentamos em documento anexo, CERTIDÃO emi</w:t>
      </w:r>
      <w:r>
        <w:rPr>
          <w:rFonts w:ascii="Arial" w:hAnsi="Arial" w:eastAsia="Calibri" w:cs="Arial"/>
          <w:b/>
        </w:rPr>
        <w:softHyphen/>
      </w:r>
      <w:r>
        <w:rPr>
          <w:rFonts w:ascii="Arial" w:hAnsi="Arial" w:eastAsia="Calibri" w:cs="Arial"/>
          <w:b/>
        </w:rPr>
        <w:t>tida pela Junta Comercial para comprovação da condição de Microempresa ou Em</w:t>
      </w:r>
      <w:r>
        <w:rPr>
          <w:rFonts w:ascii="Arial" w:hAnsi="Arial" w:eastAsia="Calibri" w:cs="Arial"/>
          <w:b/>
        </w:rPr>
        <w:softHyphen/>
      </w:r>
      <w:r>
        <w:rPr>
          <w:rFonts w:ascii="Arial" w:hAnsi="Arial" w:eastAsia="Calibri" w:cs="Arial"/>
          <w:b/>
        </w:rPr>
        <w:t xml:space="preserve">presa de Pequeno Porte. </w:t>
      </w:r>
    </w:p>
    <w:p>
      <w:pPr>
        <w:widowControl w:val="0"/>
        <w:spacing w:after="120"/>
        <w:jc w:val="both"/>
        <w:rPr>
          <w:rFonts w:ascii="Arial" w:hAnsi="Arial" w:eastAsia="Calibri" w:cs="Arial"/>
        </w:rPr>
      </w:pPr>
    </w:p>
    <w:p>
      <w:pPr>
        <w:widowControl w:val="0"/>
        <w:spacing w:after="120"/>
        <w:jc w:val="center"/>
        <w:rPr>
          <w:rFonts w:ascii="Arial" w:hAnsi="Arial" w:eastAsia="Calibri" w:cs="Arial"/>
        </w:rPr>
      </w:pPr>
      <w:r>
        <w:rPr>
          <w:rFonts w:ascii="Arial" w:hAnsi="Arial" w:eastAsia="Calibri" w:cs="Arial"/>
        </w:rPr>
        <w:t>Local e data</w:t>
      </w:r>
    </w:p>
    <w:p>
      <w:pPr>
        <w:widowControl w:val="0"/>
        <w:spacing w:after="120"/>
        <w:jc w:val="both"/>
        <w:rPr>
          <w:rFonts w:ascii="Arial" w:hAnsi="Arial" w:eastAsia="Calibri" w:cs="Arial"/>
        </w:rPr>
      </w:pPr>
    </w:p>
    <w:p>
      <w:pPr>
        <w:widowControl w:val="0"/>
        <w:spacing w:after="120"/>
        <w:jc w:val="both"/>
        <w:rPr>
          <w:rFonts w:ascii="Arial" w:hAnsi="Arial" w:eastAsia="Calibri" w:cs="Arial"/>
        </w:rPr>
      </w:pPr>
    </w:p>
    <w:p>
      <w:pPr>
        <w:widowControl w:val="0"/>
        <w:jc w:val="center"/>
        <w:rPr>
          <w:rFonts w:ascii="Arial" w:hAnsi="Arial" w:eastAsia="Calibri" w:cs="Arial"/>
        </w:rPr>
      </w:pPr>
      <w:r>
        <w:rPr>
          <w:rFonts w:ascii="Arial" w:hAnsi="Arial" w:eastAsia="Calibri" w:cs="Arial"/>
        </w:rPr>
        <w:t>_____________________________________</w:t>
      </w:r>
    </w:p>
    <w:p>
      <w:pPr>
        <w:widowControl w:val="0"/>
        <w:jc w:val="center"/>
        <w:rPr>
          <w:rFonts w:ascii="Arial" w:hAnsi="Arial" w:eastAsia="Calibri" w:cs="Arial"/>
        </w:rPr>
      </w:pPr>
      <w:r>
        <w:rPr>
          <w:rFonts w:ascii="Arial" w:hAnsi="Arial" w:eastAsia="Calibri" w:cs="Arial"/>
        </w:rPr>
        <w:t>Assinatura do representante legal sob carimbo</w:t>
      </w:r>
    </w:p>
    <w:p>
      <w:pPr>
        <w:widowControl w:val="0"/>
        <w:jc w:val="center"/>
        <w:rPr>
          <w:rFonts w:ascii="Arial" w:hAnsi="Arial" w:eastAsia="Calibri" w:cs="Arial"/>
        </w:rPr>
      </w:pPr>
      <w:r>
        <w:rPr>
          <w:rFonts w:ascii="Arial" w:hAnsi="Arial" w:eastAsia="Calibri" w:cs="Arial"/>
        </w:rPr>
        <w:t>RG:</w:t>
      </w:r>
    </w:p>
    <w:p>
      <w:pPr>
        <w:widowControl w:val="0"/>
        <w:jc w:val="center"/>
        <w:rPr>
          <w:rFonts w:ascii="Arial" w:hAnsi="Arial" w:eastAsia="Calibri" w:cs="Arial"/>
        </w:rPr>
      </w:pPr>
      <w:r>
        <w:rPr>
          <w:rFonts w:ascii="Arial" w:hAnsi="Arial" w:eastAsia="Calibri" w:cs="Arial"/>
        </w:rPr>
        <w:t>CPF:</w:t>
      </w:r>
    </w:p>
    <w:p>
      <w:pPr>
        <w:widowControl w:val="0"/>
        <w:jc w:val="center"/>
        <w:rPr>
          <w:rFonts w:ascii="Arial" w:hAnsi="Arial" w:eastAsia="Calibri" w:cs="Arial"/>
        </w:rPr>
      </w:pPr>
      <w:r>
        <w:rPr>
          <w:rFonts w:ascii="Arial" w:hAnsi="Arial" w:eastAsia="Calibri" w:cs="Arial"/>
        </w:rPr>
        <w:t>CNPJ/MF da empresa</w:t>
      </w:r>
    </w:p>
    <w:p>
      <w:pPr>
        <w:widowControl w:val="0"/>
        <w:jc w:val="both"/>
        <w:rPr>
          <w:rFonts w:ascii="Arial" w:hAnsi="Arial" w:eastAsia="Calibri" w:cs="Arial"/>
          <w:sz w:val="20"/>
        </w:rPr>
      </w:pPr>
    </w:p>
    <w:p>
      <w:pPr>
        <w:widowControl w:val="0"/>
        <w:spacing w:after="120"/>
        <w:jc w:val="both"/>
        <w:rPr>
          <w:rFonts w:ascii="Arial" w:hAnsi="Arial" w:eastAsia="Calibri" w:cs="Arial"/>
          <w:b/>
          <w:color w:val="FF0000"/>
          <w:sz w:val="36"/>
        </w:rPr>
      </w:pPr>
    </w:p>
    <w:p>
      <w:pPr>
        <w:widowControl w:val="0"/>
        <w:spacing w:after="120"/>
        <w:jc w:val="center"/>
        <w:rPr>
          <w:rFonts w:ascii="Arial" w:hAnsi="Arial" w:eastAsia="Calibri" w:cs="Arial"/>
          <w:b/>
        </w:rPr>
      </w:pPr>
    </w:p>
    <w:p>
      <w:pPr>
        <w:widowControl w:val="0"/>
        <w:spacing w:after="120"/>
        <w:jc w:val="center"/>
        <w:rPr>
          <w:rFonts w:ascii="Arial" w:hAnsi="Arial" w:eastAsia="Calibri" w:cs="Arial"/>
          <w:b/>
        </w:rPr>
      </w:pPr>
    </w:p>
    <w:p>
      <w:pPr>
        <w:widowControl w:val="0"/>
        <w:spacing w:after="120"/>
        <w:jc w:val="center"/>
        <w:rPr>
          <w:rFonts w:ascii="Arial" w:hAnsi="Arial" w:eastAsia="Calibri" w:cs="Arial"/>
          <w:b/>
        </w:rPr>
      </w:pPr>
    </w:p>
    <w:p>
      <w:pPr>
        <w:widowControl w:val="0"/>
        <w:spacing w:after="120"/>
        <w:jc w:val="center"/>
        <w:rPr>
          <w:rFonts w:ascii="Arial" w:hAnsi="Arial" w:eastAsia="Calibri" w:cs="Arial"/>
          <w:b/>
        </w:rPr>
      </w:pPr>
    </w:p>
    <w:p>
      <w:pPr>
        <w:widowControl w:val="0"/>
        <w:spacing w:after="120"/>
        <w:jc w:val="center"/>
        <w:rPr>
          <w:rFonts w:ascii="Arial" w:hAnsi="Arial" w:eastAsia="Calibri" w:cs="Arial"/>
          <w:b/>
        </w:rPr>
      </w:pPr>
    </w:p>
    <w:p>
      <w:pPr>
        <w:widowControl w:val="0"/>
        <w:spacing w:after="120"/>
        <w:jc w:val="center"/>
        <w:rPr>
          <w:rFonts w:ascii="Arial" w:hAnsi="Arial" w:eastAsia="Calibri" w:cs="Arial"/>
          <w:b/>
        </w:rPr>
      </w:pPr>
    </w:p>
    <w:p>
      <w:pPr>
        <w:widowControl w:val="0"/>
        <w:spacing w:after="120"/>
        <w:jc w:val="center"/>
        <w:rPr>
          <w:rFonts w:ascii="Arial" w:hAnsi="Arial" w:eastAsia="Calibri" w:cs="Arial"/>
          <w:b/>
        </w:rPr>
      </w:pPr>
    </w:p>
    <w:p>
      <w:pPr>
        <w:widowControl w:val="0"/>
        <w:spacing w:after="120"/>
        <w:jc w:val="both"/>
        <w:rPr>
          <w:rFonts w:ascii="Arial" w:hAnsi="Arial" w:eastAsia="Calibri" w:cs="Arial"/>
          <w:b/>
        </w:rPr>
      </w:pPr>
    </w:p>
    <w:p>
      <w:pPr>
        <w:widowControl w:val="0"/>
        <w:spacing w:after="120"/>
        <w:jc w:val="center"/>
        <w:rPr>
          <w:rFonts w:ascii="Arial" w:hAnsi="Arial" w:eastAsia="Calibri" w:cs="Arial"/>
          <w:b/>
        </w:rPr>
      </w:pPr>
      <w:r>
        <w:rPr>
          <w:rFonts w:ascii="Arial" w:hAnsi="Arial" w:eastAsia="Calibri" w:cs="Arial"/>
          <w:b/>
        </w:rPr>
        <w:t>PREGÃO ELETRÔNICO Nº 141/2023</w:t>
      </w:r>
    </w:p>
    <w:p>
      <w:pPr>
        <w:pStyle w:val="25"/>
        <w:tabs>
          <w:tab w:val="left" w:pos="-1985"/>
        </w:tabs>
        <w:spacing w:before="120" w:after="120"/>
        <w:ind w:right="0"/>
        <w:rPr>
          <w:rFonts w:ascii="Arial" w:hAnsi="Arial" w:eastAsia="Calibri" w:cs="Arial"/>
          <w:color w:val="000000"/>
          <w:sz w:val="24"/>
        </w:rPr>
      </w:pPr>
      <w:r>
        <w:rPr>
          <w:rFonts w:ascii="Arial" w:hAnsi="Arial" w:eastAsia="Calibri" w:cs="Arial"/>
          <w:color w:val="000000"/>
          <w:sz w:val="24"/>
        </w:rPr>
        <w:t>ANEXO VI</w:t>
      </w:r>
    </w:p>
    <w:p>
      <w:pPr>
        <w:widowControl w:val="0"/>
        <w:jc w:val="center"/>
        <w:rPr>
          <w:rFonts w:ascii="Arial" w:hAnsi="Arial" w:eastAsia="Calibri" w:cs="Arial"/>
          <w:b/>
          <w:color w:val="FF0000"/>
        </w:rPr>
      </w:pPr>
      <w:r>
        <w:rPr>
          <w:rFonts w:ascii="Arial" w:hAnsi="Arial" w:eastAsia="Calibri" w:cs="Arial"/>
          <w:b/>
          <w:color w:val="FF0000"/>
        </w:rPr>
        <w:t>(papel timbrado da empresa/órgão emissor)</w:t>
      </w:r>
    </w:p>
    <w:p>
      <w:pPr>
        <w:pStyle w:val="25"/>
        <w:tabs>
          <w:tab w:val="left" w:pos="-1985"/>
        </w:tabs>
        <w:spacing w:before="120" w:after="120"/>
        <w:ind w:right="0"/>
        <w:rPr>
          <w:rFonts w:ascii="Arial" w:hAnsi="Arial" w:eastAsia="Calibri" w:cs="Arial"/>
          <w:color w:val="000000"/>
          <w:sz w:val="24"/>
        </w:rPr>
      </w:pPr>
      <w:r>
        <w:rPr>
          <w:rFonts w:ascii="Arial" w:hAnsi="Arial" w:eastAsia="Calibri" w:cs="Arial"/>
          <w:color w:val="000000"/>
          <w:sz w:val="24"/>
        </w:rPr>
        <w:t>MODELO DE ATESTADO (OU DECLARAÇÃO) DE CAPACIDADE TÉCNICA</w:t>
      </w:r>
    </w:p>
    <w:p>
      <w:pPr>
        <w:pStyle w:val="25"/>
        <w:tabs>
          <w:tab w:val="left" w:pos="-1985"/>
        </w:tabs>
        <w:rPr>
          <w:rFonts w:ascii="Arial" w:hAnsi="Arial" w:eastAsia="Calibri" w:cs="Arial"/>
          <w:color w:val="000000"/>
          <w:sz w:val="24"/>
        </w:rPr>
      </w:pPr>
    </w:p>
    <w:p>
      <w:pPr>
        <w:pStyle w:val="25"/>
        <w:tabs>
          <w:tab w:val="left" w:pos="-1985"/>
        </w:tabs>
        <w:rPr>
          <w:rFonts w:ascii="Arial" w:hAnsi="Arial" w:eastAsia="Calibri" w:cs="Arial"/>
          <w:color w:val="000000"/>
          <w:sz w:val="24"/>
        </w:rPr>
      </w:pPr>
    </w:p>
    <w:p>
      <w:pPr>
        <w:pStyle w:val="25"/>
        <w:tabs>
          <w:tab w:val="left" w:pos="-1985"/>
        </w:tabs>
        <w:rPr>
          <w:rFonts w:ascii="Arial" w:hAnsi="Arial" w:eastAsia="Calibri" w:cs="Arial"/>
          <w:color w:val="000000"/>
          <w:sz w:val="24"/>
        </w:rPr>
      </w:pPr>
    </w:p>
    <w:p>
      <w:pPr>
        <w:widowControl w:val="0"/>
        <w:rPr>
          <w:rFonts w:ascii="Arial" w:hAnsi="Arial" w:eastAsia="Calibri" w:cs="Arial"/>
          <w:color w:val="000000"/>
        </w:rPr>
      </w:pPr>
    </w:p>
    <w:p>
      <w:pPr>
        <w:widowControl w:val="0"/>
        <w:rPr>
          <w:rFonts w:ascii="Arial" w:hAnsi="Arial" w:eastAsia="Calibri" w:cs="Arial"/>
          <w:color w:val="000000"/>
        </w:rPr>
      </w:pPr>
    </w:p>
    <w:p>
      <w:pPr>
        <w:widowControl w:val="0"/>
        <w:rPr>
          <w:rFonts w:ascii="Arial" w:hAnsi="Arial" w:eastAsia="Calibri" w:cs="Arial"/>
          <w:color w:val="000000"/>
        </w:rPr>
      </w:pPr>
    </w:p>
    <w:p>
      <w:pPr>
        <w:widowControl w:val="0"/>
        <w:rPr>
          <w:rFonts w:ascii="Arial" w:hAnsi="Arial" w:eastAsia="Calibri" w:cs="Arial"/>
          <w:color w:val="000000"/>
        </w:rPr>
      </w:pPr>
    </w:p>
    <w:p>
      <w:pPr>
        <w:widowControl w:val="0"/>
        <w:ind w:firstLine="1701"/>
        <w:jc w:val="both"/>
        <w:rPr>
          <w:rFonts w:ascii="Arial" w:hAnsi="Arial" w:eastAsia="Calibri" w:cs="Arial"/>
          <w:color w:val="000000"/>
        </w:rPr>
      </w:pPr>
      <w:r>
        <w:rPr>
          <w:rFonts w:ascii="Arial" w:hAnsi="Arial" w:eastAsia="Calibri" w:cs="Arial"/>
          <w:color w:val="000000"/>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ind w:firstLine="1701"/>
        <w:jc w:val="both"/>
        <w:rPr>
          <w:rFonts w:ascii="Arial" w:hAnsi="Arial" w:eastAsia="Calibri" w:cs="Arial"/>
          <w:color w:val="000000"/>
        </w:rPr>
      </w:pPr>
    </w:p>
    <w:p>
      <w:pPr>
        <w:widowControl w:val="0"/>
        <w:ind w:firstLine="1701"/>
        <w:jc w:val="both"/>
        <w:rPr>
          <w:rFonts w:ascii="Arial" w:hAnsi="Arial" w:eastAsia="Calibri" w:cs="Arial"/>
          <w:color w:val="000000"/>
        </w:rPr>
      </w:pPr>
      <w:r>
        <w:rPr>
          <w:rFonts w:ascii="Arial" w:hAnsi="Arial" w:eastAsia="Calibri" w:cs="Arial"/>
          <w:color w:val="000000"/>
        </w:rPr>
        <w:t>Atestamos (ou declaramos), ainda, que os compromissos assumidos pela empresa foram cumpridos satisfatoriamente, nada constando em nossos arquivos que o desabone comercial ou tecnicamente.</w:t>
      </w:r>
    </w:p>
    <w:p>
      <w:pPr>
        <w:widowControl w:val="0"/>
        <w:ind w:firstLine="1701"/>
        <w:jc w:val="both"/>
        <w:rPr>
          <w:rFonts w:ascii="Arial" w:hAnsi="Arial" w:eastAsia="Calibri" w:cs="Arial"/>
          <w:color w:val="000000"/>
        </w:rPr>
      </w:pPr>
    </w:p>
    <w:p>
      <w:pPr>
        <w:widowControl w:val="0"/>
        <w:ind w:firstLine="1701"/>
        <w:jc w:val="both"/>
        <w:rPr>
          <w:rFonts w:ascii="Arial" w:hAnsi="Arial" w:eastAsia="Calibri" w:cs="Arial"/>
          <w:color w:val="000000"/>
        </w:rPr>
      </w:pPr>
    </w:p>
    <w:p>
      <w:pPr>
        <w:widowControl w:val="0"/>
        <w:ind w:firstLine="1701"/>
        <w:jc w:val="both"/>
        <w:rPr>
          <w:rFonts w:ascii="Arial" w:hAnsi="Arial" w:eastAsia="Calibri" w:cs="Arial"/>
          <w:color w:val="000000"/>
        </w:rPr>
      </w:pPr>
    </w:p>
    <w:p>
      <w:pPr>
        <w:widowControl w:val="0"/>
        <w:jc w:val="center"/>
        <w:rPr>
          <w:rFonts w:ascii="Arial" w:hAnsi="Arial" w:eastAsia="Calibri" w:cs="Arial"/>
          <w:color w:val="000000"/>
        </w:rPr>
      </w:pPr>
      <w:r>
        <w:rPr>
          <w:rFonts w:ascii="Arial" w:hAnsi="Arial" w:eastAsia="Calibri" w:cs="Arial"/>
          <w:color w:val="000000"/>
        </w:rPr>
        <w:t>Local e data</w:t>
      </w:r>
    </w:p>
    <w:p>
      <w:pPr>
        <w:widowControl w:val="0"/>
        <w:jc w:val="center"/>
        <w:rPr>
          <w:rFonts w:ascii="Arial" w:hAnsi="Arial" w:eastAsia="Calibri" w:cs="Arial"/>
          <w:color w:val="000000"/>
        </w:rPr>
      </w:pPr>
    </w:p>
    <w:p>
      <w:pPr>
        <w:widowControl w:val="0"/>
        <w:jc w:val="center"/>
        <w:rPr>
          <w:rFonts w:ascii="Arial" w:hAnsi="Arial" w:eastAsia="Calibri" w:cs="Arial"/>
          <w:color w:val="000000"/>
        </w:rPr>
      </w:pPr>
    </w:p>
    <w:p>
      <w:pPr>
        <w:widowControl w:val="0"/>
        <w:jc w:val="center"/>
        <w:rPr>
          <w:rFonts w:ascii="Arial" w:hAnsi="Arial" w:eastAsia="Calibri" w:cs="Arial"/>
          <w:color w:val="000000"/>
        </w:rPr>
      </w:pPr>
    </w:p>
    <w:p>
      <w:pPr>
        <w:widowControl w:val="0"/>
        <w:jc w:val="center"/>
        <w:rPr>
          <w:rFonts w:ascii="Arial" w:hAnsi="Arial" w:eastAsia="Calibri" w:cs="Arial"/>
          <w:color w:val="000000"/>
        </w:rPr>
      </w:pPr>
    </w:p>
    <w:p>
      <w:pPr>
        <w:widowControl w:val="0"/>
        <w:jc w:val="center"/>
        <w:rPr>
          <w:rFonts w:ascii="Arial" w:hAnsi="Arial" w:eastAsia="Calibri" w:cs="Arial"/>
          <w:color w:val="000000"/>
        </w:rPr>
      </w:pPr>
    </w:p>
    <w:p>
      <w:pPr>
        <w:widowControl w:val="0"/>
        <w:jc w:val="center"/>
        <w:rPr>
          <w:rFonts w:ascii="Arial" w:hAnsi="Arial" w:eastAsia="Calibri" w:cs="Arial"/>
          <w:color w:val="000000"/>
        </w:rPr>
      </w:pPr>
      <w:r>
        <w:rPr>
          <w:rFonts w:ascii="Arial" w:hAnsi="Arial" w:eastAsia="Calibri" w:cs="Arial"/>
          <w:color w:val="000000"/>
        </w:rPr>
        <w:t>______________________________________________</w:t>
      </w:r>
    </w:p>
    <w:p>
      <w:pPr>
        <w:widowControl w:val="0"/>
        <w:jc w:val="center"/>
        <w:rPr>
          <w:rFonts w:ascii="Arial" w:hAnsi="Arial" w:eastAsia="Calibri" w:cs="Arial"/>
          <w:color w:val="000000"/>
        </w:rPr>
      </w:pPr>
      <w:r>
        <w:rPr>
          <w:rFonts w:ascii="Arial" w:hAnsi="Arial" w:eastAsia="Calibri" w:cs="Arial"/>
          <w:color w:val="000000"/>
        </w:rPr>
        <w:t>Assinatura e carimbo do emissor</w:t>
      </w:r>
    </w:p>
    <w:p>
      <w:pPr>
        <w:widowControl w:val="0"/>
        <w:jc w:val="center"/>
        <w:rPr>
          <w:rFonts w:ascii="Arial" w:hAnsi="Arial" w:eastAsia="Calibri" w:cs="Arial"/>
          <w:color w:val="000000"/>
        </w:rPr>
      </w:pPr>
    </w:p>
    <w:p>
      <w:pPr>
        <w:widowControl w:val="0"/>
        <w:jc w:val="center"/>
        <w:rPr>
          <w:rFonts w:ascii="Arial" w:hAnsi="Arial" w:eastAsia="Calibri" w:cs="Arial"/>
          <w:color w:val="000000"/>
        </w:rPr>
      </w:pPr>
    </w:p>
    <w:p>
      <w:pPr>
        <w:widowControl w:val="0"/>
        <w:jc w:val="center"/>
        <w:rPr>
          <w:rFonts w:ascii="Arial" w:hAnsi="Arial" w:eastAsia="Calibri" w:cs="Arial"/>
          <w:color w:val="000000"/>
        </w:rPr>
      </w:pPr>
    </w:p>
    <w:p>
      <w:pPr>
        <w:widowControl w:val="0"/>
        <w:jc w:val="center"/>
        <w:rPr>
          <w:rFonts w:ascii="Arial" w:hAnsi="Arial" w:eastAsia="Calibri" w:cs="Arial"/>
          <w:color w:val="000000"/>
        </w:rPr>
      </w:pPr>
    </w:p>
    <w:p>
      <w:pPr>
        <w:widowControl w:val="0"/>
        <w:rPr>
          <w:rFonts w:ascii="Arial" w:hAnsi="Arial" w:eastAsia="Calibri" w:cs="Arial"/>
          <w:color w:val="000000"/>
        </w:rPr>
      </w:pPr>
    </w:p>
    <w:p>
      <w:pPr>
        <w:widowControl w:val="0"/>
        <w:rPr>
          <w:rFonts w:ascii="Arial" w:hAnsi="Arial" w:eastAsia="Calibri" w:cs="Arial"/>
          <w:color w:val="000000"/>
        </w:rPr>
      </w:pPr>
    </w:p>
    <w:p>
      <w:pPr>
        <w:widowControl w:val="0"/>
        <w:rPr>
          <w:rFonts w:ascii="Arial" w:hAnsi="Arial" w:eastAsia="Calibri" w:cs="Arial"/>
          <w:color w:val="000000"/>
        </w:rPr>
      </w:pPr>
    </w:p>
    <w:p>
      <w:pPr>
        <w:widowControl w:val="0"/>
        <w:rPr>
          <w:rFonts w:ascii="Arial" w:hAnsi="Arial" w:eastAsia="Calibri" w:cs="Arial"/>
          <w:color w:val="000000"/>
        </w:rPr>
      </w:pPr>
    </w:p>
    <w:p>
      <w:pPr>
        <w:widowControl w:val="0"/>
        <w:rPr>
          <w:rFonts w:ascii="Arial" w:hAnsi="Arial" w:eastAsia="Calibri" w:cs="Arial"/>
          <w:color w:val="000000"/>
        </w:rPr>
      </w:pPr>
      <w:r>
        <w:rPr>
          <w:rFonts w:ascii="Arial" w:hAnsi="Arial" w:eastAsia="Calibri" w:cs="Arial"/>
          <w:color w:val="000000"/>
        </w:rPr>
        <w:t>Observação:</w:t>
      </w:r>
    </w:p>
    <w:p>
      <w:pPr>
        <w:widowControl w:val="0"/>
        <w:numPr>
          <w:ilvl w:val="0"/>
          <w:numId w:val="17"/>
        </w:numPr>
        <w:ind w:left="284" w:hanging="284"/>
        <w:rPr>
          <w:rFonts w:ascii="Arial" w:hAnsi="Arial" w:eastAsia="Calibri" w:cs="Arial"/>
          <w:color w:val="000000"/>
        </w:rPr>
      </w:pPr>
      <w:r>
        <w:rPr>
          <w:rFonts w:ascii="Arial" w:hAnsi="Arial" w:eastAsia="Calibri" w:cs="Arial"/>
          <w:color w:val="000000"/>
        </w:rPr>
        <w:tab/>
      </w:r>
      <w:r>
        <w:rPr>
          <w:rFonts w:ascii="Arial" w:hAnsi="Arial" w:eastAsia="Calibri" w:cs="Arial"/>
          <w:color w:val="000000"/>
        </w:rPr>
        <w:t>Este atestado (ou declaração) deverá ser emitido em papel que identifique o órgão (ou empresa) emissor.</w:t>
      </w:r>
    </w:p>
    <w:p>
      <w:pPr>
        <w:widowControl w:val="0"/>
        <w:numPr>
          <w:ilvl w:val="0"/>
          <w:numId w:val="17"/>
        </w:numPr>
        <w:ind w:left="284" w:hanging="284"/>
        <w:rPr>
          <w:rFonts w:ascii="Arial" w:hAnsi="Arial" w:eastAsia="Calibri" w:cs="Arial"/>
          <w:color w:val="000000"/>
        </w:rPr>
      </w:pPr>
      <w:r>
        <w:rPr>
          <w:rFonts w:ascii="Arial" w:hAnsi="Arial" w:eastAsia="Calibri" w:cs="Arial"/>
          <w:color w:val="000000"/>
        </w:rPr>
        <w:t>O atestado de capacidade técnica não pode ser emitido por pessoa física.</w:t>
      </w:r>
    </w:p>
    <w:p>
      <w:pPr>
        <w:widowControl w:val="0"/>
        <w:spacing w:after="120"/>
        <w:rPr>
          <w:rFonts w:ascii="Arial" w:hAnsi="Arial" w:eastAsia="Calibri" w:cs="Arial"/>
          <w:b/>
          <w:color w:val="000000"/>
        </w:rPr>
      </w:pPr>
    </w:p>
    <w:p>
      <w:pPr>
        <w:widowControl w:val="0"/>
        <w:spacing w:after="120"/>
        <w:rPr>
          <w:rFonts w:ascii="Arial" w:hAnsi="Arial" w:eastAsia="Calibri" w:cs="Arial"/>
          <w:b/>
          <w:color w:val="000000"/>
        </w:rPr>
      </w:pPr>
    </w:p>
    <w:p>
      <w:pPr>
        <w:widowControl w:val="0"/>
        <w:spacing w:after="120"/>
        <w:rPr>
          <w:rFonts w:ascii="Arial" w:hAnsi="Arial" w:eastAsia="Calibri" w:cs="Arial"/>
          <w:b/>
          <w:color w:val="000000"/>
        </w:rPr>
      </w:pPr>
    </w:p>
    <w:p>
      <w:pPr>
        <w:widowControl w:val="0"/>
        <w:spacing w:after="120"/>
        <w:jc w:val="center"/>
        <w:rPr>
          <w:rFonts w:ascii="Arial" w:hAnsi="Arial" w:eastAsia="Calibri" w:cs="Arial"/>
          <w:b/>
        </w:rPr>
      </w:pPr>
      <w:r>
        <w:rPr>
          <w:rFonts w:ascii="Arial" w:hAnsi="Arial" w:eastAsia="Calibri" w:cs="Arial"/>
          <w:b/>
        </w:rPr>
        <w:t>PREGÃO ELETRÔNICO Nº 141/2023</w:t>
      </w:r>
    </w:p>
    <w:p>
      <w:pPr>
        <w:pStyle w:val="25"/>
        <w:tabs>
          <w:tab w:val="left" w:pos="-1985"/>
        </w:tabs>
        <w:spacing w:before="120" w:after="120"/>
        <w:ind w:right="0"/>
        <w:rPr>
          <w:rFonts w:ascii="Arial" w:hAnsi="Arial" w:eastAsia="Calibri" w:cs="Arial"/>
          <w:color w:val="000000"/>
          <w:sz w:val="24"/>
        </w:rPr>
      </w:pPr>
      <w:r>
        <w:rPr>
          <w:rFonts w:ascii="Arial" w:hAnsi="Arial" w:eastAsia="Calibri" w:cs="Arial"/>
          <w:color w:val="000000"/>
          <w:sz w:val="24"/>
        </w:rPr>
        <w:t>ANEXO VII</w:t>
      </w:r>
    </w:p>
    <w:p>
      <w:pPr>
        <w:widowControl w:val="0"/>
        <w:jc w:val="center"/>
        <w:rPr>
          <w:rFonts w:ascii="Arial" w:hAnsi="Arial" w:eastAsia="Calibri" w:cs="Arial"/>
          <w:b/>
          <w:color w:val="FF0000"/>
        </w:rPr>
      </w:pPr>
      <w:r>
        <w:rPr>
          <w:rFonts w:ascii="Arial" w:hAnsi="Arial" w:eastAsia="Calibri" w:cs="Arial"/>
          <w:b/>
          <w:color w:val="FF0000"/>
        </w:rPr>
        <w:t>(papel timbrado da empresa/órgão emissor)</w:t>
      </w:r>
    </w:p>
    <w:p>
      <w:pPr>
        <w:autoSpaceDE w:val="0"/>
        <w:autoSpaceDN w:val="0"/>
        <w:adjustRightInd w:val="0"/>
        <w:ind w:right="27"/>
        <w:jc w:val="center"/>
        <w:outlineLvl w:val="0"/>
        <w:rPr>
          <w:rFonts w:ascii="Arial" w:hAnsi="Arial" w:eastAsia="Calibri" w:cs="Arial"/>
          <w:b/>
          <w:sz w:val="20"/>
        </w:rPr>
      </w:pPr>
      <w:r>
        <w:rPr>
          <w:rFonts w:ascii="Arial" w:hAnsi="Arial" w:eastAsia="Calibri" w:cs="Arial"/>
          <w:color w:val="000000"/>
        </w:rPr>
        <w:t>MODELO DE ATESTADO DE VISITA/DISPENSA</w:t>
      </w:r>
    </w:p>
    <w:p>
      <w:pPr>
        <w:autoSpaceDE w:val="0"/>
        <w:autoSpaceDN w:val="0"/>
        <w:adjustRightInd w:val="0"/>
        <w:ind w:right="27"/>
        <w:jc w:val="center"/>
        <w:outlineLvl w:val="0"/>
        <w:rPr>
          <w:rFonts w:ascii="Arial" w:hAnsi="Arial" w:cs="Arial"/>
          <w:b/>
          <w:sz w:val="20"/>
        </w:rPr>
      </w:pPr>
    </w:p>
    <w:p>
      <w:pPr>
        <w:autoSpaceDE w:val="0"/>
        <w:autoSpaceDN w:val="0"/>
        <w:adjustRightInd w:val="0"/>
        <w:ind w:right="27"/>
        <w:jc w:val="both"/>
        <w:outlineLvl w:val="0"/>
        <w:rPr>
          <w:rFonts w:ascii="Arial" w:hAnsi="Arial" w:cs="Arial"/>
          <w:b/>
          <w:sz w:val="20"/>
        </w:rPr>
      </w:pPr>
    </w:p>
    <w:p>
      <w:pPr>
        <w:autoSpaceDE w:val="0"/>
        <w:autoSpaceDN w:val="0"/>
        <w:adjustRightInd w:val="0"/>
        <w:ind w:right="27"/>
        <w:jc w:val="both"/>
        <w:outlineLvl w:val="0"/>
        <w:rPr>
          <w:rFonts w:ascii="Arial" w:hAnsi="Arial" w:cs="Arial"/>
          <w:b/>
          <w:sz w:val="20"/>
        </w:rPr>
      </w:pPr>
    </w:p>
    <w:p>
      <w:pPr>
        <w:autoSpaceDE w:val="0"/>
        <w:autoSpaceDN w:val="0"/>
        <w:adjustRightInd w:val="0"/>
        <w:ind w:right="27"/>
        <w:jc w:val="both"/>
        <w:rPr>
          <w:rFonts w:ascii="Arial" w:hAnsi="Arial" w:cs="Arial"/>
          <w:b/>
          <w:sz w:val="20"/>
        </w:rPr>
      </w:pPr>
    </w:p>
    <w:p>
      <w:pPr>
        <w:autoSpaceDE w:val="0"/>
        <w:autoSpaceDN w:val="0"/>
        <w:adjustRightInd w:val="0"/>
        <w:jc w:val="both"/>
        <w:rPr>
          <w:rFonts w:ascii="Arial" w:hAnsi="Arial" w:eastAsia="Calibri" w:cs="Arial"/>
          <w:b/>
          <w:sz w:val="22"/>
        </w:rPr>
      </w:pPr>
      <w:r>
        <w:rPr>
          <w:rFonts w:ascii="Arial" w:hAnsi="Arial" w:eastAsia="Calibri" w:cs="Arial"/>
          <w:sz w:val="22"/>
        </w:rPr>
        <w:t>DECLARO, para fins de participação no PREGÃO ELETRÔNICO nº 141/2023, que a Empresa _________________, inscrita no CNPJ/MF nº ____________________, sediada na _______________________, neste ato, representada pelo(a) Sr(a) ____________________, portador(a) do(a) CPF/MF no._____________ e do RG nº. ______________,vistoriou as áreas aonde serão executados os serviços constantes do objeto deste processo licitatório.</w:t>
      </w:r>
    </w:p>
    <w:p>
      <w:pPr>
        <w:autoSpaceDE w:val="0"/>
        <w:autoSpaceDN w:val="0"/>
        <w:adjustRightInd w:val="0"/>
        <w:ind w:left="420" w:right="357"/>
        <w:jc w:val="both"/>
        <w:rPr>
          <w:rFonts w:ascii="Arial" w:hAnsi="Arial" w:eastAsia="Calibri" w:cs="Arial"/>
          <w:sz w:val="22"/>
        </w:rPr>
      </w:pPr>
      <w:r>
        <w:rPr>
          <w:rFonts w:ascii="Arial" w:hAnsi="Arial" w:eastAsia="Calibri" w:cs="Arial"/>
          <w:sz w:val="22"/>
        </w:rPr>
        <w:t xml:space="preserve">                         </w:t>
      </w:r>
    </w:p>
    <w:p>
      <w:pPr>
        <w:autoSpaceDE w:val="0"/>
        <w:autoSpaceDN w:val="0"/>
        <w:adjustRightInd w:val="0"/>
        <w:ind w:left="420"/>
        <w:jc w:val="right"/>
        <w:rPr>
          <w:rFonts w:ascii="Arial" w:hAnsi="Arial" w:eastAsia="Calibri" w:cs="Arial"/>
          <w:b/>
          <w:sz w:val="22"/>
        </w:rPr>
      </w:pPr>
      <w:r>
        <w:rPr>
          <w:rFonts w:ascii="Arial" w:hAnsi="Arial" w:eastAsia="Calibri" w:cs="Arial"/>
          <w:sz w:val="22"/>
        </w:rPr>
        <w:t xml:space="preserve">   Primavera do Leste/MT, ___ de ___________ de 2023.</w:t>
      </w:r>
    </w:p>
    <w:p>
      <w:pPr>
        <w:autoSpaceDE w:val="0"/>
        <w:autoSpaceDN w:val="0"/>
        <w:adjustRightInd w:val="0"/>
        <w:ind w:right="357"/>
        <w:rPr>
          <w:rFonts w:ascii="Arial" w:hAnsi="Arial" w:eastAsia="Calibri" w:cs="Arial"/>
          <w:b/>
          <w:sz w:val="22"/>
        </w:rPr>
      </w:pPr>
    </w:p>
    <w:p>
      <w:pPr>
        <w:jc w:val="center"/>
        <w:rPr>
          <w:rFonts w:ascii="Arial" w:hAnsi="Arial" w:eastAsia="Calibri" w:cs="Arial"/>
          <w:sz w:val="22"/>
        </w:rPr>
      </w:pPr>
    </w:p>
    <w:p>
      <w:pPr>
        <w:jc w:val="center"/>
        <w:rPr>
          <w:rFonts w:ascii="Arial" w:hAnsi="Arial" w:eastAsia="Calibri" w:cs="Arial"/>
          <w:sz w:val="22"/>
        </w:rPr>
      </w:pPr>
      <w:r>
        <w:rPr>
          <w:rFonts w:ascii="Arial" w:hAnsi="Arial" w:eastAsia="Calibri" w:cs="Arial"/>
          <w:sz w:val="22"/>
        </w:rPr>
        <w:t>Assinatura e carimbo do profissional</w:t>
      </w:r>
    </w:p>
    <w:p>
      <w:pPr>
        <w:jc w:val="center"/>
        <w:rPr>
          <w:rFonts w:ascii="Arial" w:hAnsi="Arial" w:eastAsia="Calibri" w:cs="Arial"/>
          <w:sz w:val="22"/>
        </w:rPr>
      </w:pPr>
      <w:r>
        <w:rPr>
          <w:rFonts w:ascii="Arial" w:hAnsi="Arial" w:eastAsia="Calibri" w:cs="Arial"/>
          <w:sz w:val="22"/>
        </w:rPr>
        <w:t>(representante legal)</w:t>
      </w:r>
    </w:p>
    <w:p>
      <w:pPr>
        <w:autoSpaceDE w:val="0"/>
        <w:autoSpaceDN w:val="0"/>
        <w:adjustRightInd w:val="0"/>
        <w:ind w:right="357"/>
        <w:rPr>
          <w:rFonts w:ascii="Arial" w:hAnsi="Arial" w:eastAsia="Calibri" w:cs="Arial"/>
          <w:b/>
          <w:sz w:val="22"/>
        </w:rPr>
      </w:pPr>
    </w:p>
    <w:p>
      <w:pPr>
        <w:autoSpaceDE w:val="0"/>
        <w:autoSpaceDN w:val="0"/>
        <w:adjustRightInd w:val="0"/>
        <w:ind w:right="27"/>
        <w:jc w:val="both"/>
        <w:outlineLvl w:val="0"/>
        <w:rPr>
          <w:rFonts w:ascii="Arial" w:hAnsi="Arial" w:eastAsia="Calibri" w:cs="Arial"/>
          <w:b/>
          <w:sz w:val="22"/>
        </w:rPr>
      </w:pPr>
    </w:p>
    <w:p>
      <w:pPr>
        <w:jc w:val="center"/>
        <w:rPr>
          <w:rFonts w:ascii="Arial" w:hAnsi="Arial" w:eastAsia="Calibri" w:cs="Arial"/>
          <w:sz w:val="22"/>
        </w:rPr>
      </w:pPr>
      <w:r>
        <w:rPr>
          <w:rFonts w:ascii="Arial" w:hAnsi="Arial" w:eastAsia="Calibri" w:cs="Arial"/>
          <w:sz w:val="22"/>
        </w:rPr>
        <w:t>_______________________________</w:t>
      </w:r>
    </w:p>
    <w:p>
      <w:pPr>
        <w:jc w:val="center"/>
        <w:rPr>
          <w:rFonts w:ascii="Arial" w:hAnsi="Arial" w:eastAsia="Calibri" w:cs="Arial"/>
          <w:sz w:val="22"/>
        </w:rPr>
      </w:pPr>
      <w:r>
        <w:rPr>
          <w:rFonts w:ascii="Arial" w:hAnsi="Arial" w:eastAsia="Calibri" w:cs="Arial"/>
          <w:sz w:val="22"/>
        </w:rPr>
        <w:t xml:space="preserve">Assinatura e carimbo de servidor da Prefeitura </w:t>
      </w:r>
    </w:p>
    <w:p>
      <w:pPr>
        <w:jc w:val="center"/>
        <w:rPr>
          <w:rFonts w:ascii="Arial" w:hAnsi="Arial" w:eastAsia="Calibri" w:cs="Arial"/>
          <w:sz w:val="22"/>
        </w:rPr>
      </w:pPr>
      <w:r>
        <w:rPr>
          <w:rFonts w:ascii="Arial" w:hAnsi="Arial" w:eastAsia="Calibri" w:cs="Arial"/>
          <w:sz w:val="22"/>
        </w:rPr>
        <w:t>Municipal de Primavera do Leste</w:t>
      </w:r>
    </w:p>
    <w:p>
      <w:pPr>
        <w:autoSpaceDE w:val="0"/>
        <w:autoSpaceDN w:val="0"/>
        <w:adjustRightInd w:val="0"/>
        <w:ind w:right="27"/>
        <w:jc w:val="both"/>
        <w:outlineLvl w:val="0"/>
        <w:rPr>
          <w:rFonts w:ascii="Arial" w:hAnsi="Arial" w:eastAsia="Calibri" w:cs="Arial"/>
          <w:b/>
          <w:sz w:val="22"/>
        </w:rPr>
      </w:pPr>
    </w:p>
    <w:p>
      <w:pPr>
        <w:jc w:val="center"/>
        <w:rPr>
          <w:rFonts w:ascii="Arial" w:hAnsi="Arial" w:eastAsia="Calibri" w:cs="Arial"/>
          <w:sz w:val="22"/>
        </w:rPr>
      </w:pPr>
      <w:r>
        <w:rPr>
          <w:rFonts w:ascii="Arial" w:hAnsi="Arial" w:eastAsia="Calibri" w:cs="Arial"/>
          <w:b/>
          <w:i/>
          <w:sz w:val="22"/>
        </w:rPr>
        <w:t>Observações</w:t>
      </w:r>
      <w:r>
        <w:rPr>
          <w:rFonts w:ascii="Arial" w:hAnsi="Arial" w:eastAsia="Calibri" w:cs="Arial"/>
          <w:i/>
          <w:sz w:val="22"/>
        </w:rPr>
        <w:t>: - Esta declaração deverá ser emitida em papel que identifique a licitante</w:t>
      </w:r>
      <w:r>
        <w:rPr>
          <w:rFonts w:ascii="Arial" w:hAnsi="Arial" w:eastAsia="Calibri" w:cs="Arial"/>
          <w:sz w:val="22"/>
        </w:rPr>
        <w:t>.</w:t>
      </w:r>
    </w:p>
    <w:p>
      <w:pPr>
        <w:pStyle w:val="21"/>
        <w:rPr>
          <w:rFonts w:ascii="Arial" w:hAnsi="Arial" w:eastAsia="Calibri" w:cs="Arial"/>
          <w:sz w:val="22"/>
          <w:u w:val="single"/>
        </w:rPr>
      </w:pPr>
    </w:p>
    <w:p>
      <w:pPr>
        <w:jc w:val="center"/>
        <w:rPr>
          <w:rFonts w:ascii="Arial" w:hAnsi="Arial" w:eastAsia="Calibri" w:cs="Arial"/>
          <w:b/>
          <w:color w:val="FF0000"/>
          <w:sz w:val="22"/>
          <w:u w:val="single"/>
        </w:rPr>
      </w:pPr>
      <w:r>
        <w:rPr>
          <w:rFonts w:ascii="Arial" w:hAnsi="Arial" w:eastAsia="Calibri" w:cs="Arial"/>
          <w:b/>
          <w:color w:val="FF0000"/>
          <w:sz w:val="22"/>
          <w:u w:val="single"/>
        </w:rPr>
        <w:t>Anexar ao Envelope Nº 01 – Documentação</w:t>
      </w: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center"/>
        <w:rPr>
          <w:rFonts w:ascii="Arial" w:hAnsi="Arial" w:eastAsia="Calibri" w:cs="Arial"/>
          <w:b/>
          <w:color w:val="FF0000"/>
          <w:sz w:val="22"/>
          <w:u w:val="single"/>
        </w:rPr>
      </w:pPr>
    </w:p>
    <w:p>
      <w:pPr>
        <w:jc w:val="both"/>
        <w:rPr>
          <w:rFonts w:ascii="Arial" w:hAnsi="Arial" w:eastAsia="Calibri" w:cs="Arial"/>
          <w:b/>
          <w:color w:val="FF0000"/>
          <w:sz w:val="22"/>
          <w:u w:val="single"/>
        </w:rPr>
      </w:pPr>
    </w:p>
    <w:p>
      <w:pPr>
        <w:widowControl w:val="0"/>
        <w:spacing w:after="120"/>
        <w:ind w:right="240" w:rightChars="100"/>
        <w:jc w:val="center"/>
        <w:rPr>
          <w:rFonts w:ascii="Arial" w:hAnsi="Arial"/>
          <w:b/>
          <w:szCs w:val="24"/>
        </w:rPr>
      </w:pPr>
      <w:r>
        <w:rPr>
          <w:rFonts w:ascii="Arial" w:hAnsi="Arial"/>
          <w:b/>
          <w:szCs w:val="24"/>
        </w:rPr>
        <w:t>PREGÃO ELETRÔNICO Nº 141/2023</w:t>
      </w:r>
    </w:p>
    <w:p>
      <w:pPr>
        <w:widowControl w:val="0"/>
        <w:spacing w:after="120"/>
        <w:ind w:right="240" w:rightChars="100"/>
        <w:jc w:val="center"/>
        <w:rPr>
          <w:rFonts w:ascii="Arial" w:hAnsi="Arial"/>
          <w:b/>
          <w:color w:val="000000"/>
          <w:szCs w:val="24"/>
        </w:rPr>
      </w:pPr>
      <w:r>
        <w:rPr>
          <w:rFonts w:ascii="Arial" w:hAnsi="Arial"/>
          <w:b/>
          <w:color w:val="000000"/>
          <w:szCs w:val="24"/>
        </w:rPr>
        <w:t>ANEXO VIII</w:t>
      </w:r>
    </w:p>
    <w:p>
      <w:pPr>
        <w:widowControl w:val="0"/>
        <w:spacing w:after="120"/>
        <w:ind w:right="240" w:rightChars="100"/>
        <w:jc w:val="center"/>
        <w:rPr>
          <w:rFonts w:ascii="Arial" w:hAnsi="Arial"/>
          <w:b/>
          <w:szCs w:val="24"/>
        </w:rPr>
      </w:pPr>
      <w:r>
        <w:rPr>
          <w:rFonts w:ascii="Arial" w:hAnsi="Arial"/>
          <w:b/>
          <w:szCs w:val="24"/>
        </w:rPr>
        <w:t>MINUTA DE ATA DE REGISTRO DE PREÇOS N° 000/2023</w:t>
      </w:r>
    </w:p>
    <w:p>
      <w:pPr>
        <w:widowControl w:val="0"/>
        <w:spacing w:after="120"/>
        <w:ind w:right="240" w:rightChars="100"/>
        <w:jc w:val="center"/>
        <w:rPr>
          <w:rFonts w:ascii="Arial" w:hAnsi="Arial"/>
          <w:b/>
          <w:szCs w:val="24"/>
        </w:rPr>
      </w:pPr>
      <w:r>
        <w:rPr>
          <w:rFonts w:ascii="Arial" w:hAnsi="Arial"/>
          <w:b/>
          <w:szCs w:val="24"/>
        </w:rPr>
        <w:t>PROCESSO Nº 2004/2023</w:t>
      </w:r>
    </w:p>
    <w:p>
      <w:pPr>
        <w:widowControl w:val="0"/>
        <w:spacing w:after="120"/>
        <w:ind w:right="240" w:rightChars="100"/>
        <w:jc w:val="center"/>
        <w:rPr>
          <w:rFonts w:ascii="Arial" w:hAnsi="Arial"/>
          <w:b/>
          <w:szCs w:val="24"/>
        </w:rPr>
      </w:pPr>
      <w:r>
        <w:rPr>
          <w:rFonts w:ascii="Arial" w:hAnsi="Arial"/>
          <w:b/>
          <w:szCs w:val="24"/>
        </w:rPr>
        <w:t>VALIDADE 12 (DOZE) MESES</w:t>
      </w:r>
    </w:p>
    <w:p>
      <w:pPr>
        <w:widowControl w:val="0"/>
        <w:autoSpaceDE w:val="0"/>
        <w:autoSpaceDN w:val="0"/>
        <w:adjustRightInd w:val="0"/>
        <w:ind w:right="240" w:rightChars="100"/>
        <w:jc w:val="both"/>
        <w:rPr>
          <w:sz w:val="22"/>
          <w:szCs w:val="24"/>
        </w:rPr>
      </w:pPr>
    </w:p>
    <w:p>
      <w:pPr>
        <w:widowControl w:val="0"/>
        <w:tabs>
          <w:tab w:val="center" w:pos="4779"/>
          <w:tab w:val="right" w:pos="9198"/>
        </w:tabs>
        <w:autoSpaceDE w:val="0"/>
        <w:autoSpaceDN w:val="0"/>
        <w:adjustRightInd w:val="0"/>
        <w:ind w:right="240" w:rightChars="100"/>
        <w:jc w:val="both"/>
        <w:rPr>
          <w:sz w:val="20"/>
          <w:szCs w:val="24"/>
        </w:rPr>
      </w:pPr>
    </w:p>
    <w:p>
      <w:pPr>
        <w:widowControl w:val="0"/>
        <w:tabs>
          <w:tab w:val="center" w:pos="4779"/>
          <w:tab w:val="right" w:pos="9198"/>
        </w:tabs>
        <w:autoSpaceDE w:val="0"/>
        <w:autoSpaceDN w:val="0"/>
        <w:adjustRightInd w:val="0"/>
        <w:ind w:right="240" w:rightChars="100"/>
        <w:jc w:val="both"/>
        <w:rPr>
          <w:rFonts w:ascii="Arial" w:hAnsi="Arial"/>
          <w:szCs w:val="24"/>
        </w:rPr>
      </w:pPr>
      <w:r>
        <w:rPr>
          <w:rFonts w:ascii="Arial" w:hAnsi="Arial"/>
          <w:szCs w:val="24"/>
        </w:rPr>
        <w:t>O(A)......(</w:t>
      </w:r>
      <w:r>
        <w:rPr>
          <w:rFonts w:ascii="Arial" w:hAnsi="Arial"/>
          <w:i/>
          <w:color w:val="FF0000"/>
          <w:szCs w:val="24"/>
        </w:rPr>
        <w:t>órgão ou entidade pública que gerenciará a ata de registro de preços</w:t>
      </w:r>
      <w:r>
        <w:rPr>
          <w:rFonts w:ascii="Arial" w:hAnsi="Arial"/>
          <w:szCs w:val="24"/>
        </w:rPr>
        <w:t>), com sede no(a) ......, na cidade de ........, inscrito(a) no CNPJ/MF sob o nº ....., neste ato representado(a) pelo(a) ...... (</w:t>
      </w:r>
      <w:r>
        <w:rPr>
          <w:rFonts w:ascii="Arial" w:hAnsi="Arial"/>
          <w:i/>
          <w:szCs w:val="24"/>
        </w:rPr>
        <w:t>cargo e nome</w:t>
      </w:r>
      <w:r>
        <w:rPr>
          <w:rFonts w:ascii="Arial" w:hAnsi="Arial"/>
          <w:szCs w:val="24"/>
        </w:rPr>
        <w:t>), inscrito(a) no CPF sob o nº .............portador(a) da Carteira de Identidade nº .......,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widowControl w:val="0"/>
        <w:tabs>
          <w:tab w:val="center" w:pos="4779"/>
          <w:tab w:val="right" w:pos="9198"/>
        </w:tabs>
        <w:autoSpaceDE w:val="0"/>
        <w:autoSpaceDN w:val="0"/>
        <w:adjustRightInd w:val="0"/>
        <w:ind w:right="240" w:rightChars="100"/>
        <w:jc w:val="both"/>
        <w:rPr>
          <w:rFonts w:ascii="Arial" w:hAnsi="Arial"/>
          <w:szCs w:val="24"/>
        </w:rPr>
      </w:pPr>
    </w:p>
    <w:p>
      <w:pPr>
        <w:widowControl w:val="0"/>
        <w:tabs>
          <w:tab w:val="center" w:pos="4779"/>
          <w:tab w:val="right" w:pos="9198"/>
        </w:tabs>
        <w:autoSpaceDE w:val="0"/>
        <w:autoSpaceDN w:val="0"/>
        <w:adjustRightInd w:val="0"/>
        <w:ind w:right="240" w:rightChars="100"/>
        <w:jc w:val="both"/>
        <w:rPr>
          <w:rFonts w:ascii="Arial" w:hAnsi="Arial"/>
          <w:b/>
          <w:szCs w:val="24"/>
        </w:rPr>
      </w:pPr>
      <w:r>
        <w:rPr>
          <w:rFonts w:ascii="Arial" w:hAnsi="Arial"/>
          <w:b/>
          <w:szCs w:val="24"/>
        </w:rPr>
        <w:t>CLÁUSULA PRIMEIRA - DO OBJETO</w:t>
      </w:r>
    </w:p>
    <w:p>
      <w:pPr>
        <w:spacing w:after="120"/>
        <w:jc w:val="both"/>
        <w:rPr>
          <w:rFonts w:ascii="Arial" w:hAnsi="Arial"/>
          <w:bCs/>
          <w:szCs w:val="24"/>
          <w:lang w:eastAsia="zh-CN"/>
        </w:rPr>
      </w:pPr>
      <w:r>
        <w:rPr>
          <w:rFonts w:ascii="Arial" w:hAnsi="Arial"/>
          <w:b/>
          <w:szCs w:val="24"/>
        </w:rPr>
        <w:t xml:space="preserve">1.1. </w:t>
      </w:r>
      <w:r>
        <w:rPr>
          <w:rFonts w:ascii="Arial" w:hAnsi="Arial"/>
          <w:bCs/>
          <w:szCs w:val="24"/>
        </w:rPr>
        <w:t xml:space="preserve">Registro de Preços, para </w:t>
      </w:r>
      <w:r>
        <w:rPr>
          <w:rFonts w:ascii="Arial" w:hAnsi="Arial"/>
          <w:bCs/>
          <w:szCs w:val="24"/>
          <w:lang w:eastAsia="zh-CN"/>
        </w:rPr>
        <w:t xml:space="preserve">futura e eventual </w:t>
      </w:r>
      <w:r>
        <w:rPr>
          <w:rFonts w:ascii="Arial" w:hAnsi="Arial"/>
          <w:bCs/>
          <w:szCs w:val="24"/>
        </w:rPr>
        <w:t xml:space="preserve">contratação de empresa especializada na </w:t>
      </w:r>
      <w:r>
        <w:rPr>
          <w:rFonts w:ascii="Arial" w:hAnsi="Arial"/>
          <w:bCs/>
          <w:szCs w:val="24"/>
          <w:lang w:eastAsia="zh-CN"/>
        </w:rPr>
        <w:t>Prestação de Serviços de Coleta e Transporte de Resíduos Sólidos Domiciliares e Comerciais do Município, Coleta Seletiva de Materiais Recicláveis, transporte e destinação final ambientalmente adequada dos resíduos recicláveis e implantação e coordenação da unidade de triagem de Primavera do Leste MT.</w:t>
      </w:r>
    </w:p>
    <w:p>
      <w:pPr>
        <w:spacing w:after="120"/>
        <w:jc w:val="both"/>
        <w:rPr>
          <w:rFonts w:ascii="Arial" w:hAnsi="Arial"/>
          <w:bCs/>
          <w:szCs w:val="24"/>
          <w:lang w:eastAsia="zh-CN"/>
        </w:rPr>
      </w:pPr>
    </w:p>
    <w:p>
      <w:pPr>
        <w:autoSpaceDE w:val="0"/>
        <w:autoSpaceDN w:val="0"/>
        <w:adjustRightInd w:val="0"/>
        <w:spacing w:after="120"/>
        <w:ind w:right="240" w:rightChars="100"/>
        <w:jc w:val="both"/>
        <w:rPr>
          <w:rFonts w:ascii="Arial" w:hAnsi="Arial"/>
          <w:b/>
          <w:szCs w:val="24"/>
        </w:rPr>
      </w:pPr>
      <w:r>
        <w:rPr>
          <w:rFonts w:ascii="Arial" w:hAnsi="Arial"/>
          <w:b/>
          <w:szCs w:val="24"/>
        </w:rPr>
        <w:t>CLÁUSULA SEGUNDA - DOS PREÇOS, ESPECIFICAÇÕES E QUANTITATIVOS</w:t>
      </w:r>
    </w:p>
    <w:p>
      <w:pPr>
        <w:autoSpaceDE w:val="0"/>
        <w:autoSpaceDN w:val="0"/>
        <w:adjustRightInd w:val="0"/>
        <w:spacing w:before="120" w:after="120"/>
        <w:ind w:right="240" w:rightChars="100"/>
        <w:jc w:val="both"/>
        <w:rPr>
          <w:sz w:val="22"/>
          <w:szCs w:val="24"/>
        </w:rPr>
      </w:pPr>
      <w:r>
        <w:rPr>
          <w:rFonts w:ascii="Arial" w:hAnsi="Arial"/>
          <w:b/>
          <w:szCs w:val="24"/>
        </w:rPr>
        <w:t xml:space="preserve">2.1. </w:t>
      </w:r>
      <w:r>
        <w:rPr>
          <w:rFonts w:ascii="Arial" w:hAnsi="Arial"/>
          <w:szCs w:val="24"/>
        </w:rPr>
        <w:t xml:space="preserve">O preço registrado, as especificações do objeto e as demais condições ofertadas na(s) proposta(s) são as que seguem: </w:t>
      </w:r>
      <w:r>
        <w:rPr>
          <w:sz w:val="22"/>
          <w:szCs w:val="24"/>
        </w:rPr>
        <w:tab/>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3" w:type="dxa"/>
            <w:gridSpan w:val="5"/>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ind w:right="240" w:rightChars="100"/>
              <w:jc w:val="center"/>
              <w:rPr>
                <w:rFonts w:ascii="Arial" w:hAnsi="Arial"/>
                <w:i/>
                <w:color w:val="FF0000"/>
                <w:sz w:val="20"/>
                <w:szCs w:val="24"/>
              </w:rPr>
            </w:pPr>
            <w:r>
              <w:rPr>
                <w:rFonts w:ascii="Arial" w:hAnsi="Arial"/>
                <w:sz w:val="20"/>
                <w:szCs w:val="24"/>
              </w:rPr>
              <w:t xml:space="preserve">Prestador do serviço </w:t>
            </w:r>
            <w:r>
              <w:rPr>
                <w:rFonts w:ascii="Arial" w:hAnsi="Arial"/>
                <w:i/>
                <w:color w:val="FF0000"/>
                <w:sz w:val="20"/>
                <w:szCs w:val="24"/>
              </w:rPr>
              <w:t>(razão social, CNPJ/MF, endereço, contatos, representante)</w:t>
            </w:r>
          </w:p>
          <w:p>
            <w:pPr>
              <w:widowControl w:val="0"/>
              <w:suppressAutoHyphens/>
              <w:ind w:right="240" w:rightChars="100"/>
              <w:jc w:val="center"/>
              <w:rPr>
                <w:rFonts w:ascii="Arial" w:hAnsi="Arial"/>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uppressAutoHyphens/>
              <w:ind w:right="240" w:rightChars="100"/>
              <w:jc w:val="center"/>
              <w:rPr>
                <w:rFonts w:ascii="Arial" w:hAnsi="Arial"/>
                <w:b/>
                <w:color w:val="000000"/>
                <w:sz w:val="20"/>
                <w:szCs w:val="24"/>
              </w:rPr>
            </w:pPr>
            <w:r>
              <w:rPr>
                <w:rFonts w:ascii="Arial" w:hAnsi="Arial"/>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vAlign w:val="center"/>
          </w:tcPr>
          <w:p>
            <w:pPr>
              <w:ind w:right="240" w:rightChars="100"/>
              <w:jc w:val="center"/>
              <w:rPr>
                <w:rFonts w:ascii="Arial" w:hAnsi="Arial"/>
                <w:b/>
                <w:color w:val="000000"/>
                <w:sz w:val="20"/>
                <w:szCs w:val="24"/>
              </w:rPr>
            </w:pPr>
            <w:r>
              <w:rPr>
                <w:rFonts w:ascii="Arial" w:hAnsi="Arial"/>
                <w:b/>
                <w:color w:val="000000"/>
                <w:sz w:val="20"/>
                <w:szCs w:val="24"/>
              </w:rPr>
              <w:t>DESCRIÇÃO/</w:t>
            </w:r>
          </w:p>
          <w:p>
            <w:pPr>
              <w:widowControl w:val="0"/>
              <w:suppressAutoHyphens/>
              <w:ind w:right="240" w:rightChars="100"/>
              <w:jc w:val="center"/>
              <w:rPr>
                <w:rFonts w:ascii="Arial" w:hAnsi="Arial"/>
                <w:b/>
                <w:color w:val="000000"/>
                <w:sz w:val="20"/>
                <w:szCs w:val="24"/>
              </w:rPr>
            </w:pPr>
            <w:r>
              <w:rPr>
                <w:rFonts w:ascii="Arial" w:hAnsi="Arial"/>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uppressAutoHyphens/>
              <w:ind w:right="240" w:rightChars="100"/>
              <w:jc w:val="center"/>
              <w:rPr>
                <w:rFonts w:ascii="Arial" w:hAnsi="Arial"/>
                <w:b/>
                <w:sz w:val="20"/>
                <w:szCs w:val="24"/>
              </w:rPr>
            </w:pPr>
            <w:r>
              <w:rPr>
                <w:rFonts w:ascii="Arial" w:hAnsi="Arial"/>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uppressAutoHyphens/>
              <w:ind w:right="240" w:rightChars="100"/>
              <w:jc w:val="center"/>
              <w:rPr>
                <w:rFonts w:ascii="Arial" w:hAnsi="Arial"/>
                <w:b/>
                <w:sz w:val="20"/>
                <w:szCs w:val="24"/>
              </w:rPr>
            </w:pPr>
            <w:r>
              <w:rPr>
                <w:rFonts w:ascii="Arial" w:hAnsi="Arial"/>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uppressAutoHyphens/>
              <w:ind w:right="240" w:rightChars="100"/>
              <w:jc w:val="center"/>
              <w:rPr>
                <w:rFonts w:ascii="Arial" w:hAnsi="Arial"/>
                <w:b/>
                <w:color w:val="000000"/>
                <w:sz w:val="20"/>
                <w:szCs w:val="24"/>
              </w:rPr>
            </w:pPr>
            <w:r>
              <w:rPr>
                <w:rFonts w:ascii="Arial" w:hAnsi="Arial"/>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jc w:val="center"/>
              <w:rPr>
                <w:rFonts w:ascii="Arial" w:hAnsi="Arial"/>
                <w:color w:val="000000"/>
                <w:sz w:val="20"/>
                <w:szCs w:val="24"/>
              </w:rPr>
            </w:pPr>
            <w:r>
              <w:rPr>
                <w:rFonts w:ascii="Arial" w:hAnsi="Arial"/>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jc w:val="center"/>
              <w:rPr>
                <w:rFonts w:ascii="Arial" w:hAnsi="Arial"/>
                <w:color w:val="000000"/>
                <w:sz w:val="20"/>
                <w:szCs w:val="24"/>
              </w:rPr>
            </w:pPr>
            <w:r>
              <w:rPr>
                <w:rFonts w:ascii="Arial" w:hAnsi="Arial"/>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jc w:val="center"/>
              <w:rPr>
                <w:rFonts w:ascii="Arial" w:hAnsi="Arial"/>
                <w:color w:val="000000"/>
                <w:sz w:val="20"/>
                <w:szCs w:val="24"/>
              </w:rPr>
            </w:pPr>
            <w:r>
              <w:rPr>
                <w:rFonts w:ascii="Arial" w:hAnsi="Arial"/>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jc w:val="center"/>
              <w:rPr>
                <w:rFonts w:ascii="Arial" w:hAnsi="Arial"/>
                <w:color w:val="000000"/>
                <w:sz w:val="20"/>
                <w:szCs w:val="24"/>
              </w:rPr>
            </w:pPr>
            <w:r>
              <w:rPr>
                <w:rFonts w:ascii="Arial" w:hAnsi="Arial"/>
                <w:color w:val="000000"/>
                <w:sz w:val="20"/>
                <w:szCs w:val="24"/>
              </w:rPr>
              <w:t>...</w:t>
            </w:r>
          </w:p>
        </w:tc>
        <w:tc>
          <w:tcPr>
            <w:tcW w:w="3907"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tcPr>
          <w:p>
            <w:pPr>
              <w:widowControl w:val="0"/>
              <w:suppressAutoHyphens/>
              <w:spacing w:after="120"/>
              <w:ind w:right="240" w:rightChars="100"/>
              <w:rPr>
                <w:rFonts w:ascii="Arial" w:hAnsi="Arial"/>
                <w:color w:val="000000"/>
                <w:sz w:val="20"/>
                <w:szCs w:val="24"/>
              </w:rPr>
            </w:pPr>
          </w:p>
        </w:tc>
      </w:tr>
    </w:tbl>
    <w:p>
      <w:pPr>
        <w:widowControl w:val="0"/>
        <w:autoSpaceDE w:val="0"/>
        <w:autoSpaceDN w:val="0"/>
        <w:adjustRightInd w:val="0"/>
        <w:spacing w:after="120"/>
        <w:ind w:right="240" w:rightChars="100"/>
        <w:jc w:val="both"/>
        <w:rPr>
          <w:rFonts w:ascii="Arial" w:hAnsi="Arial"/>
          <w:b/>
          <w:szCs w:val="24"/>
        </w:rPr>
      </w:pPr>
    </w:p>
    <w:p>
      <w:pPr>
        <w:widowControl w:val="0"/>
        <w:autoSpaceDE w:val="0"/>
        <w:autoSpaceDN w:val="0"/>
        <w:adjustRightInd w:val="0"/>
        <w:spacing w:after="120"/>
        <w:ind w:right="240" w:rightChars="100"/>
        <w:jc w:val="both"/>
        <w:rPr>
          <w:rFonts w:ascii="Arial" w:hAnsi="Arial"/>
          <w:b/>
          <w:sz w:val="20"/>
          <w:szCs w:val="24"/>
        </w:rPr>
      </w:pPr>
      <w:r>
        <w:rPr>
          <w:rFonts w:ascii="Arial" w:hAnsi="Arial"/>
          <w:b/>
          <w:szCs w:val="24"/>
        </w:rPr>
        <w:t>CLÁUSULA TERCEIRA - DAS DOTAÇÕES ORÇAMENTÁRIAS</w:t>
      </w:r>
    </w:p>
    <w:p>
      <w:pPr>
        <w:pStyle w:val="134"/>
        <w:tabs>
          <w:tab w:val="left" w:pos="709"/>
          <w:tab w:val="center" w:pos="4419"/>
          <w:tab w:val="right" w:pos="8838"/>
        </w:tabs>
        <w:spacing w:before="0" w:beforeAutospacing="0" w:after="0" w:afterAutospacing="0"/>
        <w:ind w:right="38" w:rightChars="16"/>
        <w:jc w:val="both"/>
        <w:rPr>
          <w:rFonts w:ascii="Arial" w:hAnsi="Arial" w:cs="Arial"/>
          <w:szCs w:val="24"/>
        </w:rPr>
      </w:pPr>
      <w:r>
        <w:rPr>
          <w:rFonts w:ascii="Arial" w:hAnsi="Arial"/>
          <w:b/>
          <w:szCs w:val="24"/>
        </w:rPr>
        <w:t xml:space="preserve">3.1. </w:t>
      </w:r>
      <w:r>
        <w:rPr>
          <w:rFonts w:ascii="Arial" w:hAnsi="Arial" w:cs="Arial"/>
          <w:szCs w:val="24"/>
        </w:rPr>
        <w:t>As despesas oriundas da presente contratação correrão por conta de recursos próprios específicos consignados no orçamento da Prefeitura Municipal de Primavera do Leste, nas dotações orçamentárias relacionadas abaixo:</w:t>
      </w:r>
    </w:p>
    <w:tbl>
      <w:tblPr>
        <w:tblStyle w:val="12"/>
        <w:tblpPr w:leftFromText="180" w:rightFromText="180" w:vertAnchor="text" w:horzAnchor="page" w:tblpXSpec="center" w:tblpY="410"/>
        <w:tblOverlap w:val="never"/>
        <w:tblW w:w="8745" w:type="dxa"/>
        <w:jc w:val="center"/>
        <w:tblLayout w:type="fixed"/>
        <w:tblCellMar>
          <w:top w:w="0" w:type="dxa"/>
          <w:left w:w="0" w:type="dxa"/>
          <w:bottom w:w="0" w:type="dxa"/>
          <w:right w:w="0" w:type="dxa"/>
        </w:tblCellMar>
      </w:tblPr>
      <w:tblGrid>
        <w:gridCol w:w="2679"/>
        <w:gridCol w:w="1003"/>
        <w:gridCol w:w="5063"/>
      </w:tblGrid>
      <w:tr>
        <w:tblPrEx>
          <w:tblCellMar>
            <w:top w:w="0" w:type="dxa"/>
            <w:left w:w="0" w:type="dxa"/>
            <w:bottom w:w="0" w:type="dxa"/>
            <w:right w:w="0" w:type="dxa"/>
          </w:tblCellMar>
        </w:tblPrEx>
        <w:trPr>
          <w:trHeight w:val="240" w:hRule="atLeast"/>
          <w:jc w:val="center"/>
        </w:trPr>
        <w:tc>
          <w:tcPr>
            <w:tcW w:w="8745" w:type="dxa"/>
            <w:gridSpan w:val="3"/>
            <w:tcBorders>
              <w:top w:val="single" w:color="000000" w:sz="2" w:space="0"/>
              <w:left w:val="single" w:color="000000" w:sz="2" w:space="0"/>
              <w:bottom w:val="single" w:color="000000" w:sz="2" w:space="0"/>
              <w:right w:val="single" w:color="000000" w:sz="2" w:space="0"/>
              <w:tl2br w:val="nil"/>
              <w:tr2bl w:val="nil"/>
            </w:tcBorders>
            <w:shd w:val="clear" w:color="auto" w:fill="9BC2E6"/>
            <w:noWrap/>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 xml:space="preserve">Órgão 6 - Secretaria </w:t>
            </w:r>
            <w:r>
              <w:rPr>
                <w:rFonts w:ascii="Calibri" w:hAnsi="Calibri" w:cs="Calibri"/>
                <w:b/>
                <w:sz w:val="20"/>
                <w:lang w:eastAsia="zh-CN" w:bidi="ar"/>
              </w:rPr>
              <w:t>d</w:t>
            </w:r>
            <w:r>
              <w:rPr>
                <w:rFonts w:ascii="Calibri" w:hAnsi="Calibri" w:cs="Calibri"/>
                <w:b/>
                <w:sz w:val="20"/>
                <w:lang w:val="pt-BR" w:eastAsia="zh-CN" w:bidi="ar"/>
              </w:rPr>
              <w:t xml:space="preserve">e </w:t>
            </w:r>
            <w:r>
              <w:rPr>
                <w:rFonts w:ascii="Calibri" w:hAnsi="Calibri" w:cs="Calibri"/>
                <w:b/>
                <w:sz w:val="20"/>
                <w:lang w:eastAsia="zh-CN" w:bidi="ar"/>
              </w:rPr>
              <w:t>Agricultura e Meio Ambiente</w:t>
            </w:r>
          </w:p>
        </w:tc>
      </w:tr>
      <w:tr>
        <w:tblPrEx>
          <w:tblCellMar>
            <w:top w:w="0" w:type="dxa"/>
            <w:left w:w="0" w:type="dxa"/>
            <w:bottom w:w="0" w:type="dxa"/>
            <w:right w:w="0" w:type="dxa"/>
          </w:tblCellMar>
        </w:tblPrEx>
        <w:trPr>
          <w:trHeight w:val="902" w:hRule="atLeast"/>
          <w:jc w:val="center"/>
        </w:trPr>
        <w:tc>
          <w:tcPr>
            <w:tcW w:w="2679"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Und. Orçamentária</w:t>
            </w:r>
            <w:r>
              <w:rPr>
                <w:rFonts w:ascii="Calibri" w:hAnsi="Calibri" w:cs="Calibri"/>
                <w:b/>
                <w:sz w:val="20"/>
                <w:lang w:eastAsia="zh-CN" w:bidi="ar"/>
              </w:rPr>
              <w:t xml:space="preserve"> </w:t>
            </w:r>
            <w:r>
              <w:rPr>
                <w:rFonts w:ascii="Calibri" w:hAnsi="Calibri" w:cs="Calibri"/>
                <w:b/>
                <w:sz w:val="20"/>
                <w:lang w:val="pt-BR" w:eastAsia="zh-CN" w:bidi="ar"/>
              </w:rPr>
              <w:t>/ Executora</w:t>
            </w:r>
          </w:p>
        </w:tc>
        <w:tc>
          <w:tcPr>
            <w:tcW w:w="1003"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03003</w:t>
            </w:r>
          </w:p>
        </w:tc>
        <w:tc>
          <w:tcPr>
            <w:tcW w:w="5063"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Coordenadoria do Meio Ambiente</w:t>
            </w:r>
          </w:p>
        </w:tc>
      </w:tr>
      <w:tr>
        <w:tblPrEx>
          <w:tblCellMar>
            <w:top w:w="0" w:type="dxa"/>
            <w:left w:w="0" w:type="dxa"/>
            <w:bottom w:w="0" w:type="dxa"/>
            <w:right w:w="0" w:type="dxa"/>
          </w:tblCellMar>
        </w:tblPrEx>
        <w:trPr>
          <w:trHeight w:val="510" w:hRule="atLeast"/>
          <w:jc w:val="center"/>
        </w:trPr>
        <w:tc>
          <w:tcPr>
            <w:tcW w:w="2679" w:type="dxa"/>
            <w:vMerge w:val="restart"/>
            <w:tcBorders>
              <w:top w:val="single" w:color="000000" w:sz="2" w:space="0"/>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cs="Calibri"/>
                <w:b/>
                <w:sz w:val="20"/>
                <w:lang w:val="pt-BR" w:eastAsia="zh-CN" w:bidi="ar"/>
              </w:rPr>
            </w:pPr>
            <w:r>
              <w:rPr>
                <w:rFonts w:ascii="Calibri" w:hAnsi="Calibri" w:cs="Calibri"/>
                <w:b/>
                <w:sz w:val="20"/>
                <w:lang w:val="pt-BR" w:eastAsia="zh-CN" w:bidi="ar"/>
              </w:rPr>
              <w:t>Despesa</w:t>
            </w:r>
          </w:p>
          <w:p>
            <w:pPr>
              <w:ind w:right="38" w:rightChars="16"/>
              <w:jc w:val="center"/>
              <w:textAlignment w:val="center"/>
              <w:rPr>
                <w:rFonts w:ascii="Calibri" w:hAnsi="Calibri" w:cs="Calibri"/>
                <w:b/>
                <w:sz w:val="20"/>
              </w:rPr>
            </w:pPr>
            <w:r>
              <w:rPr>
                <w:rFonts w:ascii="Calibri" w:hAnsi="Calibri" w:cs="Calibri"/>
                <w:b/>
                <w:sz w:val="20"/>
                <w:lang w:val="pt-BR" w:eastAsia="zh-CN" w:bidi="ar"/>
              </w:rPr>
              <w:t>/</w:t>
            </w:r>
            <w:r>
              <w:rPr>
                <w:rFonts w:ascii="Calibri" w:hAnsi="Calibri" w:cs="Calibri"/>
                <w:b/>
                <w:sz w:val="20"/>
                <w:lang w:eastAsia="zh-CN" w:bidi="ar"/>
              </w:rPr>
              <w:t xml:space="preserve"> F</w:t>
            </w:r>
            <w:r>
              <w:rPr>
                <w:rFonts w:ascii="Calibri" w:hAnsi="Calibri" w:cs="Calibri"/>
                <w:b/>
                <w:sz w:val="20"/>
                <w:lang w:val="pt-BR" w:eastAsia="zh-CN" w:bidi="ar"/>
              </w:rPr>
              <w:t>onte</w:t>
            </w:r>
          </w:p>
        </w:tc>
        <w:tc>
          <w:tcPr>
            <w:tcW w:w="6066" w:type="dxa"/>
            <w:gridSpan w:val="2"/>
            <w:vMerge w:val="restart"/>
            <w:tcBorders>
              <w:top w:val="single" w:color="000000" w:sz="2" w:space="0"/>
              <w:left w:val="single" w:color="000000" w:sz="2" w:space="0"/>
              <w:bottom w:val="nil"/>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eastAsia="CIDFont+F1" w:cs="Calibri"/>
                <w:sz w:val="20"/>
              </w:rPr>
            </w:pPr>
            <w:r>
              <w:rPr>
                <w:rFonts w:ascii="Calibri" w:hAnsi="Calibri" w:eastAsia="CIDFont+F1" w:cs="Calibri"/>
                <w:sz w:val="20"/>
              </w:rPr>
              <w:t>3.3.90.39.00 - 1500</w:t>
            </w:r>
          </w:p>
          <w:p>
            <w:pPr>
              <w:ind w:right="38" w:rightChars="16"/>
              <w:jc w:val="center"/>
              <w:textAlignment w:val="center"/>
              <w:rPr>
                <w:rFonts w:ascii="Calibri" w:hAnsi="Calibri" w:eastAsia="CIDFont+F1" w:cs="Calibri"/>
                <w:sz w:val="20"/>
              </w:rPr>
            </w:pPr>
            <w:r>
              <w:rPr>
                <w:rFonts w:ascii="Calibri" w:hAnsi="Calibri" w:eastAsia="CIDFont+F1" w:cs="Calibri"/>
                <w:sz w:val="20"/>
              </w:rPr>
              <w:t>Outros Serviços de Terceiros - Pessoa Jurídica</w:t>
            </w:r>
          </w:p>
        </w:tc>
      </w:tr>
      <w:tr>
        <w:tblPrEx>
          <w:tblCellMar>
            <w:top w:w="0" w:type="dxa"/>
            <w:left w:w="0" w:type="dxa"/>
            <w:bottom w:w="0" w:type="dxa"/>
            <w:right w:w="0" w:type="dxa"/>
          </w:tblCellMar>
        </w:tblPrEx>
        <w:trPr>
          <w:trHeight w:val="255" w:hRule="atLeast"/>
          <w:jc w:val="center"/>
        </w:trPr>
        <w:tc>
          <w:tcPr>
            <w:tcW w:w="2679" w:type="dxa"/>
            <w:vMerge w:val="continue"/>
            <w:tcBorders>
              <w:top w:val="single" w:color="000000" w:sz="2" w:space="0"/>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rPr>
                <w:rFonts w:ascii="Calibri" w:hAnsi="Calibri" w:cs="Calibri"/>
                <w:b/>
                <w:sz w:val="20"/>
              </w:rPr>
            </w:pPr>
          </w:p>
        </w:tc>
        <w:tc>
          <w:tcPr>
            <w:tcW w:w="6066" w:type="dxa"/>
            <w:gridSpan w:val="2"/>
            <w:vMerge w:val="continue"/>
            <w:tcBorders>
              <w:top w:val="nil"/>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cs="Calibri"/>
                <w:sz w:val="20"/>
              </w:rPr>
            </w:pPr>
          </w:p>
        </w:tc>
      </w:tr>
      <w:tr>
        <w:tblPrEx>
          <w:tblCellMar>
            <w:top w:w="0" w:type="dxa"/>
            <w:left w:w="0" w:type="dxa"/>
            <w:bottom w:w="0" w:type="dxa"/>
            <w:right w:w="0" w:type="dxa"/>
          </w:tblCellMar>
        </w:tblPrEx>
        <w:trPr>
          <w:trHeight w:val="255" w:hRule="atLeast"/>
          <w:jc w:val="center"/>
        </w:trPr>
        <w:tc>
          <w:tcPr>
            <w:tcW w:w="2679"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Solicitação</w:t>
            </w:r>
          </w:p>
        </w:tc>
        <w:tc>
          <w:tcPr>
            <w:tcW w:w="6066"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sz w:val="20"/>
                <w:lang w:eastAsia="zh-CN" w:bidi="ar"/>
              </w:rPr>
            </w:pPr>
            <w:r>
              <w:rPr>
                <w:rFonts w:ascii="Calibri" w:hAnsi="Calibri" w:cs="Calibri"/>
                <w:sz w:val="20"/>
              </w:rPr>
              <w:t>48/2023</w:t>
            </w:r>
          </w:p>
        </w:tc>
      </w:tr>
    </w:tbl>
    <w:p>
      <w:pPr>
        <w:spacing w:after="120" w:afterLines="50"/>
        <w:jc w:val="both"/>
        <w:rPr>
          <w:rFonts w:ascii="Arial" w:hAnsi="Arial" w:cs="Arial"/>
          <w:szCs w:val="24"/>
        </w:rPr>
      </w:pPr>
    </w:p>
    <w:p>
      <w:pPr>
        <w:spacing w:after="120" w:afterLines="50"/>
        <w:jc w:val="both"/>
        <w:rPr>
          <w:rFonts w:ascii="Arial" w:hAnsi="Arial" w:cs="Arial"/>
          <w:szCs w:val="24"/>
        </w:rPr>
      </w:pPr>
    </w:p>
    <w:p>
      <w:pPr>
        <w:pStyle w:val="62"/>
        <w:spacing w:after="0" w:line="240" w:lineRule="auto"/>
        <w:ind w:left="0" w:right="240" w:rightChars="100" w:firstLine="0"/>
        <w:rPr>
          <w:rFonts w:cs="Arial"/>
          <w:bCs/>
          <w:color w:val="auto"/>
          <w:sz w:val="24"/>
          <w:szCs w:val="24"/>
          <w:lang w:eastAsia="en-US"/>
        </w:rPr>
      </w:pPr>
      <w:r>
        <w:rPr>
          <w:sz w:val="24"/>
          <w:szCs w:val="24"/>
        </w:rPr>
        <w:t xml:space="preserve">CLÁUSULA QUARTA - </w:t>
      </w:r>
      <w:r>
        <w:rPr>
          <w:rFonts w:cs="Arial"/>
          <w:bCs/>
          <w:color w:val="auto"/>
          <w:sz w:val="24"/>
          <w:szCs w:val="24"/>
          <w:lang w:eastAsia="en-US"/>
        </w:rPr>
        <w:t>DA POSSIBILIDADE DE ADESÃO DA ATA REGISTRO DE PREÇOS</w:t>
      </w:r>
    </w:p>
    <w:p>
      <w:pPr>
        <w:spacing w:after="120"/>
        <w:jc w:val="both"/>
        <w:rPr>
          <w:rFonts w:ascii="Arial" w:hAnsi="Arial" w:cs="Arial"/>
          <w:szCs w:val="24"/>
          <w:lang w:eastAsia="en-US"/>
        </w:rPr>
      </w:pPr>
      <w:r>
        <w:rPr>
          <w:rFonts w:ascii="Arial" w:hAnsi="Arial" w:cs="Arial"/>
          <w:b/>
          <w:bCs/>
          <w:szCs w:val="24"/>
          <w:lang w:eastAsia="en-US"/>
        </w:rPr>
        <w:t>4.1.</w:t>
      </w:r>
      <w:r>
        <w:rPr>
          <w:rFonts w:ascii="Arial" w:hAnsi="Arial" w:cs="Arial"/>
          <w:szCs w:val="24"/>
          <w:lang w:eastAsia="en-US"/>
        </w:rPr>
        <w:t xml:space="preserve"> 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10.520/02, Decreto Federal nº 9.488/2018 e no Decreto Federal nº 7.892/2013;</w:t>
      </w:r>
    </w:p>
    <w:p>
      <w:pPr>
        <w:spacing w:after="120"/>
        <w:jc w:val="both"/>
        <w:rPr>
          <w:rFonts w:ascii="Arial" w:hAnsi="Arial" w:cs="Arial"/>
          <w:szCs w:val="24"/>
          <w:lang w:eastAsia="en-US"/>
        </w:rPr>
      </w:pPr>
      <w:r>
        <w:rPr>
          <w:rFonts w:ascii="Arial" w:hAnsi="Arial" w:cs="Arial"/>
          <w:b/>
          <w:bCs/>
          <w:szCs w:val="24"/>
          <w:lang w:eastAsia="en-US"/>
        </w:rPr>
        <w:t>4.2.</w:t>
      </w:r>
      <w:r>
        <w:rPr>
          <w:rFonts w:ascii="Arial" w:hAnsi="Arial" w:cs="Arial"/>
          <w:szCs w:val="24"/>
          <w:lang w:eastAsia="en-US"/>
        </w:rPr>
        <w:t xml:space="preserve"> Caberá ao fornecedor detentor do registro na Ata de Registro de Preço, observadas as condições nela estabelecidas, optar pela aceitação ou não do fornecimento, desde que não seja prejudicial às obrigações anteriormente assumidas;</w:t>
      </w:r>
    </w:p>
    <w:p>
      <w:pPr>
        <w:spacing w:after="120"/>
        <w:jc w:val="both"/>
        <w:rPr>
          <w:rFonts w:ascii="Arial" w:hAnsi="Arial" w:cs="Arial"/>
          <w:szCs w:val="24"/>
          <w:lang w:eastAsia="en-US"/>
        </w:rPr>
      </w:pPr>
      <w:r>
        <w:rPr>
          <w:rFonts w:ascii="Arial" w:hAnsi="Arial" w:cs="Arial"/>
          <w:b/>
          <w:bCs/>
          <w:szCs w:val="24"/>
          <w:lang w:eastAsia="en-US"/>
        </w:rPr>
        <w:t>4.3.</w:t>
      </w:r>
      <w:r>
        <w:rPr>
          <w:rFonts w:ascii="Arial" w:hAnsi="Arial" w:cs="Arial"/>
          <w:szCs w:val="24"/>
          <w:lang w:eastAsia="en-US"/>
        </w:rPr>
        <w:t xml:space="preserve">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pPr>
        <w:spacing w:after="120"/>
        <w:jc w:val="both"/>
        <w:rPr>
          <w:rFonts w:ascii="Arial" w:hAnsi="Arial" w:cs="Arial"/>
          <w:szCs w:val="24"/>
          <w:lang w:eastAsia="en-US"/>
        </w:rPr>
      </w:pPr>
      <w:r>
        <w:rPr>
          <w:rFonts w:ascii="Arial" w:hAnsi="Arial" w:cs="Arial"/>
          <w:b/>
          <w:bCs/>
          <w:szCs w:val="24"/>
          <w:lang w:eastAsia="en-US"/>
        </w:rPr>
        <w:t>4.4.</w:t>
      </w:r>
      <w:r>
        <w:rPr>
          <w:rFonts w:ascii="Arial" w:hAnsi="Arial" w:cs="Arial"/>
          <w:szCs w:val="24"/>
          <w:lang w:eastAsia="en-US"/>
        </w:rPr>
        <w:t xml:space="preserve"> Os quantitativos decorrentes das adesões à ata de registro de preços efetuadas por Órgãos não participantes, não poderão exceder, na totalidade, ao dobro do quantitativo de cada item registrado na Ata de Registro de Preço decorrente deste certame, constantes no Termo de Referência, Anexo I deste Edital, independente do número de órgãos não participantes que aderirem;</w:t>
      </w:r>
    </w:p>
    <w:p>
      <w:pPr>
        <w:spacing w:after="120"/>
        <w:jc w:val="both"/>
        <w:rPr>
          <w:rFonts w:ascii="Arial" w:hAnsi="Arial" w:cs="Arial"/>
          <w:szCs w:val="24"/>
          <w:lang w:eastAsia="en-US"/>
        </w:rPr>
      </w:pPr>
      <w:r>
        <w:rPr>
          <w:rFonts w:ascii="Arial" w:hAnsi="Arial" w:cs="Arial"/>
          <w:b/>
          <w:bCs/>
          <w:szCs w:val="24"/>
          <w:lang w:eastAsia="en-US"/>
        </w:rPr>
        <w:t>4.5.</w:t>
      </w:r>
      <w:r>
        <w:rPr>
          <w:rFonts w:ascii="Arial" w:hAnsi="Arial" w:cs="Arial"/>
          <w:szCs w:val="24"/>
          <w:lang w:eastAsia="en-US"/>
        </w:rPr>
        <w:t xml:space="preserve"> A permissão de adesão por outros órgãos se dará em virtude de cumprir o disposto na Lei nº 7.892/2013, trazendo maior segurança jurídica a Administração Municipal, visto que se trata de uma possibilidade anômala e excepcional, assim, ao permitir que outros órgãos não participantes façam a adesão a Ata de Registro de Preços, a Administração garante a outros órgãos a possibilidade de receber nas mesmas condições que o gerenciador o objeto do processo, com preço e qualidade já demonstradas, desde que tal medida seja manifestamente vantajosa, o que deve ser comprovado pelo órgão que pretende aderir a Ata de Registro de Preços, em seu processo administrativo, ressalvado que tal permissão não significa que o gerenciador da ata irá permitir deliberadamente a adesão, devendo ser preenchidos os requisitos legais para sua autorização.</w:t>
      </w:r>
    </w:p>
    <w:p>
      <w:pPr>
        <w:spacing w:after="120"/>
        <w:jc w:val="both"/>
        <w:rPr>
          <w:rFonts w:ascii="Arial" w:hAnsi="Arial" w:cs="Arial"/>
          <w:szCs w:val="24"/>
        </w:rPr>
      </w:pPr>
      <w:r>
        <w:rPr>
          <w:rFonts w:ascii="Arial" w:hAnsi="Arial" w:cs="Arial"/>
          <w:b/>
          <w:bCs/>
          <w:szCs w:val="24"/>
          <w:lang w:eastAsia="en-US"/>
        </w:rPr>
        <w:t>4.6.</w:t>
      </w:r>
      <w:r>
        <w:rPr>
          <w:rFonts w:ascii="Arial" w:hAnsi="Arial" w:cs="Arial"/>
          <w:szCs w:val="24"/>
          <w:lang w:eastAsia="en-US"/>
        </w:rPr>
        <w:t xml:space="preserve"> A Secretaria Municipal de Administração será o órgão responsável pelos atos de controle e administração da Ata de Registro de Preços decorrentes desta licitação, por meio do Setor de Licitações e Contratos.</w:t>
      </w:r>
    </w:p>
    <w:p>
      <w:pPr>
        <w:ind w:right="240" w:rightChars="100"/>
        <w:jc w:val="both"/>
        <w:rPr>
          <w:rFonts w:ascii="Arial" w:hAnsi="Arial"/>
          <w:szCs w:val="24"/>
        </w:rPr>
      </w:pPr>
    </w:p>
    <w:p>
      <w:pPr>
        <w:pStyle w:val="62"/>
        <w:spacing w:before="0" w:after="120" w:line="240" w:lineRule="auto"/>
        <w:ind w:right="240" w:rightChars="100"/>
        <w:rPr>
          <w:sz w:val="24"/>
          <w:szCs w:val="24"/>
        </w:rPr>
      </w:pPr>
      <w:r>
        <w:rPr>
          <w:sz w:val="24"/>
          <w:szCs w:val="24"/>
        </w:rPr>
        <w:t xml:space="preserve">CLÁUSULA QUINTA - DA VALIDADE DA ATA </w:t>
      </w:r>
    </w:p>
    <w:p>
      <w:pPr>
        <w:autoSpaceDE w:val="0"/>
        <w:autoSpaceDN w:val="0"/>
        <w:adjustRightInd w:val="0"/>
        <w:ind w:right="240" w:rightChars="100"/>
        <w:jc w:val="both"/>
        <w:rPr>
          <w:rFonts w:ascii="Arial" w:hAnsi="Arial"/>
          <w:szCs w:val="24"/>
        </w:rPr>
      </w:pPr>
      <w:r>
        <w:rPr>
          <w:rFonts w:ascii="Arial" w:hAnsi="Arial"/>
          <w:b/>
          <w:szCs w:val="24"/>
        </w:rPr>
        <w:t xml:space="preserve">5.1. </w:t>
      </w:r>
      <w:r>
        <w:rPr>
          <w:rFonts w:ascii="Arial" w:hAnsi="Arial"/>
          <w:szCs w:val="24"/>
        </w:rPr>
        <w:t>A validade da Ata de Registro de Preços será de 12 (doze) meses, a partir da data da assinatura, não podendo ser prorrogada.</w:t>
      </w:r>
    </w:p>
    <w:p>
      <w:pPr>
        <w:autoSpaceDE w:val="0"/>
        <w:autoSpaceDN w:val="0"/>
        <w:adjustRightInd w:val="0"/>
        <w:ind w:right="240" w:rightChars="100"/>
        <w:jc w:val="both"/>
        <w:rPr>
          <w:rFonts w:ascii="Arial" w:hAnsi="Arial"/>
          <w:szCs w:val="24"/>
        </w:rPr>
      </w:pPr>
    </w:p>
    <w:p>
      <w:pPr>
        <w:pStyle w:val="62"/>
        <w:spacing w:before="0" w:after="120" w:line="240" w:lineRule="auto"/>
        <w:ind w:left="0" w:right="240" w:rightChars="100" w:firstLine="0"/>
        <w:rPr>
          <w:sz w:val="24"/>
          <w:szCs w:val="24"/>
        </w:rPr>
      </w:pPr>
      <w:r>
        <w:rPr>
          <w:sz w:val="24"/>
          <w:szCs w:val="24"/>
        </w:rPr>
        <w:t xml:space="preserve">CLÁUSULA SEXTA - DA REVISÃO E CANCELAMENTO </w:t>
      </w:r>
    </w:p>
    <w:p>
      <w:pPr>
        <w:spacing w:before="120" w:after="120"/>
        <w:ind w:right="240" w:rightChars="100"/>
        <w:jc w:val="both"/>
        <w:rPr>
          <w:rFonts w:ascii="Arial" w:hAnsi="Arial"/>
          <w:szCs w:val="24"/>
        </w:rPr>
      </w:pPr>
      <w:r>
        <w:rPr>
          <w:rFonts w:ascii="Arial" w:hAnsi="Arial"/>
          <w:b/>
          <w:szCs w:val="24"/>
        </w:rPr>
        <w:t xml:space="preserve">6.1. </w:t>
      </w:r>
      <w:r>
        <w:rPr>
          <w:rFonts w:ascii="Arial" w:hAnsi="Arial"/>
          <w:szCs w:val="24"/>
        </w:rPr>
        <w:t>A Administração realizará pesquisa de mercado periodicamente, em intervalos não superiores a 180 (cento e oitenta) dias, a fim de verificar a vantajosidade dos preços registrados nesta Ata.</w:t>
      </w:r>
    </w:p>
    <w:p>
      <w:pPr>
        <w:autoSpaceDE w:val="0"/>
        <w:autoSpaceDN w:val="0"/>
        <w:adjustRightInd w:val="0"/>
        <w:spacing w:before="120" w:after="120"/>
        <w:ind w:right="240" w:rightChars="100"/>
        <w:jc w:val="both"/>
        <w:rPr>
          <w:rFonts w:ascii="Arial" w:hAnsi="Arial"/>
          <w:szCs w:val="24"/>
        </w:rPr>
      </w:pPr>
      <w:r>
        <w:rPr>
          <w:rFonts w:ascii="Arial" w:hAnsi="Arial"/>
          <w:b/>
          <w:szCs w:val="24"/>
        </w:rPr>
        <w:t xml:space="preserve">6.2. </w:t>
      </w:r>
      <w:r>
        <w:rPr>
          <w:rFonts w:ascii="Arial" w:hAnsi="Arial"/>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autoSpaceDE w:val="0"/>
        <w:autoSpaceDN w:val="0"/>
        <w:adjustRightInd w:val="0"/>
        <w:spacing w:before="120" w:after="120"/>
        <w:ind w:right="240" w:rightChars="100"/>
        <w:jc w:val="both"/>
        <w:rPr>
          <w:rFonts w:ascii="Arial" w:hAnsi="Arial"/>
          <w:szCs w:val="24"/>
        </w:rPr>
      </w:pPr>
      <w:r>
        <w:rPr>
          <w:rFonts w:ascii="Arial" w:hAnsi="Arial"/>
          <w:b/>
          <w:szCs w:val="24"/>
        </w:rPr>
        <w:t xml:space="preserve">6.3. </w:t>
      </w:r>
      <w:r>
        <w:rPr>
          <w:rFonts w:ascii="Arial" w:hAnsi="Arial"/>
          <w:szCs w:val="24"/>
        </w:rPr>
        <w:t>Quando o preço registrado tornar-se superior ao preço praticado no mercado por motivo superveniente, a Administração convocará o(s) fornecedor(es) para negociar(em) a redução dos preços aos valores praticados pelo mercado.</w:t>
      </w:r>
    </w:p>
    <w:p>
      <w:pPr>
        <w:autoSpaceDE w:val="0"/>
        <w:autoSpaceDN w:val="0"/>
        <w:adjustRightInd w:val="0"/>
        <w:spacing w:before="120" w:after="120"/>
        <w:ind w:right="240" w:rightChars="100"/>
        <w:jc w:val="both"/>
        <w:rPr>
          <w:rFonts w:ascii="Arial" w:hAnsi="Arial"/>
          <w:szCs w:val="24"/>
        </w:rPr>
      </w:pPr>
      <w:r>
        <w:rPr>
          <w:rFonts w:ascii="Arial" w:hAnsi="Arial"/>
          <w:b/>
          <w:szCs w:val="24"/>
        </w:rPr>
        <w:t xml:space="preserve">6.4. </w:t>
      </w:r>
      <w:r>
        <w:rPr>
          <w:rFonts w:ascii="Arial" w:hAnsi="Arial"/>
          <w:szCs w:val="24"/>
        </w:rPr>
        <w:t>O fornecedor que não aceitar reduzir seu preço ao valor praticado pelo mercado será liberado do compromisso assumido, sem aplicação de penalidade.</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6.4.1. </w:t>
      </w:r>
      <w:r>
        <w:rPr>
          <w:rFonts w:ascii="Arial" w:hAnsi="Arial"/>
          <w:szCs w:val="24"/>
        </w:rPr>
        <w:t>A ordem de classificação dos fornecedores que aceitarem reduzir seus preços aos valores de mercado observará a classificação original.</w:t>
      </w:r>
    </w:p>
    <w:p>
      <w:pPr>
        <w:autoSpaceDE w:val="0"/>
        <w:autoSpaceDN w:val="0"/>
        <w:adjustRightInd w:val="0"/>
        <w:spacing w:before="120" w:after="120"/>
        <w:ind w:right="240" w:rightChars="100"/>
        <w:jc w:val="both"/>
        <w:rPr>
          <w:rFonts w:ascii="Arial" w:hAnsi="Arial"/>
          <w:szCs w:val="24"/>
        </w:rPr>
      </w:pPr>
      <w:r>
        <w:rPr>
          <w:rFonts w:ascii="Arial" w:hAnsi="Arial"/>
          <w:b/>
          <w:szCs w:val="24"/>
        </w:rPr>
        <w:t xml:space="preserve">6.5. </w:t>
      </w:r>
      <w:r>
        <w:rPr>
          <w:rFonts w:ascii="Arial" w:hAnsi="Arial"/>
          <w:szCs w:val="24"/>
        </w:rPr>
        <w:t>Quando o preço de mercado tornar-se superior aos preços registrados e o fornecedor não puder cumprir o compromisso, o órgão gerenciador poderá:</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6.5.1. </w:t>
      </w:r>
      <w:r>
        <w:rPr>
          <w:rFonts w:ascii="Arial" w:hAnsi="Arial"/>
          <w:szCs w:val="24"/>
        </w:rPr>
        <w:t>liberar o fornecedor do compromisso assumido, caso a comunicação ocorra antes do pedido de fornecimento, e sem aplicação da penalidade se confirmada a veracidade dos motivos e comprovantes apresentados; e</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6.5.2. </w:t>
      </w:r>
      <w:r>
        <w:rPr>
          <w:rFonts w:ascii="Arial" w:hAnsi="Arial"/>
          <w:szCs w:val="24"/>
        </w:rPr>
        <w:t>convocar os demais fornecedores para assegurar igual oportunidade de negociação.</w:t>
      </w:r>
    </w:p>
    <w:p>
      <w:pPr>
        <w:autoSpaceDE w:val="0"/>
        <w:autoSpaceDN w:val="0"/>
        <w:adjustRightInd w:val="0"/>
        <w:spacing w:before="120" w:after="120"/>
        <w:ind w:right="240" w:rightChars="100"/>
        <w:jc w:val="both"/>
        <w:rPr>
          <w:rFonts w:ascii="Arial" w:hAnsi="Arial"/>
          <w:szCs w:val="24"/>
        </w:rPr>
      </w:pPr>
      <w:r>
        <w:rPr>
          <w:rFonts w:ascii="Arial" w:hAnsi="Arial"/>
          <w:b/>
          <w:szCs w:val="24"/>
        </w:rPr>
        <w:t xml:space="preserve">6.6. </w:t>
      </w:r>
      <w:r>
        <w:rPr>
          <w:rFonts w:ascii="Arial" w:hAnsi="Arial"/>
          <w:szCs w:val="24"/>
        </w:rPr>
        <w:t>Não havendo êxito nas negociações, o órgão gerenciador deverá proceder à revogação desta ata de registro de preços, adotando as medidas cabíveis para obtenção da contratação mais vantajosa.</w:t>
      </w:r>
    </w:p>
    <w:p>
      <w:pPr>
        <w:autoSpaceDE w:val="0"/>
        <w:autoSpaceDN w:val="0"/>
        <w:adjustRightInd w:val="0"/>
        <w:spacing w:before="120" w:after="120"/>
        <w:ind w:right="240" w:rightChars="100"/>
        <w:jc w:val="both"/>
        <w:rPr>
          <w:rFonts w:ascii="Arial" w:hAnsi="Arial"/>
          <w:szCs w:val="24"/>
        </w:rPr>
      </w:pPr>
      <w:r>
        <w:rPr>
          <w:rFonts w:ascii="Arial" w:hAnsi="Arial"/>
          <w:b/>
          <w:szCs w:val="24"/>
        </w:rPr>
        <w:t xml:space="preserve">6.7. </w:t>
      </w:r>
      <w:r>
        <w:rPr>
          <w:rFonts w:ascii="Arial" w:hAnsi="Arial"/>
          <w:szCs w:val="24"/>
        </w:rPr>
        <w:t>O registro do fornecedor será cancelado quando:</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6.7.1. </w:t>
      </w:r>
      <w:r>
        <w:rPr>
          <w:rFonts w:ascii="Arial" w:hAnsi="Arial"/>
          <w:szCs w:val="24"/>
        </w:rPr>
        <w:t>descumprir as condições da ata de registro de preços;</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6.7.2. </w:t>
      </w:r>
      <w:r>
        <w:rPr>
          <w:rFonts w:ascii="Arial" w:hAnsi="Arial"/>
          <w:szCs w:val="24"/>
        </w:rPr>
        <w:t>não retirar a nota de empenho ou instrumento equivalente no prazo estabelecido pela Administração, sem justificativa aceitável;</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6.7.3. </w:t>
      </w:r>
      <w:r>
        <w:rPr>
          <w:rFonts w:ascii="Arial" w:hAnsi="Arial"/>
          <w:szCs w:val="24"/>
        </w:rPr>
        <w:t>não aceitar reduzir o seu preço registrado, na hipótese deste se tornar superior àqueles praticados no mercado; ou</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6.7.4. </w:t>
      </w:r>
      <w:r>
        <w:rPr>
          <w:rFonts w:ascii="Arial" w:hAnsi="Arial"/>
          <w:szCs w:val="24"/>
        </w:rPr>
        <w:t>sofrer sanção administrativa cujo efeito torne-o proibido de celebrar contrato administrativo, alcançando o órgão gerenciador e órgão(s) participante(s).</w:t>
      </w:r>
    </w:p>
    <w:p>
      <w:pPr>
        <w:autoSpaceDE w:val="0"/>
        <w:autoSpaceDN w:val="0"/>
        <w:adjustRightInd w:val="0"/>
        <w:spacing w:before="120" w:after="120"/>
        <w:ind w:right="240" w:rightChars="100"/>
        <w:jc w:val="both"/>
        <w:rPr>
          <w:rFonts w:ascii="Arial" w:hAnsi="Arial"/>
          <w:szCs w:val="24"/>
        </w:rPr>
      </w:pPr>
      <w:r>
        <w:rPr>
          <w:rFonts w:ascii="Arial" w:hAnsi="Arial"/>
          <w:b/>
          <w:szCs w:val="24"/>
        </w:rPr>
        <w:t xml:space="preserve">6.8. </w:t>
      </w:r>
      <w:r>
        <w:rPr>
          <w:rFonts w:ascii="Arial" w:hAnsi="Arial"/>
          <w:szCs w:val="24"/>
        </w:rPr>
        <w:t>O cancelamento de registros nas hipóteses previstas nos itens 6.7.1 a 6.7.4. será formalizado por despacho do órgão gerenciador, assegurado o contraditório e a ampla defesa.</w:t>
      </w:r>
    </w:p>
    <w:p>
      <w:pPr>
        <w:autoSpaceDE w:val="0"/>
        <w:autoSpaceDN w:val="0"/>
        <w:adjustRightInd w:val="0"/>
        <w:spacing w:before="120" w:after="120"/>
        <w:ind w:right="240" w:rightChars="100"/>
        <w:jc w:val="both"/>
        <w:rPr>
          <w:rFonts w:ascii="Arial" w:hAnsi="Arial"/>
          <w:szCs w:val="24"/>
        </w:rPr>
      </w:pPr>
      <w:r>
        <w:rPr>
          <w:rFonts w:ascii="Arial" w:hAnsi="Arial"/>
          <w:b/>
          <w:szCs w:val="24"/>
        </w:rPr>
        <w:t>6.9.</w:t>
      </w:r>
      <w:r>
        <w:rPr>
          <w:rFonts w:ascii="Arial" w:hAnsi="Arial"/>
          <w:szCs w:val="24"/>
        </w:rPr>
        <w:t>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before="120" w:after="120"/>
        <w:ind w:left="720" w:leftChars="300" w:right="240" w:rightChars="100"/>
        <w:jc w:val="both"/>
        <w:rPr>
          <w:rFonts w:ascii="Arial" w:hAnsi="Arial"/>
          <w:szCs w:val="24"/>
        </w:rPr>
      </w:pPr>
      <w:r>
        <w:rPr>
          <w:rFonts w:ascii="Arial" w:hAnsi="Arial"/>
          <w:b/>
          <w:szCs w:val="24"/>
        </w:rPr>
        <w:t xml:space="preserve">6.9.1. </w:t>
      </w:r>
      <w:r>
        <w:rPr>
          <w:rFonts w:ascii="Arial" w:hAnsi="Arial"/>
          <w:szCs w:val="24"/>
        </w:rPr>
        <w:t>por razão de interesse público; ou</w:t>
      </w:r>
    </w:p>
    <w:p>
      <w:pPr>
        <w:autoSpaceDE w:val="0"/>
        <w:autoSpaceDN w:val="0"/>
        <w:adjustRightInd w:val="0"/>
        <w:ind w:left="720" w:leftChars="300" w:right="240" w:rightChars="100"/>
        <w:jc w:val="both"/>
        <w:rPr>
          <w:rFonts w:ascii="Arial" w:hAnsi="Arial"/>
          <w:szCs w:val="24"/>
        </w:rPr>
      </w:pPr>
      <w:r>
        <w:rPr>
          <w:rFonts w:ascii="Arial" w:hAnsi="Arial"/>
          <w:b/>
          <w:szCs w:val="24"/>
        </w:rPr>
        <w:t xml:space="preserve">6.9.2. </w:t>
      </w:r>
      <w:r>
        <w:rPr>
          <w:rFonts w:ascii="Arial" w:hAnsi="Arial"/>
          <w:szCs w:val="24"/>
        </w:rPr>
        <w:t>a pedido do fornecedor. </w:t>
      </w:r>
    </w:p>
    <w:p>
      <w:pPr>
        <w:autoSpaceDE w:val="0"/>
        <w:autoSpaceDN w:val="0"/>
        <w:adjustRightInd w:val="0"/>
        <w:ind w:left="720" w:leftChars="300" w:right="240" w:rightChars="100"/>
        <w:jc w:val="both"/>
        <w:rPr>
          <w:rFonts w:ascii="Arial" w:hAnsi="Arial"/>
          <w:szCs w:val="24"/>
        </w:rPr>
      </w:pPr>
    </w:p>
    <w:p>
      <w:pPr>
        <w:pStyle w:val="62"/>
        <w:spacing w:before="0" w:after="0" w:line="240" w:lineRule="auto"/>
        <w:ind w:right="240" w:rightChars="100"/>
        <w:rPr>
          <w:sz w:val="24"/>
          <w:szCs w:val="24"/>
        </w:rPr>
      </w:pPr>
      <w:r>
        <w:rPr>
          <w:sz w:val="24"/>
          <w:szCs w:val="24"/>
        </w:rPr>
        <w:t>CLÁUSULA SÉTIMA - DAS PENALIDADES</w:t>
      </w:r>
    </w:p>
    <w:p>
      <w:pPr>
        <w:widowControl w:val="0"/>
        <w:autoSpaceDE w:val="0"/>
        <w:autoSpaceDN w:val="0"/>
        <w:adjustRightInd w:val="0"/>
        <w:spacing w:after="120"/>
        <w:ind w:right="240" w:rightChars="100"/>
        <w:jc w:val="both"/>
        <w:rPr>
          <w:rFonts w:ascii="Arial" w:hAnsi="Arial"/>
          <w:color w:val="000000"/>
          <w:szCs w:val="24"/>
        </w:rPr>
      </w:pPr>
      <w:r>
        <w:rPr>
          <w:rFonts w:ascii="Arial" w:hAnsi="Arial"/>
          <w:b/>
          <w:szCs w:val="24"/>
        </w:rPr>
        <w:t>7.1.</w:t>
      </w:r>
      <w:r>
        <w:rPr>
          <w:rFonts w:ascii="Arial" w:hAnsi="Arial"/>
          <w:szCs w:val="24"/>
        </w:rPr>
        <w:t xml:space="preserve"> O descumprimento da Ata de Registro de Preços ensejará aplicação das </w:t>
      </w:r>
      <w:r>
        <w:rPr>
          <w:rFonts w:ascii="Arial" w:hAnsi="Arial"/>
          <w:b/>
          <w:color w:val="000000"/>
          <w:szCs w:val="24"/>
        </w:rPr>
        <w:t>29.1.</w:t>
      </w:r>
      <w:r>
        <w:rPr>
          <w:rFonts w:ascii="Arial" w:hAnsi="Arial"/>
          <w:color w:val="000000"/>
          <w:szCs w:val="24"/>
        </w:rPr>
        <w:t xml:space="preserve"> A licitante vencedora que descumprir quaisquer das condições deste instrumento ficará sujeita às penalidades previstas na Lei nº 10.520/2002, bem como nos art. 86 e 87 da Lei 8.666/93, quais sejam:</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7.1.1.</w:t>
      </w:r>
      <w:r>
        <w:rPr>
          <w:rFonts w:ascii="Arial" w:hAnsi="Arial"/>
          <w:color w:val="000000"/>
          <w:szCs w:val="24"/>
        </w:rPr>
        <w:t xml:space="preserve"> Por atraso injustificado na execução do objeto:</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7.1.1.1</w:t>
      </w:r>
      <w:r>
        <w:rPr>
          <w:rFonts w:ascii="Arial" w:hAnsi="Arial"/>
          <w:color w:val="000000"/>
          <w:szCs w:val="24"/>
        </w:rPr>
        <w:t>. Atraso em até de 50% além do tempo previsto para entrega ou execução, multa diária de 0,25% (vinte e cinco centésimos por cento) sobre o valor homologado;</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7.1.1.2.</w:t>
      </w:r>
      <w:r>
        <w:rPr>
          <w:rFonts w:ascii="Arial" w:hAnsi="Arial"/>
          <w:color w:val="000000"/>
          <w:szCs w:val="24"/>
        </w:rPr>
        <w:t xml:space="preserve"> Atraso superior a 50%, multa diária de até 0,50% (cinquenta centésimos por cento) sobre o valor homologado do total dos dias em atraso, sem prejuízo das demais cominações legais;</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7.1.1.3.</w:t>
      </w:r>
      <w:r>
        <w:rPr>
          <w:rFonts w:ascii="Arial" w:hAnsi="Arial"/>
          <w:color w:val="000000"/>
          <w:szCs w:val="24"/>
        </w:rPr>
        <w:t xml:space="preserve"> No caso de atraso no recolhimento da multa aplicada, incidirá nova multa sobre o valor devido, equivalente a 0,20% (vinte centésimos por cento) sobre o valor homologado até 10 (dez) dias de atraso e 0,40% (quarenta centésimos por cento) sobre o valor homologado acima desse prazo, calculado sobre o total dos dias em atraso;</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7.1.2.</w:t>
      </w:r>
      <w:r>
        <w:rPr>
          <w:rFonts w:ascii="Arial" w:hAnsi="Arial"/>
          <w:color w:val="000000"/>
          <w:szCs w:val="24"/>
        </w:rPr>
        <w:t xml:space="preserve"> Pela inexecução parcial ou total das condições estabelecidas neste ato convocatório, a Prefeitura poderá garantida a prévia defesa, aplicar, também, as seguintes sanções:</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tabs>
          <w:tab w:val="left" w:pos="-6237"/>
          <w:tab w:val="left" w:pos="993"/>
        </w:tabs>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7.1.2.1.</w:t>
      </w:r>
      <w:r>
        <w:rPr>
          <w:rFonts w:ascii="Arial" w:hAnsi="Arial"/>
          <w:b/>
          <w:color w:val="000000"/>
          <w:szCs w:val="24"/>
        </w:rPr>
        <w:tab/>
      </w:r>
      <w:r>
        <w:rPr>
          <w:rFonts w:ascii="Arial" w:hAnsi="Arial"/>
          <w:color w:val="000000"/>
          <w:szCs w:val="24"/>
        </w:rPr>
        <w:t>advertência;</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tabs>
          <w:tab w:val="left" w:pos="993"/>
        </w:tabs>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7.1.2.2.</w:t>
      </w:r>
      <w:r>
        <w:rPr>
          <w:rFonts w:ascii="Arial" w:hAnsi="Arial"/>
          <w:color w:val="000000"/>
          <w:szCs w:val="24"/>
        </w:rPr>
        <w:tab/>
      </w:r>
      <w:r>
        <w:rPr>
          <w:rFonts w:ascii="Arial" w:hAnsi="Arial"/>
          <w:color w:val="000000"/>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tabs>
          <w:tab w:val="left" w:pos="993"/>
        </w:tabs>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7.1.2.3.</w:t>
      </w:r>
      <w:r>
        <w:rPr>
          <w:rFonts w:ascii="Arial" w:hAnsi="Arial"/>
          <w:color w:val="000000"/>
          <w:szCs w:val="24"/>
        </w:rPr>
        <w:tab/>
      </w:r>
      <w:r>
        <w:rPr>
          <w:rFonts w:ascii="Arial" w:hAnsi="Arial"/>
          <w:color w:val="000000"/>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tabs>
          <w:tab w:val="left" w:pos="993"/>
        </w:tabs>
        <w:spacing w:after="120"/>
        <w:ind w:right="240" w:rightChars="100"/>
        <w:jc w:val="both"/>
        <w:rPr>
          <w:rFonts w:ascii="Arial" w:hAnsi="Arial"/>
          <w:szCs w:val="24"/>
        </w:rPr>
      </w:pPr>
      <w:r>
        <w:rPr>
          <w:rFonts w:ascii="Arial" w:hAnsi="Arial"/>
          <w:b/>
          <w:szCs w:val="24"/>
        </w:rPr>
        <w:t>7.1.2.4.</w:t>
      </w:r>
      <w:r>
        <w:rPr>
          <w:rFonts w:ascii="Arial" w:hAnsi="Arial"/>
          <w:b/>
          <w:szCs w:val="24"/>
        </w:rPr>
        <w:tab/>
      </w:r>
      <w:r>
        <w:rPr>
          <w:rFonts w:ascii="Arial" w:hAnsi="Arial"/>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7.2.</w:t>
      </w:r>
      <w:r>
        <w:rPr>
          <w:rFonts w:ascii="Arial" w:hAnsi="Arial"/>
          <w:color w:val="000000"/>
          <w:szCs w:val="24"/>
        </w:rPr>
        <w:t xml:space="preserve"> As multas serão descontadas dos créditos da empresa detentora da ata ou cobradas administrativa ou judicialmente; </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7.3.</w:t>
      </w:r>
      <w:r>
        <w:rPr>
          <w:rFonts w:ascii="Arial" w:hAnsi="Arial"/>
          <w:color w:val="000000"/>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7.4.</w:t>
      </w:r>
      <w:r>
        <w:rPr>
          <w:rFonts w:ascii="Arial" w:hAnsi="Arial"/>
          <w:color w:val="000000"/>
          <w:szCs w:val="24"/>
        </w:rPr>
        <w:t xml:space="preserve"> As penalidades são independentes e a aplicação de uma não exclui a das demais, quando cabíveis; </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7.5.</w:t>
      </w:r>
      <w:r>
        <w:rPr>
          <w:rFonts w:ascii="Arial" w:hAnsi="Arial"/>
          <w:color w:val="000000"/>
          <w:szCs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tabs>
          <w:tab w:val="left" w:pos="-6521"/>
          <w:tab w:val="left" w:pos="851"/>
        </w:tabs>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7.5.1.</w:t>
      </w:r>
      <w:r>
        <w:rPr>
          <w:rFonts w:ascii="Arial" w:hAnsi="Arial"/>
          <w:color w:val="000000"/>
          <w:szCs w:val="24"/>
        </w:rPr>
        <w:t xml:space="preserve"> Desclassificação ou inabilitação caso o procedimento se encontre em fase de julgamento;</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7.5.2.</w:t>
      </w:r>
      <w:r>
        <w:rPr>
          <w:rFonts w:ascii="Arial" w:hAnsi="Arial"/>
          <w:color w:val="000000"/>
          <w:szCs w:val="24"/>
        </w:rPr>
        <w:t xml:space="preserve"> Cancelamento da ata de registro de preços, se esta já estiver assinada, procedendo-se a paralisação do fornecimento;</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autoSpaceDE w:val="0"/>
        <w:autoSpaceDN w:val="0"/>
        <w:adjustRightInd w:val="0"/>
        <w:spacing w:after="120"/>
        <w:ind w:right="240" w:rightChars="100"/>
        <w:jc w:val="both"/>
        <w:rPr>
          <w:rFonts w:ascii="Arial" w:hAnsi="Arial"/>
          <w:color w:val="000000"/>
          <w:szCs w:val="24"/>
        </w:rPr>
      </w:pPr>
      <w:r>
        <w:rPr>
          <w:rFonts w:ascii="Arial" w:hAnsi="Arial"/>
          <w:b/>
          <w:color w:val="000000"/>
          <w:szCs w:val="24"/>
        </w:rPr>
        <w:t>7.6.</w:t>
      </w:r>
      <w:r>
        <w:rPr>
          <w:rFonts w:ascii="Arial" w:hAnsi="Arial"/>
          <w:color w:val="000000"/>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numPr>
          <w:ilvl w:val="0"/>
          <w:numId w:val="18"/>
        </w:numPr>
        <w:tabs>
          <w:tab w:val="left" w:pos="567"/>
        </w:tabs>
        <w:spacing w:after="120"/>
        <w:ind w:right="240" w:rightChars="100"/>
        <w:jc w:val="both"/>
        <w:rPr>
          <w:rFonts w:ascii="Arial" w:hAnsi="Arial"/>
          <w:b/>
          <w:vanish/>
          <w:color w:val="000000"/>
          <w:szCs w:val="24"/>
        </w:rPr>
      </w:pPr>
    </w:p>
    <w:p>
      <w:pPr>
        <w:widowControl w:val="0"/>
        <w:ind w:right="240" w:rightChars="100"/>
        <w:jc w:val="both"/>
        <w:rPr>
          <w:rFonts w:ascii="Arial" w:hAnsi="Arial"/>
          <w:szCs w:val="24"/>
        </w:rPr>
      </w:pPr>
      <w:r>
        <w:rPr>
          <w:rFonts w:ascii="Arial" w:hAnsi="Arial"/>
          <w:b/>
          <w:szCs w:val="24"/>
        </w:rPr>
        <w:t>7.7.</w:t>
      </w:r>
      <w:r>
        <w:rPr>
          <w:rFonts w:ascii="Arial" w:hAnsi="Arial"/>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autoSpaceDE w:val="0"/>
        <w:autoSpaceDN w:val="0"/>
        <w:adjustRightInd w:val="0"/>
        <w:ind w:right="240" w:rightChars="100"/>
        <w:jc w:val="both"/>
        <w:rPr>
          <w:rFonts w:ascii="Arial" w:hAnsi="Arial"/>
          <w:szCs w:val="24"/>
        </w:rPr>
      </w:pPr>
    </w:p>
    <w:p>
      <w:pPr>
        <w:pStyle w:val="62"/>
        <w:spacing w:before="0" w:after="120" w:line="240" w:lineRule="auto"/>
        <w:ind w:right="240" w:rightChars="100"/>
        <w:rPr>
          <w:sz w:val="24"/>
          <w:szCs w:val="24"/>
        </w:rPr>
      </w:pPr>
      <w:r>
        <w:rPr>
          <w:sz w:val="24"/>
          <w:szCs w:val="24"/>
        </w:rPr>
        <w:t>CLÁUSULA OITAVA - DAS CONDIÇÕES GERAIS</w:t>
      </w:r>
    </w:p>
    <w:p>
      <w:pPr>
        <w:widowControl w:val="0"/>
        <w:ind w:right="240" w:rightChars="100"/>
        <w:jc w:val="both"/>
        <w:rPr>
          <w:rFonts w:ascii="Arial" w:hAnsi="Arial"/>
          <w:bCs/>
          <w:szCs w:val="24"/>
        </w:rPr>
      </w:pPr>
      <w:r>
        <w:rPr>
          <w:rFonts w:ascii="Arial" w:hAnsi="Arial"/>
          <w:b/>
          <w:szCs w:val="24"/>
        </w:rPr>
        <w:t>8.1.</w:t>
      </w:r>
      <w:r>
        <w:rPr>
          <w:rFonts w:ascii="Arial" w:hAnsi="Arial"/>
          <w:bCs/>
          <w:szCs w:val="24"/>
        </w:rPr>
        <w:t xml:space="preserve"> Caberá a contratada cumprir todas as obrigações constantes no Termo de Referencia/Edital, seus anexos e sua proposta, devendo:</w:t>
      </w:r>
    </w:p>
    <w:p>
      <w:pPr>
        <w:widowControl w:val="0"/>
        <w:ind w:right="240" w:rightChars="100"/>
        <w:jc w:val="both"/>
        <w:rPr>
          <w:rFonts w:ascii="Arial" w:hAnsi="Arial"/>
          <w:bCs/>
          <w:szCs w:val="24"/>
        </w:rPr>
      </w:pPr>
      <w:r>
        <w:rPr>
          <w:rFonts w:ascii="Arial" w:hAnsi="Arial"/>
          <w:b/>
          <w:szCs w:val="24"/>
        </w:rPr>
        <w:t xml:space="preserve">8.1.1. </w:t>
      </w:r>
      <w:r>
        <w:rPr>
          <w:rFonts w:ascii="Arial" w:hAnsi="Arial"/>
          <w:bCs/>
          <w:szCs w:val="24"/>
        </w:rPr>
        <w:t>Realizar a prestação dos serviços conforme especificações e prazos constantes neste termo de referencia, obedecendo aos locais que serão informados no momento de envio da solicitação, sem qualquer ônus adicional para a contratante;</w:t>
      </w:r>
    </w:p>
    <w:p>
      <w:pPr>
        <w:widowControl w:val="0"/>
        <w:ind w:right="240" w:rightChars="100"/>
        <w:jc w:val="both"/>
        <w:rPr>
          <w:rFonts w:ascii="Arial" w:hAnsi="Arial"/>
          <w:bCs/>
          <w:szCs w:val="24"/>
        </w:rPr>
      </w:pPr>
      <w:r>
        <w:rPr>
          <w:rFonts w:ascii="Arial" w:hAnsi="Arial"/>
          <w:b/>
          <w:szCs w:val="24"/>
        </w:rPr>
        <w:t>8.1.2</w:t>
      </w:r>
      <w:r>
        <w:rPr>
          <w:rFonts w:ascii="Arial" w:hAnsi="Arial"/>
          <w:bCs/>
          <w:szCs w:val="24"/>
        </w:rPr>
        <w:t>. Comunicar a contratante, no prazo Maximo de 24 (vinte e quatro) horas que antecede a data da realização dos serviços, os motivos que impossibilitem o cumprimento do prazo previsto, com a devida comprovação;</w:t>
      </w:r>
    </w:p>
    <w:p>
      <w:pPr>
        <w:widowControl w:val="0"/>
        <w:ind w:right="240" w:rightChars="100"/>
        <w:jc w:val="both"/>
        <w:rPr>
          <w:rFonts w:ascii="Arial" w:hAnsi="Arial"/>
          <w:bCs/>
          <w:szCs w:val="24"/>
        </w:rPr>
      </w:pPr>
      <w:r>
        <w:rPr>
          <w:rFonts w:ascii="Arial" w:hAnsi="Arial"/>
          <w:b/>
          <w:szCs w:val="24"/>
        </w:rPr>
        <w:t>8.1.3.</w:t>
      </w:r>
      <w:r>
        <w:rPr>
          <w:rFonts w:ascii="Arial" w:hAnsi="Arial"/>
          <w:bCs/>
          <w:szCs w:val="24"/>
        </w:rPr>
        <w:t xml:space="preserve"> Ressarcir a Administração do equivalente a todos os danos decorrentes de paralisação ou interrupção do fornecimento do objeto contratual, exceto quando isso ocorrer por exigência da contratante ou ainda por caso fortuito ou força maior, circunstâncias devidamente comunicadas a contratante no prazo de 24 (vinte e quatro horas), após a sua ocorrência;</w:t>
      </w:r>
    </w:p>
    <w:p>
      <w:pPr>
        <w:widowControl w:val="0"/>
        <w:ind w:right="240" w:rightChars="100"/>
        <w:jc w:val="both"/>
        <w:rPr>
          <w:rFonts w:ascii="Arial" w:hAnsi="Arial"/>
          <w:bCs/>
          <w:szCs w:val="24"/>
        </w:rPr>
      </w:pPr>
      <w:r>
        <w:rPr>
          <w:rFonts w:ascii="Arial" w:hAnsi="Arial"/>
          <w:b/>
          <w:szCs w:val="24"/>
        </w:rPr>
        <w:t>8.1.4.</w:t>
      </w:r>
      <w:r>
        <w:rPr>
          <w:rFonts w:ascii="Arial" w:hAnsi="Arial"/>
          <w:bCs/>
          <w:szCs w:val="24"/>
        </w:rPr>
        <w:t xml:space="preserve"> Responsabilizar-se pelos salários, encargos sociais, previdenciários, securitários, taxas, impostos e quaisquer outros tributos que incidam ou venham a incidir sobre seu pessoal, fretes, e ainda outras despesas não especificadas necessários à execução do objeto contratado;</w:t>
      </w:r>
    </w:p>
    <w:p>
      <w:pPr>
        <w:widowControl w:val="0"/>
        <w:ind w:right="240" w:rightChars="100"/>
        <w:jc w:val="both"/>
        <w:rPr>
          <w:rFonts w:ascii="Arial" w:hAnsi="Arial"/>
          <w:bCs/>
          <w:szCs w:val="24"/>
        </w:rPr>
      </w:pPr>
      <w:r>
        <w:rPr>
          <w:rFonts w:ascii="Arial" w:hAnsi="Arial"/>
          <w:b/>
          <w:szCs w:val="24"/>
        </w:rPr>
        <w:t>8.1.5.</w:t>
      </w:r>
      <w:r>
        <w:rPr>
          <w:rFonts w:ascii="Arial" w:hAnsi="Arial"/>
          <w:bCs/>
          <w:szCs w:val="24"/>
        </w:rPr>
        <w:t>Responsabilizar-se por todos e quaisquer danos e/ou prejuizos que vier a causar à contratante ou a terceiros, tendo como agente a contratada, na pessoa de prepostos ou estranhos;</w:t>
      </w:r>
    </w:p>
    <w:p>
      <w:pPr>
        <w:widowControl w:val="0"/>
        <w:ind w:right="240" w:rightChars="100"/>
        <w:jc w:val="both"/>
        <w:rPr>
          <w:rFonts w:ascii="Arial" w:hAnsi="Arial"/>
          <w:bCs/>
          <w:szCs w:val="24"/>
        </w:rPr>
      </w:pPr>
      <w:r>
        <w:rPr>
          <w:rFonts w:ascii="Arial" w:hAnsi="Arial"/>
          <w:b/>
          <w:szCs w:val="24"/>
        </w:rPr>
        <w:t>8.1.6.</w:t>
      </w:r>
      <w:r>
        <w:rPr>
          <w:rFonts w:ascii="Arial" w:hAnsi="Arial"/>
          <w:bCs/>
          <w:szCs w:val="24"/>
        </w:rPr>
        <w:t xml:space="preserve"> Observar rigorosamente todas as especificações técnicas descritas neste termo de referencia;</w:t>
      </w:r>
    </w:p>
    <w:p>
      <w:pPr>
        <w:widowControl w:val="0"/>
        <w:ind w:right="240" w:rightChars="100"/>
        <w:jc w:val="both"/>
        <w:rPr>
          <w:rFonts w:ascii="Arial" w:hAnsi="Arial"/>
          <w:bCs/>
          <w:szCs w:val="24"/>
        </w:rPr>
      </w:pPr>
      <w:r>
        <w:rPr>
          <w:rFonts w:ascii="Arial" w:hAnsi="Arial"/>
          <w:b/>
          <w:szCs w:val="24"/>
        </w:rPr>
        <w:t>8.1.7.</w:t>
      </w:r>
      <w:r>
        <w:rPr>
          <w:rFonts w:ascii="Arial" w:hAnsi="Arial"/>
          <w:bCs/>
          <w:szCs w:val="24"/>
        </w:rPr>
        <w:t xml:space="preserve"> Responsabilizar-se por todas as providencias, cautelas e obrigações estabelecidas na legislação especifica de acidente de trabalho, quando, em ocorrências da espécie, forem vitimas seus empregados ou prepostos no desempenho dos serviços ou em conexão com estes, ainda que verificado o acidente em dependências da contratante;</w:t>
      </w:r>
    </w:p>
    <w:p>
      <w:pPr>
        <w:widowControl w:val="0"/>
        <w:ind w:right="240" w:rightChars="100"/>
        <w:jc w:val="both"/>
        <w:rPr>
          <w:rFonts w:ascii="Arial" w:hAnsi="Arial"/>
          <w:bCs/>
          <w:szCs w:val="24"/>
        </w:rPr>
      </w:pPr>
      <w:r>
        <w:rPr>
          <w:rFonts w:ascii="Arial" w:hAnsi="Arial"/>
          <w:b/>
          <w:szCs w:val="24"/>
        </w:rPr>
        <w:t>8.1.8.</w:t>
      </w:r>
      <w:r>
        <w:rPr>
          <w:rFonts w:ascii="Arial" w:hAnsi="Arial"/>
          <w:bCs/>
          <w:szCs w:val="24"/>
        </w:rPr>
        <w:t xml:space="preserve"> Responsabilizar-se por quaisquer multas ou despesas de qualquer natureza impostas à contratante em decorrência de descumprimento de qualquer cláusula ou condição deste instrumento, dispositivo legal ou regulamento, por sua parte;</w:t>
      </w:r>
    </w:p>
    <w:p>
      <w:pPr>
        <w:widowControl w:val="0"/>
        <w:ind w:right="240" w:rightChars="100"/>
        <w:jc w:val="both"/>
        <w:rPr>
          <w:rFonts w:ascii="Arial" w:hAnsi="Arial"/>
          <w:bCs/>
          <w:szCs w:val="24"/>
        </w:rPr>
      </w:pPr>
      <w:r>
        <w:rPr>
          <w:rFonts w:ascii="Arial" w:hAnsi="Arial"/>
          <w:b/>
          <w:szCs w:val="24"/>
        </w:rPr>
        <w:t xml:space="preserve">8.1.9. </w:t>
      </w:r>
      <w:r>
        <w:rPr>
          <w:rFonts w:ascii="Arial" w:hAnsi="Arial"/>
          <w:bCs/>
          <w:szCs w:val="24"/>
        </w:rPr>
        <w:t>Manter, durante toda a execução do contrato, em compatibilidade com as obrigações assumidas, todas as condições de habilitação e qualificação exigidas na licitação;</w:t>
      </w:r>
    </w:p>
    <w:p>
      <w:pPr>
        <w:widowControl w:val="0"/>
        <w:ind w:right="240" w:rightChars="100"/>
        <w:jc w:val="both"/>
        <w:rPr>
          <w:rFonts w:ascii="Arial" w:hAnsi="Arial"/>
          <w:bCs/>
          <w:szCs w:val="24"/>
        </w:rPr>
      </w:pPr>
      <w:r>
        <w:rPr>
          <w:rFonts w:ascii="Arial" w:hAnsi="Arial"/>
          <w:b/>
          <w:szCs w:val="24"/>
        </w:rPr>
        <w:t>8.1.10.</w:t>
      </w:r>
      <w:r>
        <w:rPr>
          <w:rFonts w:ascii="Arial" w:hAnsi="Arial"/>
          <w:bCs/>
          <w:szCs w:val="24"/>
        </w:rPr>
        <w:t xml:space="preserve"> Indicar preposto para representá-la durante a execução da Ata/Contrato;</w:t>
      </w:r>
    </w:p>
    <w:p>
      <w:pPr>
        <w:widowControl w:val="0"/>
        <w:ind w:right="240" w:rightChars="100"/>
        <w:jc w:val="both"/>
        <w:rPr>
          <w:rFonts w:ascii="Arial" w:hAnsi="Arial"/>
          <w:bCs/>
          <w:szCs w:val="24"/>
        </w:rPr>
      </w:pPr>
      <w:r>
        <w:rPr>
          <w:rFonts w:ascii="Arial" w:hAnsi="Arial"/>
          <w:b/>
          <w:szCs w:val="24"/>
          <w:lang w:val="pt-BR"/>
        </w:rPr>
        <w:t>8.1.11.</w:t>
      </w:r>
      <w:r>
        <w:rPr>
          <w:rFonts w:ascii="Arial" w:hAnsi="Arial"/>
          <w:bCs/>
          <w:szCs w:val="24"/>
          <w:lang w:val="pt-BR"/>
        </w:rPr>
        <w:t xml:space="preserve"> </w:t>
      </w:r>
      <w:r>
        <w:rPr>
          <w:rFonts w:ascii="Arial" w:hAnsi="Arial"/>
          <w:bCs/>
          <w:szCs w:val="24"/>
        </w:rPr>
        <w:t>Corrigir, reparar, remover e substituir, as suas expensas, no total ou em parte, o objeto do contrato em que se verificarem vícios, defeitos ou incorreções, no prazo máximo de 24 (vinte e quatro) horas e em conformidade com o previsto no art. 69 da lei 8.666/93;</w:t>
      </w:r>
    </w:p>
    <w:p>
      <w:pPr>
        <w:widowControl w:val="0"/>
        <w:ind w:right="240" w:rightChars="100"/>
        <w:jc w:val="both"/>
        <w:rPr>
          <w:rFonts w:ascii="Arial" w:hAnsi="Arial"/>
          <w:bCs/>
          <w:szCs w:val="24"/>
        </w:rPr>
      </w:pPr>
      <w:r>
        <w:rPr>
          <w:rFonts w:ascii="Arial" w:hAnsi="Arial"/>
          <w:b/>
          <w:szCs w:val="24"/>
          <w:lang w:val="pt-BR"/>
        </w:rPr>
        <w:t>8.1.12.</w:t>
      </w:r>
      <w:r>
        <w:rPr>
          <w:rFonts w:ascii="Arial" w:hAnsi="Arial"/>
          <w:bCs/>
          <w:szCs w:val="24"/>
          <w:lang w:val="pt-BR"/>
        </w:rPr>
        <w:t xml:space="preserve"> </w:t>
      </w:r>
      <w:r>
        <w:rPr>
          <w:rFonts w:ascii="Arial" w:hAnsi="Arial"/>
          <w:bCs/>
          <w:szCs w:val="24"/>
        </w:rPr>
        <w:t>Executar diretamente o fornecimento, inclusive a garantia, sem transferência de responsabilidade ou subcontratação, pois a subcontratação não está autorizada pelo Município neste caso;</w:t>
      </w:r>
    </w:p>
    <w:p>
      <w:pPr>
        <w:widowControl w:val="0"/>
        <w:ind w:right="240" w:rightChars="100"/>
        <w:jc w:val="both"/>
        <w:rPr>
          <w:rFonts w:ascii="Arial" w:hAnsi="Arial"/>
          <w:bCs/>
          <w:szCs w:val="24"/>
          <w:lang w:val="pt-BR"/>
        </w:rPr>
      </w:pPr>
      <w:r>
        <w:rPr>
          <w:rFonts w:ascii="Arial" w:hAnsi="Arial"/>
          <w:b/>
          <w:szCs w:val="24"/>
          <w:lang w:val="pt-BR"/>
        </w:rPr>
        <w:t>8.1.13.</w:t>
      </w:r>
      <w:r>
        <w:rPr>
          <w:rFonts w:ascii="Arial" w:hAnsi="Arial"/>
          <w:bCs/>
          <w:szCs w:val="24"/>
          <w:lang w:val="pt-BR"/>
        </w:rPr>
        <w:t xml:space="preserve"> </w:t>
      </w:r>
      <w:r>
        <w:rPr>
          <w:rFonts w:ascii="Arial" w:hAnsi="Arial"/>
          <w:bCs/>
          <w:szCs w:val="24"/>
        </w:rPr>
        <w:t>O proponente será responsável por qualquer dano ou perda, resultante de transporte inadequado ou feita sem os devidos cuidados</w:t>
      </w:r>
      <w:r>
        <w:rPr>
          <w:rFonts w:ascii="Arial" w:hAnsi="Arial"/>
          <w:bCs/>
          <w:szCs w:val="24"/>
          <w:lang w:val="pt-BR"/>
        </w:rPr>
        <w:t>;</w:t>
      </w:r>
    </w:p>
    <w:p>
      <w:pPr>
        <w:widowControl w:val="0"/>
        <w:ind w:right="240" w:rightChars="100"/>
        <w:jc w:val="both"/>
        <w:rPr>
          <w:rFonts w:ascii="Arial" w:hAnsi="Arial"/>
          <w:bCs/>
          <w:szCs w:val="24"/>
        </w:rPr>
      </w:pPr>
      <w:r>
        <w:rPr>
          <w:rFonts w:ascii="Arial" w:hAnsi="Arial"/>
          <w:b/>
          <w:szCs w:val="24"/>
          <w:lang w:val="pt-BR"/>
        </w:rPr>
        <w:t>8.1.14</w:t>
      </w:r>
      <w:r>
        <w:rPr>
          <w:rFonts w:ascii="Arial" w:hAnsi="Arial"/>
          <w:bCs/>
          <w:szCs w:val="24"/>
          <w:lang w:val="pt-BR"/>
        </w:rPr>
        <w:t xml:space="preserve">. </w:t>
      </w:r>
      <w:r>
        <w:rPr>
          <w:rFonts w:ascii="Arial" w:hAnsi="Arial"/>
          <w:bCs/>
          <w:szCs w:val="24"/>
        </w:rPr>
        <w:t>Fornecer os EPI’S aos funcionários, sob risco de aplicação de penalidade.</w:t>
      </w:r>
    </w:p>
    <w:p>
      <w:pPr>
        <w:widowControl w:val="0"/>
        <w:ind w:right="240" w:rightChars="100"/>
        <w:jc w:val="both"/>
        <w:rPr>
          <w:rFonts w:ascii="Arial" w:hAnsi="Arial"/>
          <w:bCs/>
          <w:szCs w:val="24"/>
          <w:lang w:val="pt-BR"/>
        </w:rPr>
      </w:pPr>
      <w:r>
        <w:rPr>
          <w:rFonts w:ascii="Arial" w:hAnsi="Arial"/>
          <w:b/>
          <w:szCs w:val="24"/>
          <w:lang w:val="pt-BR"/>
        </w:rPr>
        <w:t>8.1.15.</w:t>
      </w:r>
      <w:r>
        <w:rPr>
          <w:rFonts w:ascii="Arial" w:hAnsi="Arial"/>
          <w:bCs/>
          <w:szCs w:val="24"/>
          <w:lang w:val="pt-BR"/>
        </w:rPr>
        <w:t xml:space="preserve"> </w:t>
      </w:r>
      <w:r>
        <w:rPr>
          <w:rFonts w:ascii="Arial" w:hAnsi="Arial"/>
          <w:bCs/>
          <w:szCs w:val="24"/>
        </w:rPr>
        <w:t>Eventuais despesas de alimentação da equipe contratada deverão ser por conta da contratada</w:t>
      </w:r>
      <w:r>
        <w:rPr>
          <w:rFonts w:ascii="Arial" w:hAnsi="Arial"/>
          <w:bCs/>
          <w:szCs w:val="24"/>
          <w:lang w:val="pt-BR"/>
        </w:rPr>
        <w:t>;</w:t>
      </w:r>
    </w:p>
    <w:p>
      <w:pPr>
        <w:widowControl w:val="0"/>
        <w:ind w:right="240" w:rightChars="100"/>
        <w:jc w:val="both"/>
        <w:rPr>
          <w:rFonts w:ascii="Arial" w:hAnsi="Arial"/>
          <w:bCs/>
          <w:szCs w:val="24"/>
          <w:lang w:val="pt-BR"/>
        </w:rPr>
      </w:pPr>
      <w:r>
        <w:rPr>
          <w:rFonts w:ascii="Arial" w:hAnsi="Arial"/>
          <w:b/>
          <w:szCs w:val="24"/>
          <w:lang w:val="pt-BR"/>
        </w:rPr>
        <w:t>8.1.16.</w:t>
      </w:r>
      <w:r>
        <w:rPr>
          <w:rFonts w:ascii="Arial" w:hAnsi="Arial"/>
          <w:bCs/>
          <w:szCs w:val="24"/>
          <w:lang w:val="pt-BR"/>
        </w:rPr>
        <w:t xml:space="preserve"> </w:t>
      </w:r>
      <w:r>
        <w:rPr>
          <w:rFonts w:ascii="Arial" w:hAnsi="Arial"/>
          <w:bCs/>
          <w:szCs w:val="24"/>
        </w:rPr>
        <w:t>A distribuição diária dos funcionários e ferramentas nos postos de trabalho deverá ser por conta da contratada</w:t>
      </w:r>
      <w:r>
        <w:rPr>
          <w:rFonts w:ascii="Arial" w:hAnsi="Arial"/>
          <w:bCs/>
          <w:szCs w:val="24"/>
          <w:lang w:val="pt-BR"/>
        </w:rPr>
        <w:t>;</w:t>
      </w:r>
    </w:p>
    <w:p>
      <w:pPr>
        <w:widowControl w:val="0"/>
        <w:ind w:right="240" w:rightChars="100"/>
        <w:jc w:val="both"/>
        <w:rPr>
          <w:rFonts w:ascii="Arial" w:hAnsi="Arial"/>
          <w:bCs/>
          <w:szCs w:val="24"/>
        </w:rPr>
      </w:pPr>
      <w:r>
        <w:rPr>
          <w:rFonts w:ascii="Arial" w:hAnsi="Arial"/>
          <w:b/>
          <w:szCs w:val="24"/>
          <w:lang w:val="pt-BR"/>
        </w:rPr>
        <w:t>8.1.17</w:t>
      </w:r>
      <w:r>
        <w:rPr>
          <w:rFonts w:ascii="Arial" w:hAnsi="Arial"/>
          <w:bCs/>
          <w:szCs w:val="24"/>
          <w:lang w:val="pt-BR"/>
        </w:rPr>
        <w:t xml:space="preserve">. </w:t>
      </w:r>
      <w:r>
        <w:rPr>
          <w:rFonts w:ascii="Arial" w:hAnsi="Arial"/>
          <w:bCs/>
          <w:szCs w:val="24"/>
        </w:rPr>
        <w:t>A CONTRATADA deverá disponibilizar aos funcionários protetores solar, em cumprimento a NR 21, que diz respeito ao trabalho realizado a céu aberto</w:t>
      </w:r>
      <w:r>
        <w:rPr>
          <w:rFonts w:ascii="Arial" w:hAnsi="Arial"/>
          <w:bCs/>
          <w:szCs w:val="24"/>
          <w:lang w:val="pt-BR"/>
        </w:rPr>
        <w:t>;</w:t>
      </w:r>
      <w:r>
        <w:rPr>
          <w:rFonts w:ascii="Arial" w:hAnsi="Arial"/>
          <w:bCs/>
          <w:szCs w:val="24"/>
        </w:rPr>
        <w:t xml:space="preserve"> </w:t>
      </w:r>
    </w:p>
    <w:p>
      <w:pPr>
        <w:widowControl w:val="0"/>
        <w:ind w:right="240" w:rightChars="100"/>
        <w:jc w:val="both"/>
        <w:rPr>
          <w:rFonts w:ascii="Arial" w:hAnsi="Arial"/>
          <w:bCs/>
          <w:szCs w:val="24"/>
          <w:lang w:val="pt-BR"/>
        </w:rPr>
      </w:pPr>
      <w:r>
        <w:rPr>
          <w:rFonts w:ascii="Arial" w:hAnsi="Arial"/>
          <w:b/>
          <w:szCs w:val="24"/>
          <w:lang w:val="pt-BR"/>
        </w:rPr>
        <w:t>8.1.18.</w:t>
      </w:r>
      <w:r>
        <w:rPr>
          <w:rFonts w:ascii="Arial" w:hAnsi="Arial"/>
          <w:bCs/>
          <w:szCs w:val="24"/>
          <w:lang w:val="pt-BR"/>
        </w:rPr>
        <w:t xml:space="preserve"> </w:t>
      </w:r>
      <w:r>
        <w:rPr>
          <w:rFonts w:ascii="Arial" w:hAnsi="Arial"/>
          <w:bCs/>
          <w:szCs w:val="24"/>
        </w:rPr>
        <w:t>A proponente deverá oferecer garantia de no mínimo 03 (três) meses dos serviços prestados/executados</w:t>
      </w:r>
      <w:r>
        <w:rPr>
          <w:rFonts w:ascii="Arial" w:hAnsi="Arial"/>
          <w:bCs/>
          <w:szCs w:val="24"/>
          <w:lang w:val="pt-BR"/>
        </w:rPr>
        <w:t>;</w:t>
      </w:r>
    </w:p>
    <w:p>
      <w:pPr>
        <w:widowControl w:val="0"/>
        <w:ind w:right="240" w:rightChars="100"/>
        <w:jc w:val="both"/>
        <w:rPr>
          <w:rFonts w:ascii="Arial" w:hAnsi="Arial"/>
          <w:bCs/>
          <w:szCs w:val="24"/>
          <w:lang w:val="pt-BR"/>
        </w:rPr>
      </w:pPr>
      <w:r>
        <w:rPr>
          <w:rFonts w:ascii="Arial" w:hAnsi="Arial"/>
          <w:b/>
          <w:szCs w:val="24"/>
          <w:lang w:val="pt-BR"/>
        </w:rPr>
        <w:t>8.1.19</w:t>
      </w:r>
      <w:r>
        <w:rPr>
          <w:rFonts w:ascii="Arial" w:hAnsi="Arial"/>
          <w:bCs/>
          <w:szCs w:val="24"/>
          <w:lang w:val="pt-BR"/>
        </w:rPr>
        <w:t xml:space="preserve">. </w:t>
      </w:r>
      <w:r>
        <w:rPr>
          <w:rFonts w:ascii="Arial" w:hAnsi="Arial"/>
          <w:bCs/>
          <w:szCs w:val="24"/>
        </w:rPr>
        <w:t>A empresa vencedora deverá apresentar relatório fotográfico quinzenalmente das intervenções e consertos realizados</w:t>
      </w:r>
      <w:r>
        <w:rPr>
          <w:rFonts w:ascii="Arial" w:hAnsi="Arial"/>
          <w:bCs/>
          <w:szCs w:val="24"/>
          <w:lang w:val="pt-BR"/>
        </w:rPr>
        <w:t>;</w:t>
      </w:r>
    </w:p>
    <w:p>
      <w:pPr>
        <w:widowControl w:val="0"/>
        <w:ind w:right="240" w:rightChars="100"/>
        <w:jc w:val="both"/>
        <w:rPr>
          <w:rFonts w:ascii="Arial" w:hAnsi="Arial"/>
          <w:bCs/>
          <w:szCs w:val="24"/>
          <w:lang w:val="pt-BR"/>
        </w:rPr>
      </w:pPr>
      <w:r>
        <w:rPr>
          <w:rFonts w:ascii="Arial" w:hAnsi="Arial"/>
          <w:b/>
          <w:szCs w:val="24"/>
          <w:lang w:val="pt-BR"/>
        </w:rPr>
        <w:t>8.1.20.</w:t>
      </w:r>
      <w:r>
        <w:rPr>
          <w:rFonts w:ascii="Arial" w:hAnsi="Arial"/>
          <w:bCs/>
          <w:szCs w:val="24"/>
          <w:lang w:val="pt-BR"/>
        </w:rPr>
        <w:t xml:space="preserve"> </w:t>
      </w:r>
      <w:r>
        <w:rPr>
          <w:rFonts w:ascii="Arial" w:hAnsi="Arial"/>
          <w:bCs/>
          <w:szCs w:val="24"/>
        </w:rPr>
        <w:t>O transporte de materiais até o local que será realizado o serviço é de responsabilidade da CONTRATADA</w:t>
      </w:r>
      <w:r>
        <w:rPr>
          <w:rFonts w:ascii="Arial" w:hAnsi="Arial"/>
          <w:bCs/>
          <w:szCs w:val="24"/>
          <w:lang w:val="pt-BR"/>
        </w:rPr>
        <w:t>;</w:t>
      </w:r>
    </w:p>
    <w:p>
      <w:pPr>
        <w:widowControl w:val="0"/>
        <w:ind w:right="240" w:rightChars="100"/>
        <w:jc w:val="both"/>
        <w:rPr>
          <w:rFonts w:ascii="Arial" w:hAnsi="Arial"/>
          <w:bCs/>
          <w:szCs w:val="24"/>
          <w:lang w:val="pt-BR"/>
        </w:rPr>
      </w:pPr>
      <w:r>
        <w:rPr>
          <w:rFonts w:ascii="Arial" w:hAnsi="Arial"/>
          <w:b/>
          <w:szCs w:val="24"/>
          <w:lang w:val="pt-BR"/>
        </w:rPr>
        <w:t>8.1.21.</w:t>
      </w:r>
      <w:r>
        <w:rPr>
          <w:rFonts w:ascii="Arial" w:hAnsi="Arial"/>
          <w:bCs/>
          <w:szCs w:val="24"/>
          <w:lang w:val="pt-BR"/>
        </w:rPr>
        <w:t xml:space="preserve"> </w:t>
      </w:r>
      <w:r>
        <w:rPr>
          <w:rFonts w:ascii="Arial" w:hAnsi="Arial"/>
          <w:bCs/>
          <w:szCs w:val="24"/>
        </w:rPr>
        <w:t xml:space="preserve">O </w:t>
      </w:r>
      <w:r>
        <w:rPr>
          <w:rFonts w:ascii="Arial" w:hAnsi="Arial"/>
          <w:bCs/>
          <w:szCs w:val="24"/>
          <w:lang w:val="pt-BR"/>
        </w:rPr>
        <w:t>descarte</w:t>
      </w:r>
      <w:r>
        <w:rPr>
          <w:rFonts w:ascii="Arial" w:hAnsi="Arial"/>
          <w:bCs/>
          <w:szCs w:val="24"/>
        </w:rPr>
        <w:t xml:space="preserve"> será indicado pelo Município, podendo este estar localizado em regiões diversas do território do município, sendo as despesas com transporte de material de responsabilidade da CONTRATADA</w:t>
      </w:r>
      <w:r>
        <w:rPr>
          <w:rFonts w:ascii="Arial" w:hAnsi="Arial"/>
          <w:bCs/>
          <w:szCs w:val="24"/>
          <w:lang w:val="pt-BR"/>
        </w:rPr>
        <w:t>;</w:t>
      </w:r>
    </w:p>
    <w:p>
      <w:pPr>
        <w:widowControl w:val="0"/>
        <w:ind w:right="240" w:rightChars="100"/>
        <w:jc w:val="both"/>
        <w:rPr>
          <w:rFonts w:ascii="Arial" w:hAnsi="Arial"/>
          <w:bCs/>
          <w:szCs w:val="24"/>
          <w:lang w:val="pt-BR"/>
        </w:rPr>
      </w:pPr>
      <w:r>
        <w:rPr>
          <w:rFonts w:ascii="Arial" w:hAnsi="Arial"/>
          <w:b/>
          <w:szCs w:val="24"/>
          <w:lang w:val="pt-BR"/>
        </w:rPr>
        <w:t>8.1.22.</w:t>
      </w:r>
      <w:r>
        <w:rPr>
          <w:rFonts w:ascii="Arial" w:hAnsi="Arial"/>
          <w:bCs/>
          <w:szCs w:val="24"/>
          <w:lang w:val="pt-BR"/>
        </w:rPr>
        <w:t xml:space="preserve"> </w:t>
      </w:r>
      <w:r>
        <w:rPr>
          <w:rFonts w:ascii="Arial" w:hAnsi="Arial"/>
          <w:bCs/>
          <w:szCs w:val="24"/>
        </w:rPr>
        <w:t>Os serviços prestados/executados de forma irregular deverão ser refeitos a expensas da empresa vencedora</w:t>
      </w:r>
      <w:r>
        <w:rPr>
          <w:rFonts w:ascii="Arial" w:hAnsi="Arial"/>
          <w:bCs/>
          <w:szCs w:val="24"/>
          <w:lang w:val="pt-BR"/>
        </w:rPr>
        <w:t>;</w:t>
      </w:r>
    </w:p>
    <w:p>
      <w:pPr>
        <w:widowControl w:val="0"/>
        <w:ind w:right="240" w:rightChars="100"/>
        <w:jc w:val="both"/>
        <w:rPr>
          <w:rFonts w:ascii="Arial" w:hAnsi="Arial"/>
          <w:bCs/>
          <w:szCs w:val="24"/>
          <w:lang w:val="pt-BR"/>
        </w:rPr>
      </w:pPr>
      <w:r>
        <w:rPr>
          <w:rFonts w:ascii="Arial" w:hAnsi="Arial"/>
          <w:b/>
          <w:szCs w:val="24"/>
          <w:lang w:val="pt-BR"/>
        </w:rPr>
        <w:t xml:space="preserve">8.1.23. </w:t>
      </w:r>
      <w:r>
        <w:rPr>
          <w:rFonts w:ascii="Arial" w:hAnsi="Arial"/>
          <w:bCs/>
          <w:szCs w:val="24"/>
        </w:rPr>
        <w:t>Os serviços deverão estar comprovadamente dentro das especificações das normas técnicas vigentes PERTINENTES A CADA ITEM, em conformidade com o INMETRO (Instituto Nacional de Metrologia), normas da ABNT (Associação Brasileira de Normas Técnicas), e Código de Defesa do Consumidor (Lei nº 8078/90)</w:t>
      </w:r>
      <w:r>
        <w:rPr>
          <w:rFonts w:ascii="Arial" w:hAnsi="Arial"/>
          <w:bCs/>
          <w:szCs w:val="24"/>
          <w:lang w:val="pt-BR"/>
        </w:rPr>
        <w:t>;</w:t>
      </w:r>
    </w:p>
    <w:p>
      <w:pPr>
        <w:widowControl w:val="0"/>
        <w:ind w:right="240" w:rightChars="100"/>
        <w:jc w:val="both"/>
        <w:rPr>
          <w:rFonts w:ascii="Arial" w:hAnsi="Arial"/>
          <w:bCs/>
          <w:szCs w:val="24"/>
          <w:lang w:val="pt-BR"/>
        </w:rPr>
      </w:pPr>
      <w:r>
        <w:rPr>
          <w:rFonts w:ascii="Arial" w:hAnsi="Arial"/>
          <w:b/>
          <w:szCs w:val="24"/>
          <w:lang w:val="pt-BR"/>
        </w:rPr>
        <w:t>8.1.24.</w:t>
      </w:r>
      <w:r>
        <w:rPr>
          <w:rFonts w:ascii="Arial" w:hAnsi="Arial"/>
          <w:bCs/>
          <w:szCs w:val="24"/>
          <w:lang w:val="pt-BR"/>
        </w:rPr>
        <w:t xml:space="preserve"> </w:t>
      </w:r>
      <w:r>
        <w:rPr>
          <w:rFonts w:ascii="Arial" w:hAnsi="Arial"/>
          <w:bCs/>
          <w:szCs w:val="24"/>
        </w:rPr>
        <w:t>Os itens considerados inadequados ou não atenderem às exigibilidades, deverão ser recompostos e o pagamento de toda a parcela ficará suspenso até sua regularização de forma integral</w:t>
      </w:r>
      <w:r>
        <w:rPr>
          <w:rFonts w:ascii="Arial" w:hAnsi="Arial"/>
          <w:bCs/>
          <w:szCs w:val="24"/>
          <w:lang w:val="pt-BR"/>
        </w:rPr>
        <w:t xml:space="preserve">. </w:t>
      </w:r>
      <w:r>
        <w:rPr>
          <w:rFonts w:ascii="Arial" w:hAnsi="Arial"/>
          <w:bCs/>
          <w:szCs w:val="24"/>
        </w:rPr>
        <w:t>Entende-se por serviços inadequado</w:t>
      </w:r>
      <w:r>
        <w:rPr>
          <w:rFonts w:ascii="Arial" w:hAnsi="Arial"/>
          <w:bCs/>
          <w:szCs w:val="24"/>
          <w:lang w:val="pt-BR"/>
        </w:rPr>
        <w:t>s</w:t>
      </w:r>
      <w:r>
        <w:rPr>
          <w:rFonts w:ascii="Arial" w:hAnsi="Arial"/>
          <w:bCs/>
          <w:szCs w:val="24"/>
        </w:rPr>
        <w:t xml:space="preserve"> aquele</w:t>
      </w:r>
      <w:r>
        <w:rPr>
          <w:rFonts w:ascii="Arial" w:hAnsi="Arial"/>
          <w:bCs/>
          <w:szCs w:val="24"/>
          <w:lang w:val="pt-BR"/>
        </w:rPr>
        <w:t>s</w:t>
      </w:r>
      <w:r>
        <w:rPr>
          <w:rFonts w:ascii="Arial" w:hAnsi="Arial"/>
          <w:bCs/>
          <w:szCs w:val="24"/>
        </w:rPr>
        <w:t xml:space="preserve"> que apresentar</w:t>
      </w:r>
      <w:r>
        <w:rPr>
          <w:rFonts w:ascii="Arial" w:hAnsi="Arial"/>
          <w:bCs/>
          <w:szCs w:val="24"/>
          <w:lang w:val="pt-BR"/>
        </w:rPr>
        <w:t>em</w:t>
      </w:r>
      <w:r>
        <w:rPr>
          <w:rFonts w:ascii="Arial" w:hAnsi="Arial"/>
          <w:bCs/>
          <w:szCs w:val="24"/>
        </w:rPr>
        <w:t>: inferior qualidade, fora das especificações exigidas no Termo de Referência</w:t>
      </w:r>
      <w:r>
        <w:rPr>
          <w:rFonts w:ascii="Arial" w:hAnsi="Arial"/>
          <w:bCs/>
          <w:szCs w:val="24"/>
          <w:lang w:val="pt-BR"/>
        </w:rPr>
        <w:t>;</w:t>
      </w:r>
    </w:p>
    <w:p>
      <w:pPr>
        <w:widowControl w:val="0"/>
        <w:ind w:right="240" w:rightChars="100"/>
        <w:jc w:val="both"/>
        <w:rPr>
          <w:rFonts w:ascii="Arial" w:hAnsi="Arial"/>
          <w:bCs/>
          <w:szCs w:val="24"/>
        </w:rPr>
      </w:pPr>
      <w:r>
        <w:rPr>
          <w:rFonts w:ascii="Arial" w:hAnsi="Arial"/>
          <w:b/>
          <w:szCs w:val="24"/>
        </w:rPr>
        <w:t>8.1.25.</w:t>
      </w:r>
      <w:r>
        <w:rPr>
          <w:rFonts w:ascii="Arial" w:hAnsi="Arial"/>
          <w:bCs/>
          <w:szCs w:val="24"/>
        </w:rPr>
        <w:t xml:space="preserve"> A contratada deverá possuir comprovadamente: Um caminhão pipa, dois braçais, um retro ou bob cat e um veículo para retirada dos resíduos.</w:t>
      </w:r>
    </w:p>
    <w:p/>
    <w:p>
      <w:pPr>
        <w:spacing w:after="120"/>
        <w:rPr>
          <w:rFonts w:ascii="Arial" w:hAnsi="Arial" w:eastAsia="Arial Unicode MS"/>
          <w:b/>
        </w:rPr>
      </w:pPr>
      <w:r>
        <w:rPr>
          <w:rFonts w:ascii="Arial" w:hAnsi="Arial" w:eastAsia="Arial Unicode MS"/>
          <w:b/>
        </w:rPr>
        <w:t>CLÁUSULA NONA-  DAS AMOSTRAS</w:t>
      </w:r>
    </w:p>
    <w:p>
      <w:pPr>
        <w:spacing w:after="120"/>
        <w:jc w:val="both"/>
        <w:rPr>
          <w:rFonts w:ascii="Arial" w:hAnsi="Arial"/>
        </w:rPr>
      </w:pPr>
      <w:r>
        <w:rPr>
          <w:rFonts w:ascii="Arial" w:hAnsi="Arial"/>
          <w:b/>
        </w:rPr>
        <w:t>9.1.</w:t>
      </w:r>
      <w:r>
        <w:rPr>
          <w:rFonts w:ascii="Arial" w:hAnsi="Arial"/>
        </w:rPr>
        <w:t xml:space="preserve"> As licitantes deverão encaminhar à PREFEITURA, se solicitadas e quando for o caso, no prazo máximo de 02 (dois) dias úteis, amostras dos produtos cotados que serão analisadas pelo setor requisitante, para fins de verificação e manifestação, sobre a qualidade do produto e quanto à adequação das características com as especificações descritas pelo Anexo I, deste Instrumento Convocatório.</w:t>
      </w:r>
    </w:p>
    <w:p>
      <w:pPr>
        <w:spacing w:after="120"/>
        <w:rPr>
          <w:rFonts w:ascii="Arial" w:hAnsi="Arial" w:cs="Arial"/>
        </w:rPr>
      </w:pPr>
      <w:r>
        <w:rPr>
          <w:rFonts w:ascii="Arial" w:hAnsi="Arial" w:eastAsia="Arial Unicode MS"/>
          <w:b/>
        </w:rPr>
        <w:t xml:space="preserve">CLÁUSULA DÉCIMA - </w:t>
      </w:r>
      <w:r>
        <w:rPr>
          <w:rFonts w:ascii="Arial" w:hAnsi="Arial"/>
          <w:b/>
        </w:rPr>
        <w:t>DO RECEBIMENTO E LOCAL DE ENTREGA</w:t>
      </w:r>
    </w:p>
    <w:p>
      <w:pPr>
        <w:spacing w:after="120"/>
        <w:jc w:val="both"/>
        <w:rPr>
          <w:rFonts w:ascii="Arial" w:hAnsi="Arial" w:cs="Arial"/>
          <w:bCs/>
        </w:rPr>
      </w:pPr>
      <w:r>
        <w:rPr>
          <w:rFonts w:ascii="Arial" w:hAnsi="Arial" w:cs="Arial"/>
          <w:b/>
          <w:bCs/>
        </w:rPr>
        <w:t>10.1. a)</w:t>
      </w:r>
      <w:r>
        <w:rPr>
          <w:rFonts w:ascii="Arial" w:hAnsi="Arial" w:cs="Arial"/>
        </w:rPr>
        <w:t xml:space="preserve"> </w:t>
      </w:r>
      <w:r>
        <w:rPr>
          <w:rFonts w:ascii="Arial" w:hAnsi="Arial" w:cs="Arial"/>
          <w:bCs/>
        </w:rPr>
        <w:t xml:space="preserve">Os serviços deverão ser executados por 08 (oito) caminhões coletores, compactadores com capacidade de carga de 15 m³ (quinze metros cúbicos), dentro dos padrões técnicos estabelecidos por lei, mantendo um de reserva para não ter prejuízos para os munícipes, sendo: </w:t>
      </w:r>
    </w:p>
    <w:p>
      <w:pPr>
        <w:spacing w:after="120"/>
        <w:jc w:val="both"/>
        <w:rPr>
          <w:rFonts w:ascii="Arial" w:hAnsi="Arial" w:cs="Arial"/>
          <w:bCs/>
        </w:rPr>
      </w:pPr>
      <w:r>
        <w:rPr>
          <w:rFonts w:ascii="Arial" w:hAnsi="Arial" w:cs="Arial"/>
          <w:b/>
        </w:rPr>
        <w:t>b)</w:t>
      </w:r>
      <w:r>
        <w:rPr>
          <w:rFonts w:ascii="Arial" w:hAnsi="Arial" w:cs="Arial"/>
          <w:bCs/>
        </w:rPr>
        <w:t xml:space="preserve"> 7 (sete) veículos caminhões com carroceria para coleta de lixo domiciliar, acoplado de caixa compactadora de lixo, de no mínimo de 15m³.</w:t>
      </w:r>
    </w:p>
    <w:p>
      <w:pPr>
        <w:spacing w:after="120"/>
        <w:jc w:val="both"/>
        <w:rPr>
          <w:rFonts w:ascii="Arial" w:hAnsi="Arial" w:cs="Arial"/>
          <w:bCs/>
        </w:rPr>
      </w:pPr>
      <w:r>
        <w:rPr>
          <w:rFonts w:ascii="Arial" w:hAnsi="Arial" w:cs="Arial"/>
          <w:b/>
        </w:rPr>
        <w:t>c)</w:t>
      </w:r>
      <w:r>
        <w:rPr>
          <w:rFonts w:ascii="Arial" w:hAnsi="Arial" w:cs="Arial"/>
          <w:bCs/>
        </w:rPr>
        <w:t xml:space="preserve"> 1 (um) veículo caminhão reserva com carroceria para coleta de lixo domiciliar, acoplado de caixa compactadora de lixo, de no mínimo de 15m³.</w:t>
      </w:r>
    </w:p>
    <w:p>
      <w:pPr>
        <w:spacing w:after="120"/>
        <w:jc w:val="both"/>
        <w:rPr>
          <w:rFonts w:ascii="Arial" w:hAnsi="Arial" w:cs="Arial"/>
          <w:bCs/>
        </w:rPr>
      </w:pPr>
      <w:r>
        <w:rPr>
          <w:rFonts w:ascii="Arial" w:hAnsi="Arial" w:cs="Arial"/>
          <w:b/>
        </w:rPr>
        <w:t>d)</w:t>
      </w:r>
      <w:r>
        <w:rPr>
          <w:rFonts w:ascii="Arial" w:hAnsi="Arial" w:cs="Arial"/>
          <w:bCs/>
        </w:rPr>
        <w:t xml:space="preserve"> A coleta será realizada em dias alternados, 03 vezes por semana, ficando a contratada obrigada a efetuar o serviço mesmo em dia de feriados civis ou religiosos exceto aos domingos. </w:t>
      </w:r>
    </w:p>
    <w:p>
      <w:pPr>
        <w:spacing w:after="120"/>
        <w:jc w:val="both"/>
        <w:rPr>
          <w:rFonts w:ascii="Arial" w:hAnsi="Arial" w:cs="Arial"/>
          <w:bCs/>
        </w:rPr>
      </w:pPr>
      <w:r>
        <w:rPr>
          <w:rFonts w:ascii="Arial" w:hAnsi="Arial" w:cs="Arial"/>
          <w:b/>
        </w:rPr>
        <w:t>e)</w:t>
      </w:r>
      <w:r>
        <w:rPr>
          <w:rFonts w:ascii="Arial" w:hAnsi="Arial" w:cs="Arial"/>
          <w:bCs/>
        </w:rPr>
        <w:t xml:space="preserve">  A coleta deverá ser realizada apenas nos horários abaixo: </w:t>
      </w:r>
    </w:p>
    <w:p>
      <w:pPr>
        <w:spacing w:after="120"/>
        <w:jc w:val="both"/>
        <w:rPr>
          <w:rFonts w:ascii="Arial" w:hAnsi="Arial" w:cs="Arial"/>
          <w:bCs/>
        </w:rPr>
      </w:pPr>
      <w:r>
        <w:rPr>
          <w:rFonts w:ascii="Arial" w:hAnsi="Arial" w:cs="Arial"/>
          <w:bCs/>
        </w:rPr>
        <w:t xml:space="preserve">- Matutino início 04:00 às 10:00 </w:t>
      </w:r>
    </w:p>
    <w:p>
      <w:pPr>
        <w:spacing w:after="120"/>
        <w:jc w:val="both"/>
        <w:rPr>
          <w:rFonts w:ascii="Arial" w:hAnsi="Arial" w:cs="Arial"/>
          <w:bCs/>
        </w:rPr>
      </w:pPr>
      <w:r>
        <w:rPr>
          <w:rFonts w:ascii="Arial" w:hAnsi="Arial" w:cs="Arial"/>
          <w:bCs/>
        </w:rPr>
        <w:t>- Vespertino início 16:00 às 23:00.</w:t>
      </w:r>
    </w:p>
    <w:p>
      <w:pPr>
        <w:spacing w:after="120"/>
        <w:jc w:val="both"/>
        <w:rPr>
          <w:rFonts w:ascii="Arial" w:hAnsi="Arial" w:cs="Arial"/>
          <w:bCs/>
        </w:rPr>
      </w:pPr>
      <w:r>
        <w:rPr>
          <w:rFonts w:ascii="Arial" w:hAnsi="Arial" w:cs="Arial"/>
          <w:bCs/>
        </w:rPr>
        <w:t>- Noturno início 00:00 às 6:00.</w:t>
      </w:r>
    </w:p>
    <w:p>
      <w:pPr>
        <w:spacing w:after="120"/>
        <w:jc w:val="both"/>
        <w:rPr>
          <w:rFonts w:ascii="Arial" w:hAnsi="Arial" w:cs="Arial"/>
          <w:bCs/>
        </w:rPr>
      </w:pPr>
      <w:r>
        <w:rPr>
          <w:rFonts w:ascii="Arial" w:hAnsi="Arial" w:cs="Arial"/>
          <w:b/>
        </w:rPr>
        <w:t xml:space="preserve">f) </w:t>
      </w:r>
      <w:r>
        <w:rPr>
          <w:rFonts w:ascii="Arial" w:hAnsi="Arial" w:cs="Arial"/>
          <w:bCs/>
        </w:rPr>
        <w:t>Os resíduos deverão acondicionados para coleta em recipientes adequados, preferencialmente em sacos plásticos, sendo que não serão coletados resíduos a granel (espalhados), somente aqueles que estiverem devidamente acondicionados.</w:t>
      </w:r>
    </w:p>
    <w:p>
      <w:pPr>
        <w:numPr>
          <w:ilvl w:val="0"/>
          <w:numId w:val="9"/>
        </w:numPr>
        <w:spacing w:after="120"/>
        <w:ind w:left="0" w:firstLine="0"/>
        <w:jc w:val="both"/>
        <w:rPr>
          <w:rFonts w:ascii="Arial" w:hAnsi="Arial" w:cs="Arial"/>
          <w:bCs/>
        </w:rPr>
      </w:pPr>
      <w:r>
        <w:rPr>
          <w:rFonts w:ascii="Arial" w:hAnsi="Arial" w:cs="Arial"/>
          <w:bCs/>
        </w:rPr>
        <w:t>Todas as carrocerias dos veículos caminhões deverão ser fechadas e conter vedação eficiente, para evitar despejo de resíduos sólidos e líquidos (chorume) nas vias públicas, dotadas de sistema de descarga automática, sem necessidade de mão-de-obra para seu esvaziamento, dotado de suporte para pá e vassoura que constituem equipamentos obrigatórios, e com sistema de retenção de chorume com dispositivo de descarga.</w:t>
      </w:r>
    </w:p>
    <w:p>
      <w:pPr>
        <w:numPr>
          <w:ilvl w:val="0"/>
          <w:numId w:val="9"/>
        </w:numPr>
        <w:spacing w:after="120"/>
        <w:ind w:left="0" w:firstLine="0"/>
        <w:jc w:val="both"/>
        <w:rPr>
          <w:rFonts w:ascii="Arial" w:hAnsi="Arial" w:cs="Arial"/>
          <w:bCs/>
        </w:rPr>
      </w:pPr>
      <w:r>
        <w:rPr>
          <w:rFonts w:ascii="Arial" w:hAnsi="Arial" w:cs="Arial"/>
          <w:bCs/>
        </w:rPr>
        <w:t xml:space="preserve">Cada equipe para execução da coleta de resíduos sólidos domiciliares será constituída de no mínimo: 01 (um) motorista com carteira de habilitação profissional; 04 (quatro) coletores; </w:t>
      </w:r>
    </w:p>
    <w:p>
      <w:pPr>
        <w:numPr>
          <w:ilvl w:val="0"/>
          <w:numId w:val="9"/>
        </w:numPr>
        <w:spacing w:after="120"/>
        <w:ind w:left="0" w:firstLine="0"/>
        <w:jc w:val="both"/>
        <w:rPr>
          <w:rFonts w:ascii="Arial" w:hAnsi="Arial" w:cs="Arial"/>
          <w:bCs/>
          <w:szCs w:val="24"/>
        </w:rPr>
      </w:pPr>
      <w:r>
        <w:rPr>
          <w:rFonts w:ascii="Arial" w:hAnsi="Arial" w:cs="Arial"/>
          <w:bCs/>
          <w:szCs w:val="24"/>
        </w:rPr>
        <w:t xml:space="preserve">A Contratada será responsável por disponibilizar quantas pessoas forem necessárias para execução do serviço conforme planejamento. </w:t>
      </w:r>
    </w:p>
    <w:p>
      <w:pPr>
        <w:numPr>
          <w:ilvl w:val="0"/>
          <w:numId w:val="9"/>
        </w:numPr>
        <w:spacing w:after="120"/>
        <w:ind w:left="0" w:firstLine="0"/>
        <w:jc w:val="both"/>
        <w:rPr>
          <w:rFonts w:ascii="Arial" w:hAnsi="Arial" w:cs="Arial"/>
          <w:bCs/>
          <w:szCs w:val="24"/>
        </w:rPr>
      </w:pPr>
      <w:r>
        <w:rPr>
          <w:rFonts w:ascii="Arial" w:hAnsi="Arial" w:cs="Arial"/>
          <w:bCs/>
          <w:szCs w:val="24"/>
        </w:rPr>
        <w:t>Serão disponibilizadas para a execução dos serviços de acordo com o levantamento da Secretaria, 11 (onze) equipes para a execução dos serviços, distribuídos estes 4 (quatro) equipes no período matutino, 4 (quatro) equipes no período vespertino e 3 (três) equipes no período noturno.</w:t>
      </w:r>
    </w:p>
    <w:tbl>
      <w:tblPr>
        <w:tblStyle w:val="12"/>
        <w:tblpPr w:leftFromText="180" w:rightFromText="180" w:vertAnchor="text" w:horzAnchor="page" w:tblpX="1031" w:tblpY="1213"/>
        <w:tblOverlap w:val="never"/>
        <w:tblW w:w="100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25"/>
        <w:gridCol w:w="1414"/>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trPr>
        <w:tc>
          <w:tcPr>
            <w:tcW w:w="6325" w:type="dxa"/>
            <w:tcBorders>
              <w:top w:val="single" w:color="000000" w:sz="4" w:space="0"/>
              <w:left w:val="single" w:color="000000" w:sz="4" w:space="0"/>
              <w:bottom w:val="single" w:color="000000" w:sz="4" w:space="0"/>
              <w:right w:val="single" w:color="000000" w:sz="4" w:space="0"/>
              <w:tl2br w:val="nil"/>
              <w:tr2bl w:val="nil"/>
            </w:tcBorders>
            <w:shd w:val="clear" w:color="auto" w:fill="FDE9D9"/>
            <w:vAlign w:val="center"/>
          </w:tcPr>
          <w:p>
            <w:pPr>
              <w:pStyle w:val="72"/>
              <w:numPr>
                <w:ilvl w:val="0"/>
                <w:numId w:val="0"/>
              </w:numPr>
              <w:spacing w:before="0" w:after="120"/>
              <w:ind w:right="240" w:rightChars="100"/>
              <w:rPr>
                <w:sz w:val="18"/>
                <w:szCs w:val="18"/>
              </w:rPr>
            </w:pPr>
            <w:r>
              <w:rPr>
                <w:sz w:val="18"/>
                <w:szCs w:val="18"/>
              </w:rPr>
              <w:t>BAIRROS</w:t>
            </w:r>
          </w:p>
        </w:tc>
        <w:tc>
          <w:tcPr>
            <w:tcW w:w="1414" w:type="dxa"/>
            <w:tcBorders>
              <w:top w:val="single" w:color="000000" w:sz="4" w:space="0"/>
              <w:left w:val="single" w:color="000000" w:sz="4" w:space="0"/>
              <w:bottom w:val="single" w:color="000000" w:sz="4" w:space="0"/>
              <w:right w:val="single" w:color="000000" w:sz="4" w:space="0"/>
              <w:tl2br w:val="nil"/>
              <w:tr2bl w:val="nil"/>
            </w:tcBorders>
            <w:shd w:val="clear" w:color="auto" w:fill="FDE9D9"/>
            <w:vAlign w:val="center"/>
          </w:tcPr>
          <w:p>
            <w:pPr>
              <w:pStyle w:val="72"/>
              <w:numPr>
                <w:ilvl w:val="0"/>
                <w:numId w:val="0"/>
              </w:numPr>
              <w:spacing w:before="0" w:after="120"/>
              <w:ind w:right="240" w:rightChars="100"/>
              <w:rPr>
                <w:sz w:val="18"/>
                <w:szCs w:val="18"/>
              </w:rPr>
            </w:pPr>
            <w:r>
              <w:rPr>
                <w:sz w:val="18"/>
                <w:szCs w:val="18"/>
              </w:rPr>
              <w:t>TURNO</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FDE9D9"/>
            <w:vAlign w:val="center"/>
          </w:tcPr>
          <w:p>
            <w:pPr>
              <w:pStyle w:val="72"/>
              <w:numPr>
                <w:ilvl w:val="0"/>
                <w:numId w:val="0"/>
              </w:numPr>
              <w:spacing w:before="0" w:after="120"/>
              <w:ind w:right="240" w:rightChars="100"/>
              <w:rPr>
                <w:sz w:val="18"/>
                <w:szCs w:val="18"/>
              </w:rPr>
            </w:pPr>
            <w:r>
              <w:rPr>
                <w:sz w:val="18"/>
                <w:szCs w:val="18"/>
              </w:rPr>
              <w:t>FREQUÊNCIA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3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Centro (primavera I)</w:t>
            </w:r>
          </w:p>
        </w:tc>
        <w:tc>
          <w:tcPr>
            <w:tcW w:w="141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NOTURNO</w:t>
            </w:r>
          </w:p>
        </w:tc>
        <w:tc>
          <w:tcPr>
            <w:tcW w:w="233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DIARIO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9" w:hRule="atLeast"/>
        </w:trPr>
        <w:tc>
          <w:tcPr>
            <w:tcW w:w="63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Primavera II; Parque das Águas; Bairro Vitória I, II; Villa Venetto; Villa Padova; Villa Romana; Jardim Bela Vista; Jardim Florença; Jardim Itália; Jardim Riva I, II; Jardim Veneza; Jardim Milano</w:t>
            </w:r>
          </w:p>
        </w:tc>
        <w:tc>
          <w:tcPr>
            <w:tcW w:w="141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NOTURNO</w:t>
            </w:r>
          </w:p>
        </w:tc>
        <w:tc>
          <w:tcPr>
            <w:tcW w:w="233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3 VEZES POR SEMANA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9" w:hRule="atLeast"/>
        </w:trPr>
        <w:tc>
          <w:tcPr>
            <w:tcW w:w="63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Chácara Nova Esperança; Primavera III; Reserva da Mata; Jardim das Américas I, II, III, IV, V, VI, VII, VIII; Jardim Esperança; Jardim Europa I, II; Bairro Volta Grande; Bairro Belvedere; Bairro Guterres; Bairro Imperial I, II, III; Bairro Buritis I, II, III, IV, V; Bairro Firenze; Bairro Padre Onesto Costa; Bairro Tuiuu</w:t>
            </w:r>
          </w:p>
        </w:tc>
        <w:tc>
          <w:tcPr>
            <w:tcW w:w="141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MATUTINO</w:t>
            </w:r>
          </w:p>
        </w:tc>
        <w:tc>
          <w:tcPr>
            <w:tcW w:w="233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3 VEZES POR SEMANA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2" w:hRule="atLeast"/>
        </w:trPr>
        <w:tc>
          <w:tcPr>
            <w:tcW w:w="63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Bairro Tancredo Neves; Coahbi Jaime Campos; Bairro São Cristovao I, II, III; Bairro Cristo Rei; Bairro Pioneiro; Bairro Planalto; Bairro Serrano; Bairro São Jose; Distrito industrial I, II; Jardim Luciana I, II; Bairro Maringá; Bairro Poncho Verde I, II, III,; Jardim Progresso I, II; Jardim Serra da Flores; Jardim Universitário I, II; Santa Felicidade; Três américas; Vertente das Aguas; Parque Castelândia I, II, III, IV, V, VI; Parque Eldorado; Parque Gnoato; Bairro Santa Clara I, II; Assentamento Novo Progresso; Vila Popular</w:t>
            </w:r>
          </w:p>
        </w:tc>
        <w:tc>
          <w:tcPr>
            <w:tcW w:w="141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VESPERTINO</w:t>
            </w:r>
          </w:p>
        </w:tc>
        <w:tc>
          <w:tcPr>
            <w:tcW w:w="233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sz w:val="18"/>
                <w:szCs w:val="18"/>
              </w:rPr>
            </w:pPr>
            <w:r>
              <w:rPr>
                <w:sz w:val="18"/>
                <w:szCs w:val="18"/>
              </w:rPr>
              <w:t>3 VEZES POR SEMANA</w:t>
            </w:r>
          </w:p>
        </w:tc>
      </w:tr>
    </w:tbl>
    <w:p>
      <w:pPr>
        <w:numPr>
          <w:ilvl w:val="0"/>
          <w:numId w:val="9"/>
        </w:numPr>
        <w:spacing w:after="120"/>
        <w:ind w:left="0" w:firstLine="0"/>
        <w:jc w:val="both"/>
        <w:rPr>
          <w:rFonts w:ascii="Arial" w:hAnsi="Arial" w:cs="Arial"/>
          <w:bCs/>
          <w:szCs w:val="24"/>
        </w:rPr>
      </w:pPr>
      <w:r>
        <w:rPr>
          <w:rFonts w:ascii="Arial" w:hAnsi="Arial" w:cs="Arial"/>
          <w:bCs/>
          <w:szCs w:val="24"/>
        </w:rPr>
        <w:t>Será terminantemente proibido aos empregados da Contratada realizar catação ou triagem de resíduos nos veículos, ingerirem alimentos e bebidas alcoólicas em serviço e/ou pedirem gratificação de qualquer espécie.</w:t>
      </w:r>
    </w:p>
    <w:p>
      <w:pPr>
        <w:numPr>
          <w:ilvl w:val="0"/>
          <w:numId w:val="9"/>
        </w:numPr>
        <w:spacing w:after="120"/>
        <w:ind w:left="0" w:firstLine="0"/>
        <w:jc w:val="both"/>
      </w:pPr>
      <w:r>
        <w:rPr>
          <w:rFonts w:ascii="Arial" w:hAnsi="Arial" w:cs="Arial"/>
          <w:bCs/>
          <w:szCs w:val="24"/>
        </w:rPr>
        <w:t xml:space="preserve"> A frequência e os turnos de coleta a serem atendidos para cada bairro é apresentado a seguir:</w:t>
      </w:r>
    </w:p>
    <w:tbl>
      <w:tblPr>
        <w:tblStyle w:val="12"/>
        <w:tblpPr w:leftFromText="180" w:rightFromText="180" w:vertAnchor="text" w:horzAnchor="page" w:tblpX="1177" w:tblpY="1322"/>
        <w:tblOverlap w:val="never"/>
        <w:tblW w:w="0" w:type="auto"/>
        <w:tblInd w:w="0" w:type="dxa"/>
        <w:tblLayout w:type="fixed"/>
        <w:tblCellMar>
          <w:top w:w="0" w:type="dxa"/>
          <w:left w:w="70" w:type="dxa"/>
          <w:bottom w:w="0" w:type="dxa"/>
          <w:right w:w="70" w:type="dxa"/>
        </w:tblCellMar>
      </w:tblPr>
      <w:tblGrid>
        <w:gridCol w:w="6339"/>
        <w:gridCol w:w="3309"/>
      </w:tblGrid>
      <w:tr>
        <w:tblPrEx>
          <w:tblCellMar>
            <w:top w:w="0" w:type="dxa"/>
            <w:left w:w="70" w:type="dxa"/>
            <w:bottom w:w="0" w:type="dxa"/>
            <w:right w:w="70" w:type="dxa"/>
          </w:tblCellMar>
        </w:tblPrEx>
        <w:trPr>
          <w:trHeight w:val="397" w:hRule="atLeast"/>
          <w:tblHeader/>
        </w:trPr>
        <w:tc>
          <w:tcPr>
            <w:tcW w:w="6339" w:type="dxa"/>
            <w:tcBorders>
              <w:top w:val="single" w:color="auto" w:sz="4" w:space="0"/>
              <w:left w:val="single" w:color="auto" w:sz="4" w:space="0"/>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18"/>
                <w:szCs w:val="18"/>
              </w:rPr>
            </w:pPr>
            <w:r>
              <w:rPr>
                <w:sz w:val="18"/>
                <w:szCs w:val="18"/>
              </w:rPr>
              <w:t>DISTÂNCIA</w:t>
            </w:r>
          </w:p>
        </w:tc>
        <w:tc>
          <w:tcPr>
            <w:tcW w:w="3309" w:type="dxa"/>
            <w:tcBorders>
              <w:top w:val="single" w:color="auto" w:sz="4" w:space="0"/>
              <w:left w:val="nil"/>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18"/>
                <w:szCs w:val="18"/>
              </w:rPr>
            </w:pPr>
            <w:r>
              <w:rPr>
                <w:sz w:val="18"/>
                <w:szCs w:val="18"/>
              </w:rPr>
              <w:t>KM PERCORRIDOS</w:t>
            </w:r>
          </w:p>
        </w:tc>
      </w:tr>
      <w:tr>
        <w:tblPrEx>
          <w:tblCellMar>
            <w:top w:w="0" w:type="dxa"/>
            <w:left w:w="70" w:type="dxa"/>
            <w:bottom w:w="0" w:type="dxa"/>
            <w:right w:w="70" w:type="dxa"/>
          </w:tblCellMar>
        </w:tblPrEx>
        <w:trPr>
          <w:trHeight w:val="397" w:hRule="atLeast"/>
        </w:trPr>
        <w:tc>
          <w:tcPr>
            <w:tcW w:w="6339" w:type="dxa"/>
            <w:tcBorders>
              <w:top w:val="single" w:color="auto" w:sz="4" w:space="0"/>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semanal produtiva</w:t>
            </w:r>
          </w:p>
        </w:tc>
        <w:tc>
          <w:tcPr>
            <w:tcW w:w="3309" w:type="dxa"/>
            <w:tcBorders>
              <w:top w:val="single" w:color="auto" w:sz="4" w:space="0"/>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3.451,62</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semanal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5.004,85</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diária 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575,27</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diária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834,14</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p>
        </w:tc>
      </w:tr>
      <w:tr>
        <w:tblPrEx>
          <w:tblCellMar>
            <w:top w:w="0" w:type="dxa"/>
            <w:left w:w="70" w:type="dxa"/>
            <w:bottom w:w="0" w:type="dxa"/>
            <w:right w:w="70" w:type="dxa"/>
          </w:tblCellMar>
        </w:tblPrEx>
        <w:trPr>
          <w:trHeight w:val="90"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média diária total</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1.409,41</w:t>
            </w:r>
          </w:p>
        </w:tc>
      </w:tr>
    </w:tbl>
    <w:p>
      <w:pPr>
        <w:numPr>
          <w:ilvl w:val="0"/>
          <w:numId w:val="9"/>
        </w:numPr>
        <w:spacing w:after="120"/>
        <w:ind w:left="0" w:firstLine="0"/>
        <w:jc w:val="both"/>
        <w:rPr>
          <w:rFonts w:ascii="Arial" w:hAnsi="Arial" w:cs="Arial"/>
          <w:bCs/>
          <w:szCs w:val="24"/>
        </w:rPr>
      </w:pPr>
      <w:r>
        <w:rPr>
          <w:rFonts w:ascii="Arial" w:hAnsi="Arial" w:cs="Arial"/>
          <w:bCs/>
          <w:szCs w:val="24"/>
        </w:rPr>
        <w:t>De acordo com os levantamentos técnicos realizados pela Prefeitura Municipal serão percorridos diariamente, em média, 1.409,41 km (distâncias produtivas e distâncias improdutivas), conforme apresentado a seguir:</w:t>
      </w:r>
    </w:p>
    <w:p>
      <w:pPr>
        <w:pStyle w:val="72"/>
        <w:numPr>
          <w:ilvl w:val="0"/>
          <w:numId w:val="0"/>
        </w:numPr>
        <w:spacing w:before="0" w:after="120"/>
        <w:ind w:right="240" w:rightChars="100"/>
        <w:rPr>
          <w:sz w:val="24"/>
        </w:rPr>
      </w:pPr>
    </w:p>
    <w:p>
      <w:pPr>
        <w:pStyle w:val="72"/>
        <w:numPr>
          <w:ilvl w:val="0"/>
          <w:numId w:val="0"/>
        </w:numPr>
        <w:spacing w:before="0" w:after="120"/>
        <w:ind w:right="240" w:rightChars="100"/>
        <w:rPr>
          <w:sz w:val="24"/>
        </w:rPr>
      </w:pPr>
      <w:r>
        <w:rPr>
          <w:sz w:val="24"/>
        </w:rPr>
        <w:t>10.2. DO SERVIÇO DE COLETA SELETIVA DOS MATERIAIS RECICLÁVEIS</w:t>
      </w:r>
    </w:p>
    <w:p>
      <w:pPr>
        <w:pStyle w:val="72"/>
        <w:numPr>
          <w:ilvl w:val="0"/>
          <w:numId w:val="0"/>
        </w:numPr>
        <w:spacing w:before="0" w:after="120"/>
        <w:ind w:right="240" w:rightChars="100"/>
        <w:rPr>
          <w:sz w:val="24"/>
        </w:rPr>
      </w:pPr>
      <w:r>
        <w:rPr>
          <w:sz w:val="24"/>
        </w:rPr>
        <w:t>10.2.1 Da definição do serviço:</w:t>
      </w:r>
    </w:p>
    <w:p>
      <w:pPr>
        <w:pStyle w:val="72"/>
        <w:numPr>
          <w:ilvl w:val="0"/>
          <w:numId w:val="0"/>
        </w:numPr>
        <w:spacing w:before="0" w:after="120"/>
        <w:ind w:right="240" w:rightChars="100"/>
        <w:rPr>
          <w:b w:val="0"/>
          <w:bCs/>
          <w:sz w:val="24"/>
        </w:rPr>
      </w:pPr>
      <w:r>
        <w:rPr>
          <w:sz w:val="24"/>
        </w:rPr>
        <w:t>a)</w:t>
      </w:r>
      <w:r>
        <w:rPr>
          <w:b w:val="0"/>
          <w:bCs/>
          <w:sz w:val="24"/>
        </w:rPr>
        <w:t xml:space="preserve"> Define-se como coleta seletiva a coleta e transporte regular dos materiais recicláveis disponibilizados pelos domicílios, estabelecimentos comerciais, estabelecimentos industriais, em vias ou logradouros públicos ou nos próprios locais de funcionamento dos estabelecimentos no âmbito do Município de Primavera do Leste/MT;</w:t>
      </w:r>
    </w:p>
    <w:p>
      <w:pPr>
        <w:pStyle w:val="72"/>
        <w:numPr>
          <w:ilvl w:val="0"/>
          <w:numId w:val="0"/>
        </w:numPr>
        <w:spacing w:before="0" w:after="120"/>
        <w:ind w:right="240" w:rightChars="100"/>
        <w:rPr>
          <w:b w:val="0"/>
          <w:bCs/>
          <w:sz w:val="24"/>
        </w:rPr>
      </w:pPr>
      <w:r>
        <w:rPr>
          <w:sz w:val="24"/>
        </w:rPr>
        <w:t>b)</w:t>
      </w:r>
      <w:r>
        <w:rPr>
          <w:b w:val="0"/>
          <w:bCs/>
          <w:sz w:val="24"/>
        </w:rPr>
        <w:t xml:space="preserve"> Entende-se como materiais recicláveis todo material que tenha condições de reutilização, reuso ou serem reciclados tais como – papel, papelão, plásticos, vidros, metais ferrosos e não ferrosos, entre outros.</w:t>
      </w:r>
    </w:p>
    <w:p>
      <w:pPr>
        <w:pStyle w:val="72"/>
        <w:numPr>
          <w:ilvl w:val="0"/>
          <w:numId w:val="0"/>
        </w:numPr>
        <w:spacing w:before="0" w:after="120"/>
        <w:ind w:right="240" w:rightChars="100"/>
        <w:rPr>
          <w:sz w:val="24"/>
        </w:rPr>
      </w:pPr>
      <w:r>
        <w:rPr>
          <w:sz w:val="24"/>
        </w:rPr>
        <w:t>10.2.2. Da execução do serviço:</w:t>
      </w:r>
    </w:p>
    <w:p>
      <w:pPr>
        <w:pStyle w:val="72"/>
        <w:numPr>
          <w:ilvl w:val="0"/>
          <w:numId w:val="0"/>
        </w:numPr>
        <w:spacing w:before="0" w:after="120"/>
        <w:ind w:right="240" w:rightChars="100"/>
        <w:rPr>
          <w:b w:val="0"/>
          <w:bCs/>
          <w:sz w:val="24"/>
        </w:rPr>
      </w:pPr>
      <w:r>
        <w:rPr>
          <w:b w:val="0"/>
          <w:bCs/>
          <w:sz w:val="24"/>
        </w:rPr>
        <w:t>a)  A Coleta Seletiva será realizada nas vias e logradouros da cidade de Primavera do Leste/MT, no conceito de coleta porta a porta, devendo ser inicialmente dimensionada para 12 (doze) setores de coleta com frequência de coleta semanal.</w:t>
      </w:r>
    </w:p>
    <w:p>
      <w:pPr>
        <w:pStyle w:val="72"/>
        <w:numPr>
          <w:ilvl w:val="0"/>
          <w:numId w:val="0"/>
        </w:numPr>
        <w:spacing w:before="0" w:after="120"/>
        <w:ind w:right="240" w:rightChars="100"/>
        <w:rPr>
          <w:b w:val="0"/>
          <w:bCs/>
          <w:sz w:val="24"/>
        </w:rPr>
      </w:pPr>
      <w:r>
        <w:rPr>
          <w:b w:val="0"/>
          <w:bCs/>
          <w:sz w:val="24"/>
        </w:rPr>
        <w:t>b) Os serviços deverão ser executados por 03 (três) caminhões coletores, acomodador (caminhão compactador com pressão reduzida para coleta de resíduos recicláveis) com capacidade de carga de 15 m³ (quinze metros cúbicos), dentro dos padrões técnicos estabelecidos por lei, mantendo um de reserva para não ter prejuízos para os munícipes, sendo:</w:t>
      </w:r>
    </w:p>
    <w:p>
      <w:pPr>
        <w:pStyle w:val="72"/>
        <w:numPr>
          <w:ilvl w:val="0"/>
          <w:numId w:val="0"/>
        </w:numPr>
        <w:spacing w:before="0" w:after="120"/>
        <w:ind w:right="240" w:rightChars="100"/>
        <w:rPr>
          <w:b w:val="0"/>
          <w:bCs/>
          <w:sz w:val="24"/>
        </w:rPr>
      </w:pPr>
      <w:r>
        <w:rPr>
          <w:b w:val="0"/>
          <w:bCs/>
          <w:sz w:val="24"/>
        </w:rPr>
        <w:t>- 2 (dois) caminhões coletores, acomodador (caminhão compactador com pressão reduzida para coleta de resíduos recicláveis) com capacidade de carga de 15 m³ (quinze metros cúbicos).</w:t>
      </w:r>
    </w:p>
    <w:p>
      <w:pPr>
        <w:pStyle w:val="72"/>
        <w:numPr>
          <w:ilvl w:val="0"/>
          <w:numId w:val="0"/>
        </w:numPr>
        <w:spacing w:before="0" w:after="120"/>
        <w:ind w:right="240" w:rightChars="100"/>
        <w:rPr>
          <w:b w:val="0"/>
          <w:bCs/>
          <w:sz w:val="24"/>
        </w:rPr>
      </w:pPr>
      <w:r>
        <w:rPr>
          <w:b w:val="0"/>
          <w:bCs/>
          <w:sz w:val="24"/>
        </w:rPr>
        <w:t>- 1 (um) caminhão coletor reserva, acomodador (caminhão compactador com pressão reduzida para coleta de resíduos recicláveis) com capacidade de carga de 15 m³ (quinze metros cúbicos).</w:t>
      </w:r>
    </w:p>
    <w:p>
      <w:pPr>
        <w:pStyle w:val="72"/>
        <w:numPr>
          <w:ilvl w:val="0"/>
          <w:numId w:val="0"/>
        </w:numPr>
        <w:spacing w:before="0" w:after="120"/>
        <w:ind w:right="240" w:rightChars="100"/>
        <w:rPr>
          <w:b w:val="0"/>
          <w:bCs/>
          <w:sz w:val="24"/>
        </w:rPr>
      </w:pPr>
      <w:r>
        <w:rPr>
          <w:b w:val="0"/>
          <w:bCs/>
          <w:sz w:val="24"/>
        </w:rPr>
        <w:t>c)  A coleta deverá ser implantada gradativamente, iniciando-se imediatamente após a emissão da ordem de serviço nos bairros da região central de Primavera do Leste/MT.</w:t>
      </w:r>
    </w:p>
    <w:p>
      <w:pPr>
        <w:pStyle w:val="72"/>
        <w:numPr>
          <w:ilvl w:val="0"/>
          <w:numId w:val="0"/>
        </w:numPr>
        <w:spacing w:before="0" w:after="120"/>
        <w:ind w:right="240" w:rightChars="100"/>
        <w:rPr>
          <w:b w:val="0"/>
          <w:bCs/>
          <w:sz w:val="24"/>
        </w:rPr>
      </w:pPr>
      <w:r>
        <w:rPr>
          <w:b w:val="0"/>
          <w:bCs/>
          <w:sz w:val="24"/>
        </w:rPr>
        <w:t>d) A equipe de coleta deverá ser orientada especificamente para os diferentes tipos de materiais recicláveis, sendo que os materiais recolhidos considerados não recicláveis deverão ser encaminhados ao Aterro Controlado de Primavera do Leste.</w:t>
      </w:r>
    </w:p>
    <w:p>
      <w:pPr>
        <w:pStyle w:val="72"/>
        <w:numPr>
          <w:ilvl w:val="0"/>
          <w:numId w:val="0"/>
        </w:numPr>
        <w:spacing w:before="0" w:after="120"/>
        <w:ind w:right="240" w:rightChars="100"/>
        <w:rPr>
          <w:b w:val="0"/>
          <w:bCs/>
          <w:sz w:val="24"/>
        </w:rPr>
      </w:pPr>
      <w:r>
        <w:rPr>
          <w:b w:val="0"/>
          <w:bCs/>
          <w:sz w:val="24"/>
        </w:rPr>
        <w:t xml:space="preserve"> e) Todo o material coletado deverá ser encaminhado para a cooperativa de materiais recicláveis ou outro local definido pela municipalidade.</w:t>
      </w:r>
    </w:p>
    <w:p>
      <w:pPr>
        <w:pStyle w:val="72"/>
        <w:numPr>
          <w:ilvl w:val="0"/>
          <w:numId w:val="0"/>
        </w:numPr>
        <w:spacing w:before="0" w:after="120"/>
        <w:ind w:right="240" w:rightChars="100"/>
        <w:rPr>
          <w:b w:val="0"/>
          <w:bCs/>
          <w:sz w:val="24"/>
        </w:rPr>
      </w:pPr>
      <w:r>
        <w:rPr>
          <w:b w:val="0"/>
          <w:bCs/>
          <w:sz w:val="24"/>
        </w:rPr>
        <w:t xml:space="preserve"> f) Os rejeitos oriundos da triagem dos resíduos recicláveis deverão ser retirados conforme demanda em caminhões específicos e apropriados para a carga e transporte dos resíduos.</w:t>
      </w:r>
    </w:p>
    <w:p>
      <w:pPr>
        <w:pStyle w:val="72"/>
        <w:numPr>
          <w:ilvl w:val="0"/>
          <w:numId w:val="0"/>
        </w:numPr>
        <w:spacing w:before="0" w:after="120"/>
        <w:ind w:right="240" w:rightChars="100"/>
        <w:rPr>
          <w:b w:val="0"/>
          <w:bCs/>
          <w:sz w:val="24"/>
        </w:rPr>
      </w:pPr>
      <w:r>
        <w:rPr>
          <w:b w:val="0"/>
          <w:bCs/>
          <w:sz w:val="24"/>
        </w:rPr>
        <w:t xml:space="preserve"> g) Os resíduos que eventualmente forem espalhados por rompimento das embalagens deverão ser recolhidos manualmente, deixando o local completamente limpo.</w:t>
      </w:r>
    </w:p>
    <w:p>
      <w:pPr>
        <w:pStyle w:val="72"/>
        <w:numPr>
          <w:ilvl w:val="0"/>
          <w:numId w:val="0"/>
        </w:numPr>
        <w:spacing w:before="0" w:after="120"/>
        <w:ind w:right="240" w:rightChars="100"/>
        <w:rPr>
          <w:b w:val="0"/>
          <w:bCs/>
          <w:sz w:val="24"/>
        </w:rPr>
      </w:pPr>
      <w:r>
        <w:rPr>
          <w:b w:val="0"/>
          <w:bCs/>
          <w:sz w:val="24"/>
        </w:rPr>
        <w:t>h) Cada equipe para execução da coleta de resíduos recicláveis será constituída de no mínimo:</w:t>
      </w:r>
    </w:p>
    <w:p>
      <w:pPr>
        <w:pStyle w:val="72"/>
        <w:numPr>
          <w:ilvl w:val="0"/>
          <w:numId w:val="0"/>
        </w:numPr>
        <w:spacing w:before="0" w:after="120"/>
        <w:ind w:right="240" w:rightChars="100"/>
        <w:rPr>
          <w:b w:val="0"/>
          <w:bCs/>
          <w:sz w:val="24"/>
        </w:rPr>
      </w:pPr>
      <w:r>
        <w:rPr>
          <w:b w:val="0"/>
          <w:bCs/>
          <w:sz w:val="24"/>
        </w:rPr>
        <w:t>- 01 (um) motorista com carteira de habilitação profissional;</w:t>
      </w:r>
    </w:p>
    <w:p>
      <w:pPr>
        <w:pStyle w:val="72"/>
        <w:numPr>
          <w:ilvl w:val="0"/>
          <w:numId w:val="0"/>
        </w:numPr>
        <w:spacing w:before="0" w:after="120"/>
        <w:ind w:right="240" w:rightChars="100"/>
        <w:rPr>
          <w:b w:val="0"/>
          <w:bCs/>
          <w:sz w:val="24"/>
        </w:rPr>
      </w:pPr>
      <w:r>
        <w:rPr>
          <w:b w:val="0"/>
          <w:bCs/>
          <w:sz w:val="24"/>
        </w:rPr>
        <w:t>- 03 (três) coletores;</w:t>
      </w:r>
    </w:p>
    <w:p>
      <w:pPr>
        <w:pStyle w:val="72"/>
        <w:numPr>
          <w:ilvl w:val="0"/>
          <w:numId w:val="0"/>
        </w:numPr>
        <w:spacing w:before="0" w:after="120"/>
        <w:ind w:right="240" w:rightChars="100"/>
        <w:rPr>
          <w:b w:val="0"/>
          <w:bCs/>
          <w:sz w:val="24"/>
        </w:rPr>
      </w:pPr>
      <w:r>
        <w:rPr>
          <w:b w:val="0"/>
          <w:bCs/>
          <w:sz w:val="24"/>
        </w:rPr>
        <w:t xml:space="preserve"> i) Serão disponibilizadas para a execução dos serviços de acordo com o levantamento da Secretaria, 2 (duas) equipes para a execução dos serviços.</w:t>
      </w:r>
    </w:p>
    <w:p>
      <w:pPr>
        <w:pStyle w:val="72"/>
        <w:numPr>
          <w:ilvl w:val="0"/>
          <w:numId w:val="0"/>
        </w:numPr>
        <w:spacing w:before="0" w:after="120"/>
        <w:ind w:right="240" w:rightChars="100"/>
        <w:rPr>
          <w:b w:val="0"/>
          <w:bCs/>
          <w:sz w:val="24"/>
        </w:rPr>
      </w:pPr>
      <w:r>
        <w:rPr>
          <w:b w:val="0"/>
          <w:bCs/>
          <w:sz w:val="24"/>
        </w:rPr>
        <w:t>j) De acordo com os levantamentos técnicos realizados pela Prefeitura Municipal serão percorridos diariamente para a realização do serviço de coleta seletiva, em média,  210,07 km (distâncias produtivas e distâncias improdutivas), conforme apresentado a seguir:</w:t>
      </w:r>
    </w:p>
    <w:tbl>
      <w:tblPr>
        <w:tblStyle w:val="12"/>
        <w:tblW w:w="0" w:type="auto"/>
        <w:tblInd w:w="0" w:type="dxa"/>
        <w:tblLayout w:type="fixed"/>
        <w:tblCellMar>
          <w:top w:w="0" w:type="dxa"/>
          <w:left w:w="70" w:type="dxa"/>
          <w:bottom w:w="0" w:type="dxa"/>
          <w:right w:w="70" w:type="dxa"/>
        </w:tblCellMar>
      </w:tblPr>
      <w:tblGrid>
        <w:gridCol w:w="6339"/>
        <w:gridCol w:w="3309"/>
      </w:tblGrid>
      <w:tr>
        <w:tblPrEx>
          <w:tblCellMar>
            <w:top w:w="0" w:type="dxa"/>
            <w:left w:w="70" w:type="dxa"/>
            <w:bottom w:w="0" w:type="dxa"/>
            <w:right w:w="70" w:type="dxa"/>
          </w:tblCellMar>
        </w:tblPrEx>
        <w:trPr>
          <w:trHeight w:val="397" w:hRule="atLeast"/>
          <w:tblHeader/>
        </w:trPr>
        <w:tc>
          <w:tcPr>
            <w:tcW w:w="6339" w:type="dxa"/>
            <w:tcBorders>
              <w:top w:val="single" w:color="auto" w:sz="4" w:space="0"/>
              <w:left w:val="single" w:color="auto" w:sz="4" w:space="0"/>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24"/>
              </w:rPr>
            </w:pPr>
            <w:r>
              <w:rPr>
                <w:sz w:val="24"/>
              </w:rPr>
              <w:t>DISTÂNCIA</w:t>
            </w:r>
          </w:p>
        </w:tc>
        <w:tc>
          <w:tcPr>
            <w:tcW w:w="3309" w:type="dxa"/>
            <w:tcBorders>
              <w:top w:val="single" w:color="auto" w:sz="4" w:space="0"/>
              <w:left w:val="nil"/>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24"/>
              </w:rPr>
            </w:pPr>
            <w:r>
              <w:rPr>
                <w:sz w:val="24"/>
              </w:rPr>
              <w:t>KM PERCORRIDOS</w:t>
            </w:r>
          </w:p>
        </w:tc>
      </w:tr>
      <w:tr>
        <w:tblPrEx>
          <w:tblCellMar>
            <w:top w:w="0" w:type="dxa"/>
            <w:left w:w="70" w:type="dxa"/>
            <w:bottom w:w="0" w:type="dxa"/>
            <w:right w:w="70" w:type="dxa"/>
          </w:tblCellMar>
        </w:tblPrEx>
        <w:trPr>
          <w:trHeight w:val="397" w:hRule="atLeast"/>
        </w:trPr>
        <w:tc>
          <w:tcPr>
            <w:tcW w:w="6339" w:type="dxa"/>
            <w:tcBorders>
              <w:top w:val="single" w:color="auto" w:sz="4" w:space="0"/>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semanal produtiva</w:t>
            </w:r>
          </w:p>
        </w:tc>
        <w:tc>
          <w:tcPr>
            <w:tcW w:w="3309" w:type="dxa"/>
            <w:tcBorders>
              <w:top w:val="single" w:color="auto" w:sz="4" w:space="0"/>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686,89</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semanal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573,55</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diária 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114,48</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diária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95,59</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média diária total</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210,07</w:t>
            </w:r>
          </w:p>
        </w:tc>
      </w:tr>
    </w:tbl>
    <w:p>
      <w:pPr>
        <w:pStyle w:val="72"/>
        <w:numPr>
          <w:ilvl w:val="0"/>
          <w:numId w:val="0"/>
        </w:numPr>
        <w:spacing w:before="0" w:after="120"/>
        <w:ind w:right="240" w:rightChars="100"/>
        <w:rPr>
          <w:sz w:val="24"/>
        </w:rPr>
      </w:pPr>
    </w:p>
    <w:p>
      <w:pPr>
        <w:pStyle w:val="72"/>
        <w:numPr>
          <w:ilvl w:val="0"/>
          <w:numId w:val="0"/>
        </w:numPr>
        <w:spacing w:before="0" w:after="120"/>
        <w:ind w:right="240" w:rightChars="100"/>
        <w:rPr>
          <w:sz w:val="24"/>
        </w:rPr>
      </w:pPr>
      <w:r>
        <w:rPr>
          <w:sz w:val="24"/>
        </w:rPr>
        <w:t>10.3. DO SERVIÇO DE COLETA, TRANSPORTE E DESTINAÇÃO FINAL AMBIENTALMENTE ADEQUADA DOS RESÍDUOS DA CONSTRUÇÃO CIVIL GERADOS PELA MUNICIPALIDADE</w:t>
      </w:r>
    </w:p>
    <w:p>
      <w:pPr>
        <w:pStyle w:val="72"/>
        <w:numPr>
          <w:ilvl w:val="0"/>
          <w:numId w:val="0"/>
        </w:numPr>
        <w:spacing w:before="0" w:after="120"/>
        <w:ind w:right="240" w:rightChars="100"/>
        <w:rPr>
          <w:b w:val="0"/>
          <w:bCs/>
          <w:sz w:val="24"/>
        </w:rPr>
      </w:pPr>
      <w:r>
        <w:rPr>
          <w:sz w:val="24"/>
        </w:rPr>
        <w:t>10.3.1.</w:t>
      </w:r>
      <w:r>
        <w:rPr>
          <w:b w:val="0"/>
          <w:bCs/>
          <w:sz w:val="24"/>
        </w:rPr>
        <w:t>Da definição do serviço:</w:t>
      </w:r>
    </w:p>
    <w:p>
      <w:pPr>
        <w:pStyle w:val="72"/>
        <w:numPr>
          <w:ilvl w:val="0"/>
          <w:numId w:val="0"/>
        </w:numPr>
        <w:spacing w:before="0" w:after="120"/>
        <w:ind w:right="240" w:rightChars="100"/>
        <w:rPr>
          <w:b w:val="0"/>
          <w:bCs/>
          <w:sz w:val="24"/>
        </w:rPr>
      </w:pPr>
      <w:r>
        <w:rPr>
          <w:b w:val="0"/>
          <w:bCs/>
          <w:sz w:val="24"/>
        </w:rPr>
        <w:t>a) Resíduos da construção civil são definidos como àqueles provenientes de construções, reformas, reparos e demolições de obras de construção civil, e os resultantes da preparação e da escavação de terrenos, tais como: tijolos, blocos cerâmicos, concreto em geral, solos, rochas, metais, resinas, colas, tintas, madeiras e compensados, forros, argamassa, gesso, telhas, pavimento asfáltico, vidros, plásticos, tubulações, fiação elétrica etc.</w:t>
      </w:r>
    </w:p>
    <w:p>
      <w:pPr>
        <w:pStyle w:val="72"/>
        <w:numPr>
          <w:ilvl w:val="0"/>
          <w:numId w:val="0"/>
        </w:numPr>
        <w:spacing w:before="0" w:after="120"/>
        <w:ind w:right="240" w:rightChars="100"/>
        <w:rPr>
          <w:b w:val="0"/>
          <w:bCs/>
          <w:sz w:val="24"/>
        </w:rPr>
      </w:pPr>
      <w:r>
        <w:rPr>
          <w:b w:val="0"/>
          <w:bCs/>
          <w:sz w:val="24"/>
        </w:rPr>
        <w:t>b) O presente serviço refere-se a coleta, transporte e destinação final aos resíduos da construção civil provenientes de obras e reformas realizadas pela municipalidade de Primavera do Leste/MT, ou seja, dos órgãos e entidades municipais.</w:t>
      </w:r>
    </w:p>
    <w:p>
      <w:pPr>
        <w:pStyle w:val="72"/>
        <w:numPr>
          <w:ilvl w:val="0"/>
          <w:numId w:val="0"/>
        </w:numPr>
        <w:spacing w:before="0" w:after="120"/>
        <w:ind w:right="240" w:rightChars="100"/>
        <w:rPr>
          <w:b w:val="0"/>
          <w:bCs/>
          <w:sz w:val="24"/>
        </w:rPr>
      </w:pPr>
      <w:r>
        <w:rPr>
          <w:b w:val="0"/>
          <w:bCs/>
          <w:sz w:val="24"/>
        </w:rPr>
        <w:t>c) Define-se como coleta, transporte dos resíduos da construção civil a disponibilização caixas brook de volume equivalente a 5 m³ (conforme demanda) e o transporte dos resíduos até destinação final ambientalmente adequada.</w:t>
      </w:r>
    </w:p>
    <w:p>
      <w:pPr>
        <w:pStyle w:val="72"/>
        <w:numPr>
          <w:ilvl w:val="0"/>
          <w:numId w:val="0"/>
        </w:numPr>
        <w:spacing w:before="0" w:after="120"/>
        <w:ind w:right="240" w:rightChars="100"/>
        <w:rPr>
          <w:b w:val="0"/>
          <w:bCs/>
          <w:sz w:val="24"/>
        </w:rPr>
      </w:pPr>
      <w:r>
        <w:rPr>
          <w:b w:val="0"/>
          <w:bCs/>
          <w:sz w:val="24"/>
        </w:rPr>
        <w:t xml:space="preserve"> d) A destinação final deverá ocorrer em empreendimento devidamente licenciamento com capacidade de recebimento de resíduos classe II.</w:t>
      </w:r>
    </w:p>
    <w:p>
      <w:pPr>
        <w:pStyle w:val="72"/>
        <w:numPr>
          <w:ilvl w:val="0"/>
          <w:numId w:val="0"/>
        </w:numPr>
        <w:spacing w:before="0" w:after="120"/>
        <w:ind w:right="240" w:rightChars="100"/>
        <w:rPr>
          <w:b w:val="0"/>
          <w:bCs/>
          <w:sz w:val="24"/>
        </w:rPr>
      </w:pPr>
      <w:r>
        <w:rPr>
          <w:b w:val="0"/>
          <w:bCs/>
          <w:sz w:val="24"/>
        </w:rPr>
        <w:t>4.4.2. Da execução do serviço:</w:t>
      </w:r>
    </w:p>
    <w:p>
      <w:pPr>
        <w:pStyle w:val="72"/>
        <w:numPr>
          <w:ilvl w:val="0"/>
          <w:numId w:val="0"/>
        </w:numPr>
        <w:spacing w:before="0" w:after="120"/>
        <w:ind w:right="240" w:rightChars="100"/>
        <w:rPr>
          <w:b w:val="0"/>
          <w:bCs/>
          <w:sz w:val="24"/>
        </w:rPr>
      </w:pPr>
      <w:r>
        <w:rPr>
          <w:b w:val="0"/>
          <w:bCs/>
          <w:sz w:val="24"/>
        </w:rPr>
        <w:t>a) A CONTRATADA executará semanalmente, conforme a demanda, a coleta, o transporte e a destinação final ambientalmente adequada dos resíduos da construção civil gerados pela municipalidade em suas obras.</w:t>
      </w:r>
    </w:p>
    <w:p>
      <w:pPr>
        <w:pStyle w:val="72"/>
        <w:numPr>
          <w:ilvl w:val="0"/>
          <w:numId w:val="0"/>
        </w:numPr>
        <w:spacing w:before="0" w:after="120"/>
        <w:ind w:right="240" w:rightChars="100"/>
        <w:rPr>
          <w:b w:val="0"/>
          <w:bCs/>
          <w:sz w:val="24"/>
        </w:rPr>
      </w:pPr>
      <w:r>
        <w:rPr>
          <w:b w:val="0"/>
          <w:bCs/>
          <w:sz w:val="24"/>
        </w:rPr>
        <w:t>b) O serviço deverá ser executo por meio da utilização de um caminhão equipado com carroceria tipo poliguindaste específica para este fim.</w:t>
      </w:r>
    </w:p>
    <w:p>
      <w:pPr>
        <w:pStyle w:val="72"/>
        <w:numPr>
          <w:ilvl w:val="0"/>
          <w:numId w:val="0"/>
        </w:numPr>
        <w:spacing w:before="0" w:after="120"/>
        <w:ind w:right="240" w:rightChars="100"/>
        <w:rPr>
          <w:b w:val="0"/>
          <w:bCs/>
          <w:sz w:val="24"/>
        </w:rPr>
      </w:pPr>
      <w:r>
        <w:rPr>
          <w:b w:val="0"/>
          <w:bCs/>
          <w:sz w:val="24"/>
          <w:lang w:eastAsia="en-US"/>
        </w:rPr>
        <w:t xml:space="preserve">c) </w:t>
      </w:r>
      <w:r>
        <w:rPr>
          <w:b w:val="0"/>
          <w:bCs/>
          <w:sz w:val="24"/>
        </w:rPr>
        <w:t>A partir da solicitação da CONTRATANTE, a CONTRATADA deverá disponibilizar caixas brook para o armazenamento temporário dos resíduos da construção civil nos locais definidos e realizar a substituição conforme demanda.</w:t>
      </w:r>
    </w:p>
    <w:p>
      <w:pPr>
        <w:pStyle w:val="72"/>
        <w:numPr>
          <w:ilvl w:val="0"/>
          <w:numId w:val="0"/>
        </w:numPr>
        <w:spacing w:before="0" w:after="120"/>
        <w:ind w:right="240" w:rightChars="100"/>
        <w:rPr>
          <w:b w:val="0"/>
          <w:bCs/>
          <w:sz w:val="24"/>
        </w:rPr>
      </w:pPr>
      <w:r>
        <w:rPr>
          <w:b w:val="0"/>
          <w:bCs/>
          <w:sz w:val="24"/>
          <w:lang w:eastAsia="en-US"/>
        </w:rPr>
        <w:t xml:space="preserve">d)  </w:t>
      </w:r>
      <w:r>
        <w:rPr>
          <w:b w:val="0"/>
          <w:bCs/>
          <w:sz w:val="24"/>
        </w:rPr>
        <w:t>A coleta deverá ser realizada de segunda à sexta-feira nos seguintes horários:</w:t>
      </w:r>
    </w:p>
    <w:p>
      <w:pPr>
        <w:pStyle w:val="72"/>
        <w:numPr>
          <w:ilvl w:val="0"/>
          <w:numId w:val="0"/>
        </w:numPr>
        <w:spacing w:before="0" w:after="120"/>
        <w:ind w:right="240" w:rightChars="100"/>
        <w:rPr>
          <w:b w:val="0"/>
          <w:bCs/>
          <w:sz w:val="24"/>
        </w:rPr>
      </w:pPr>
      <w:r>
        <w:rPr>
          <w:b w:val="0"/>
          <w:bCs/>
          <w:sz w:val="24"/>
        </w:rPr>
        <w:t>- Matutino: início 07:30 às 11:30</w:t>
      </w:r>
    </w:p>
    <w:p>
      <w:pPr>
        <w:pStyle w:val="72"/>
        <w:numPr>
          <w:ilvl w:val="0"/>
          <w:numId w:val="0"/>
        </w:numPr>
        <w:spacing w:before="0" w:after="120"/>
        <w:ind w:right="240" w:rightChars="100"/>
        <w:rPr>
          <w:b w:val="0"/>
          <w:bCs/>
          <w:sz w:val="24"/>
        </w:rPr>
      </w:pPr>
      <w:r>
        <w:rPr>
          <w:b w:val="0"/>
          <w:bCs/>
          <w:sz w:val="24"/>
        </w:rPr>
        <w:t>- Vespertino: início 13:30 às 17:30</w:t>
      </w:r>
    </w:p>
    <w:p>
      <w:pPr>
        <w:pStyle w:val="72"/>
        <w:numPr>
          <w:ilvl w:val="0"/>
          <w:numId w:val="0"/>
        </w:numPr>
        <w:spacing w:before="0" w:after="120"/>
        <w:ind w:right="240" w:rightChars="100"/>
        <w:rPr>
          <w:b w:val="0"/>
          <w:bCs/>
          <w:sz w:val="24"/>
        </w:rPr>
      </w:pPr>
      <w:r>
        <w:rPr>
          <w:b w:val="0"/>
          <w:bCs/>
          <w:sz w:val="24"/>
        </w:rPr>
        <w:t>e) A CONTRATADA deverá ter disponível 04. (quatro) caixas brook de volume equivalente a 5 m³ para utilização nos serviços de armazenamento temporário dos resíduos da construção civil e volumosos.</w:t>
      </w:r>
    </w:p>
    <w:p>
      <w:pPr>
        <w:pStyle w:val="72"/>
        <w:numPr>
          <w:ilvl w:val="0"/>
          <w:numId w:val="0"/>
        </w:numPr>
        <w:spacing w:before="0" w:after="120"/>
        <w:ind w:right="240" w:rightChars="100"/>
        <w:rPr>
          <w:b w:val="0"/>
          <w:bCs/>
          <w:sz w:val="24"/>
        </w:rPr>
      </w:pPr>
      <w:r>
        <w:rPr>
          <w:b w:val="0"/>
          <w:bCs/>
          <w:sz w:val="24"/>
          <w:lang w:eastAsia="en-US"/>
        </w:rPr>
        <w:t xml:space="preserve">f) </w:t>
      </w:r>
      <w:r>
        <w:rPr>
          <w:b w:val="0"/>
          <w:bCs/>
          <w:sz w:val="24"/>
        </w:rPr>
        <w:t>De acordo com estimativas são gerados mensalmente no município, em média, 1.068,70 toneladas de RCC no município de Primavera do Leste/MT e que aproximadamente 8% são geradores pela municipalidade. Ou seja, a empresa CONTRATADA realizará o serviço de coleta, transporte e destinação final de, aproximadamente 85,15 toneladas de RCC por mês.</w:t>
      </w:r>
    </w:p>
    <w:p>
      <w:pPr>
        <w:pStyle w:val="72"/>
        <w:numPr>
          <w:ilvl w:val="0"/>
          <w:numId w:val="0"/>
        </w:numPr>
        <w:spacing w:before="0" w:after="120"/>
        <w:ind w:right="240" w:rightChars="100"/>
        <w:rPr>
          <w:b w:val="0"/>
          <w:bCs/>
          <w:sz w:val="24"/>
        </w:rPr>
      </w:pPr>
      <w:r>
        <w:rPr>
          <w:b w:val="0"/>
          <w:bCs/>
          <w:sz w:val="24"/>
        </w:rPr>
        <w:t xml:space="preserve"> g) A Contratada deverá fornecer 02 (dois) caminhões equipados com carroceria tipo poliguindaste específica para este fim e 04 (quatro) caixas brooks de volume equivalente a 5 m³, sendo:</w:t>
      </w:r>
    </w:p>
    <w:p>
      <w:pPr>
        <w:pStyle w:val="72"/>
        <w:numPr>
          <w:ilvl w:val="0"/>
          <w:numId w:val="0"/>
        </w:numPr>
        <w:spacing w:before="0" w:after="120"/>
        <w:ind w:right="240" w:rightChars="100"/>
        <w:rPr>
          <w:b w:val="0"/>
          <w:bCs/>
          <w:sz w:val="24"/>
        </w:rPr>
      </w:pPr>
      <w:r>
        <w:rPr>
          <w:b w:val="0"/>
          <w:bCs/>
          <w:sz w:val="24"/>
        </w:rPr>
        <w:t>- 01 (um) caminhão equipado com carroceria tipo poliguindaste específica para este fim;</w:t>
      </w:r>
    </w:p>
    <w:p>
      <w:pPr>
        <w:pStyle w:val="72"/>
        <w:numPr>
          <w:ilvl w:val="0"/>
          <w:numId w:val="0"/>
        </w:numPr>
        <w:spacing w:before="0" w:after="120"/>
        <w:ind w:right="240" w:rightChars="100"/>
        <w:rPr>
          <w:b w:val="0"/>
          <w:bCs/>
          <w:sz w:val="24"/>
        </w:rPr>
      </w:pPr>
      <w:r>
        <w:rPr>
          <w:b w:val="0"/>
          <w:bCs/>
          <w:sz w:val="24"/>
        </w:rPr>
        <w:t>- 01 (um) caminhão reserva equipado com carroceria tipo poliguindaste específica para este fim;</w:t>
      </w:r>
    </w:p>
    <w:p>
      <w:pPr>
        <w:pStyle w:val="72"/>
        <w:numPr>
          <w:ilvl w:val="0"/>
          <w:numId w:val="0"/>
        </w:numPr>
        <w:spacing w:before="0" w:after="120"/>
        <w:ind w:right="240" w:rightChars="100"/>
        <w:rPr>
          <w:b w:val="0"/>
          <w:bCs/>
          <w:sz w:val="24"/>
        </w:rPr>
      </w:pPr>
      <w:r>
        <w:rPr>
          <w:b w:val="0"/>
          <w:bCs/>
          <w:sz w:val="24"/>
        </w:rPr>
        <w:t>h) Para execução da coleta, transporte e destinação final de resíduos da construção civil será necessário 01 (um) motorista com carteira de habilitação profissional e 01 (um) coletor que auxiliará no serviço coleta dos RCC;</w:t>
      </w:r>
    </w:p>
    <w:p>
      <w:pPr>
        <w:pStyle w:val="72"/>
        <w:numPr>
          <w:ilvl w:val="0"/>
          <w:numId w:val="0"/>
        </w:numPr>
        <w:spacing w:before="0" w:after="120"/>
        <w:ind w:right="240" w:rightChars="100"/>
        <w:rPr>
          <w:b w:val="0"/>
          <w:bCs/>
          <w:sz w:val="24"/>
        </w:rPr>
      </w:pPr>
      <w:r>
        <w:rPr>
          <w:b w:val="0"/>
          <w:bCs/>
          <w:sz w:val="24"/>
        </w:rPr>
        <w:t>i) Deverão ser considerados para o cálculo do presente serviço técnico as distâncias percorridas para o encaminhamento dos RCC até o local de disposição final ambientalmente adequada.</w:t>
      </w:r>
    </w:p>
    <w:p>
      <w:pPr>
        <w:pStyle w:val="72"/>
        <w:numPr>
          <w:ilvl w:val="0"/>
          <w:numId w:val="0"/>
        </w:numPr>
        <w:spacing w:before="0" w:after="120"/>
        <w:ind w:right="240" w:rightChars="100"/>
        <w:rPr>
          <w:sz w:val="24"/>
        </w:rPr>
      </w:pPr>
      <w:r>
        <w:rPr>
          <w:sz w:val="24"/>
        </w:rPr>
        <w:t>10.4. DO SERVIÇO DE COLETA, TRANSPORTE E DESTINAÇÃO FINAL AMBIENTALMENTE ADEQUADA DOS REJEITOS PROVENIENTES DA SEGREGAÇÃO DOS RESÍDUOS RECICLÁVEIS</w:t>
      </w:r>
    </w:p>
    <w:p>
      <w:pPr>
        <w:pStyle w:val="72"/>
        <w:numPr>
          <w:ilvl w:val="0"/>
          <w:numId w:val="0"/>
        </w:numPr>
        <w:spacing w:before="0" w:after="120"/>
        <w:ind w:right="240" w:rightChars="100"/>
        <w:rPr>
          <w:b w:val="0"/>
          <w:bCs/>
          <w:sz w:val="24"/>
        </w:rPr>
      </w:pPr>
      <w:r>
        <w:rPr>
          <w:sz w:val="24"/>
        </w:rPr>
        <w:t>10.4.1. Da definição do serviço:</w:t>
      </w:r>
    </w:p>
    <w:p>
      <w:pPr>
        <w:pStyle w:val="72"/>
        <w:numPr>
          <w:ilvl w:val="0"/>
          <w:numId w:val="0"/>
        </w:numPr>
        <w:spacing w:before="0" w:after="120"/>
        <w:ind w:right="240" w:rightChars="100"/>
        <w:rPr>
          <w:b w:val="0"/>
          <w:bCs/>
          <w:sz w:val="24"/>
        </w:rPr>
      </w:pPr>
      <w:r>
        <w:rPr>
          <w:b w:val="0"/>
          <w:bCs/>
          <w:sz w:val="24"/>
        </w:rPr>
        <w:t xml:space="preserve"> a) O rejeito proveniente da triagem dos resíduos secos é um tipo específico de descarte, aquele para o qual ainda não existe nenhuma possibilidade de reaproveitamento ou reciclagem.</w:t>
      </w:r>
    </w:p>
    <w:p>
      <w:pPr>
        <w:pStyle w:val="72"/>
        <w:numPr>
          <w:ilvl w:val="0"/>
          <w:numId w:val="0"/>
        </w:numPr>
        <w:spacing w:before="0" w:after="120"/>
        <w:ind w:right="240" w:rightChars="100"/>
        <w:rPr>
          <w:b w:val="0"/>
          <w:bCs/>
          <w:sz w:val="24"/>
        </w:rPr>
      </w:pPr>
      <w:r>
        <w:rPr>
          <w:b w:val="0"/>
          <w:bCs/>
          <w:sz w:val="24"/>
        </w:rPr>
        <w:t xml:space="preserve"> b) Define-se como coleta, transporte dos rejeitos provenientes da segregação dos resíduos recicláveis como a disponibilização caixas brooks de volume equivalente a 5 m³ (conforme demanda) e o transporte dos resíduos até destinação final ambientalmente adequada.</w:t>
      </w:r>
    </w:p>
    <w:p>
      <w:pPr>
        <w:pStyle w:val="72"/>
        <w:numPr>
          <w:ilvl w:val="0"/>
          <w:numId w:val="0"/>
        </w:numPr>
        <w:spacing w:before="0" w:after="120"/>
        <w:ind w:right="240" w:rightChars="100"/>
        <w:rPr>
          <w:b w:val="0"/>
          <w:bCs/>
          <w:sz w:val="24"/>
        </w:rPr>
      </w:pPr>
      <w:r>
        <w:rPr>
          <w:b w:val="0"/>
          <w:bCs/>
          <w:sz w:val="24"/>
        </w:rPr>
        <w:t>c) A destinação final deverá ocorrer em empreendimento devidamente licenciamento com capacidade de recebimento de resíduos classe II-A.</w:t>
      </w:r>
    </w:p>
    <w:p>
      <w:pPr>
        <w:pStyle w:val="72"/>
        <w:numPr>
          <w:ilvl w:val="0"/>
          <w:numId w:val="0"/>
        </w:numPr>
        <w:spacing w:before="0" w:after="120"/>
        <w:ind w:right="240" w:rightChars="100"/>
        <w:rPr>
          <w:sz w:val="24"/>
        </w:rPr>
      </w:pPr>
      <w:r>
        <w:rPr>
          <w:sz w:val="24"/>
        </w:rPr>
        <w:t>10.4.2. Da execução do serviço:</w:t>
      </w:r>
    </w:p>
    <w:p>
      <w:pPr>
        <w:pStyle w:val="72"/>
        <w:numPr>
          <w:ilvl w:val="0"/>
          <w:numId w:val="0"/>
        </w:numPr>
        <w:spacing w:before="0" w:after="120"/>
        <w:ind w:right="240" w:rightChars="100"/>
        <w:rPr>
          <w:b w:val="0"/>
          <w:bCs/>
          <w:sz w:val="24"/>
        </w:rPr>
      </w:pPr>
      <w:r>
        <w:rPr>
          <w:b w:val="0"/>
          <w:bCs/>
          <w:sz w:val="24"/>
        </w:rPr>
        <w:t>a) A CONTRATADA executará semanalmente, conforme a demanda, a coleta, o transporte e a destinação final ambientalmente adequada dos rejeitos provenientes da triagem dos resíduos recicláveis triados.</w:t>
      </w:r>
    </w:p>
    <w:p>
      <w:pPr>
        <w:pStyle w:val="72"/>
        <w:numPr>
          <w:ilvl w:val="0"/>
          <w:numId w:val="0"/>
        </w:numPr>
        <w:spacing w:before="0" w:after="120"/>
        <w:ind w:right="240" w:rightChars="100"/>
        <w:rPr>
          <w:b w:val="0"/>
          <w:bCs/>
          <w:sz w:val="24"/>
        </w:rPr>
      </w:pPr>
      <w:r>
        <w:rPr>
          <w:b w:val="0"/>
          <w:bCs/>
          <w:sz w:val="24"/>
        </w:rPr>
        <w:t xml:space="preserve"> b) O serviço deverá ser executado por meio da utilização de 02 (dois) caminhões equipados com carroceria tipo poliguindaste específica para este fim (poderá ser utilizado o veículo que executará os serviços de coleta dos resíduos da construção civil gerados pela municipalidade).</w:t>
      </w:r>
    </w:p>
    <w:p>
      <w:pPr>
        <w:pStyle w:val="72"/>
        <w:numPr>
          <w:ilvl w:val="0"/>
          <w:numId w:val="0"/>
        </w:numPr>
        <w:spacing w:before="0" w:after="120"/>
        <w:ind w:right="240" w:rightChars="100"/>
        <w:rPr>
          <w:b w:val="0"/>
          <w:bCs/>
          <w:sz w:val="24"/>
        </w:rPr>
      </w:pPr>
      <w:r>
        <w:rPr>
          <w:b w:val="0"/>
          <w:bCs/>
          <w:sz w:val="24"/>
        </w:rPr>
        <w:t xml:space="preserve"> c) A partir da solicitação da CONTRATANTE, a CONTRATADA deverá disponibilizar caixas brook para o armazenamento temporário dos rejeitos provenientes da triagem dos resíduos secos (recicláveis)</w:t>
      </w:r>
    </w:p>
    <w:p>
      <w:pPr>
        <w:pStyle w:val="72"/>
        <w:numPr>
          <w:ilvl w:val="0"/>
          <w:numId w:val="0"/>
        </w:numPr>
        <w:spacing w:before="0" w:after="120"/>
        <w:ind w:right="240" w:rightChars="100"/>
        <w:rPr>
          <w:b w:val="0"/>
          <w:bCs/>
          <w:sz w:val="24"/>
        </w:rPr>
      </w:pPr>
      <w:r>
        <w:rPr>
          <w:b w:val="0"/>
          <w:bCs/>
          <w:sz w:val="24"/>
        </w:rPr>
        <w:t>d)  A coleta deverá ser realizada de segunda à sexta-feira nos seguintes horários:</w:t>
      </w:r>
    </w:p>
    <w:p>
      <w:pPr>
        <w:pStyle w:val="72"/>
        <w:numPr>
          <w:ilvl w:val="0"/>
          <w:numId w:val="0"/>
        </w:numPr>
        <w:spacing w:before="0" w:after="120"/>
        <w:ind w:right="240" w:rightChars="100"/>
        <w:rPr>
          <w:b w:val="0"/>
          <w:bCs/>
          <w:sz w:val="24"/>
        </w:rPr>
      </w:pPr>
      <w:r>
        <w:rPr>
          <w:b w:val="0"/>
          <w:bCs/>
          <w:sz w:val="24"/>
        </w:rPr>
        <w:t>Matutino: início 07:30 às 11:30</w:t>
      </w:r>
    </w:p>
    <w:p>
      <w:pPr>
        <w:pStyle w:val="72"/>
        <w:numPr>
          <w:ilvl w:val="0"/>
          <w:numId w:val="0"/>
        </w:numPr>
        <w:spacing w:before="0" w:after="120"/>
        <w:ind w:right="240" w:rightChars="100"/>
        <w:rPr>
          <w:b w:val="0"/>
          <w:bCs/>
          <w:sz w:val="24"/>
        </w:rPr>
      </w:pPr>
      <w:r>
        <w:rPr>
          <w:b w:val="0"/>
          <w:bCs/>
          <w:sz w:val="24"/>
        </w:rPr>
        <w:t>Vespertino: início 13:30 às 17:30.</w:t>
      </w:r>
    </w:p>
    <w:p>
      <w:pPr>
        <w:pStyle w:val="72"/>
        <w:numPr>
          <w:ilvl w:val="0"/>
          <w:numId w:val="0"/>
        </w:numPr>
        <w:spacing w:before="0" w:after="120"/>
        <w:ind w:right="240" w:rightChars="100"/>
        <w:rPr>
          <w:b w:val="0"/>
          <w:bCs/>
          <w:sz w:val="24"/>
        </w:rPr>
      </w:pPr>
      <w:r>
        <w:rPr>
          <w:b w:val="0"/>
          <w:bCs/>
          <w:sz w:val="24"/>
        </w:rPr>
        <w:t>e)  A CONTRATADA deverá ter disponível 04 (quatro) caixas brook de volume equivalente a 5 m³ para utilização nos serviços de armazenamento temporário dos rejeitos provenientes da triagem dos resíduos secos (recicláveis).</w:t>
      </w:r>
    </w:p>
    <w:p>
      <w:pPr>
        <w:pStyle w:val="72"/>
        <w:numPr>
          <w:ilvl w:val="0"/>
          <w:numId w:val="0"/>
        </w:numPr>
        <w:spacing w:before="0" w:after="120"/>
        <w:ind w:right="240" w:rightChars="100"/>
        <w:rPr>
          <w:b w:val="0"/>
          <w:bCs/>
          <w:sz w:val="24"/>
        </w:rPr>
      </w:pPr>
      <w:r>
        <w:rPr>
          <w:b w:val="0"/>
          <w:bCs/>
          <w:sz w:val="24"/>
        </w:rPr>
        <w:t>f)  De acordo com estimativas são geradas aproximadamente 19,50 toneladas de rejeitos provenientes da triagem dos resíduos recicláveis em Primavera do Leste/MT.</w:t>
      </w:r>
    </w:p>
    <w:p>
      <w:pPr>
        <w:pStyle w:val="72"/>
        <w:numPr>
          <w:ilvl w:val="0"/>
          <w:numId w:val="0"/>
        </w:numPr>
        <w:spacing w:before="0" w:after="120"/>
        <w:ind w:right="240" w:rightChars="100"/>
        <w:rPr>
          <w:b w:val="0"/>
          <w:bCs/>
          <w:sz w:val="24"/>
        </w:rPr>
      </w:pPr>
      <w:r>
        <w:rPr>
          <w:b w:val="0"/>
          <w:bCs/>
          <w:sz w:val="24"/>
        </w:rPr>
        <w:t>g)  A Contratada deverá fornecer 02 (dois) caminhões equipados com carroceria tipo poliguindaste específica para este fim (poderá ser utilizado o veículo que executará os serviços de coleta dos resíduos da construção civil gerados pela municipalidade) e 04 (quatro) caixas brooks de volume equivalente a 5 m³, sendo:</w:t>
      </w:r>
    </w:p>
    <w:p>
      <w:pPr>
        <w:pStyle w:val="72"/>
        <w:numPr>
          <w:ilvl w:val="0"/>
          <w:numId w:val="0"/>
        </w:numPr>
        <w:spacing w:before="0" w:after="120"/>
        <w:ind w:right="240" w:rightChars="100"/>
        <w:rPr>
          <w:b w:val="0"/>
          <w:bCs/>
          <w:sz w:val="24"/>
        </w:rPr>
      </w:pPr>
      <w:r>
        <w:rPr>
          <w:b w:val="0"/>
          <w:bCs/>
          <w:sz w:val="24"/>
        </w:rPr>
        <w:t>- 01 (um) caminhão equipado com carroceria tipo poliguindaste específica para este fim;</w:t>
      </w:r>
    </w:p>
    <w:p>
      <w:pPr>
        <w:pStyle w:val="72"/>
        <w:numPr>
          <w:ilvl w:val="0"/>
          <w:numId w:val="0"/>
        </w:numPr>
        <w:spacing w:before="0" w:after="120"/>
        <w:ind w:right="240" w:rightChars="100"/>
        <w:rPr>
          <w:b w:val="0"/>
          <w:bCs/>
          <w:sz w:val="24"/>
        </w:rPr>
      </w:pPr>
      <w:r>
        <w:rPr>
          <w:b w:val="0"/>
          <w:bCs/>
          <w:sz w:val="24"/>
        </w:rPr>
        <w:t>- 01 (um) caminhão reserva equipado com carroceria tipo poliguindaste específica para este fim;</w:t>
      </w:r>
    </w:p>
    <w:p>
      <w:pPr>
        <w:pStyle w:val="72"/>
        <w:numPr>
          <w:ilvl w:val="0"/>
          <w:numId w:val="0"/>
        </w:numPr>
        <w:spacing w:before="0" w:after="120"/>
        <w:ind w:right="240" w:rightChars="100"/>
        <w:rPr>
          <w:b w:val="0"/>
          <w:bCs/>
          <w:sz w:val="24"/>
        </w:rPr>
      </w:pPr>
      <w:r>
        <w:rPr>
          <w:b w:val="0"/>
          <w:bCs/>
          <w:sz w:val="24"/>
        </w:rPr>
        <w:t>h)  Para execução da coleta, transporte e destinação final de resíduos da construção civil será necessário 01 (um) motorista com carteira de habilitação profissional e 01 (um) coletor que auxiliará no serviço coleta dos rejeitos provenientes da triagem dos resíduos recicláveis (poderá ser utilizado a mão de obra que executará os serviços de coleta dos resíduos da construção civil gerados pela municipalidade);</w:t>
      </w:r>
    </w:p>
    <w:p>
      <w:pPr>
        <w:pStyle w:val="72"/>
        <w:numPr>
          <w:ilvl w:val="0"/>
          <w:numId w:val="0"/>
        </w:numPr>
        <w:spacing w:before="0" w:after="120"/>
        <w:ind w:right="240" w:rightChars="100"/>
        <w:rPr>
          <w:b w:val="0"/>
          <w:bCs/>
          <w:sz w:val="24"/>
        </w:rPr>
      </w:pPr>
      <w:r>
        <w:rPr>
          <w:b w:val="0"/>
          <w:bCs/>
          <w:sz w:val="24"/>
        </w:rPr>
        <w:t>i)  Deverão ser considerados para o cálculo do presente serviço técnico as distâncias percorridas para o encaminhamento dos rejeitos provenientes da triagem dos resíduos secos (recicláveis) até o local de disposição final ambientalmente adequada.</w:t>
      </w:r>
    </w:p>
    <w:p>
      <w:pPr>
        <w:pStyle w:val="72"/>
        <w:numPr>
          <w:ilvl w:val="0"/>
          <w:numId w:val="0"/>
        </w:numPr>
        <w:spacing w:before="0" w:after="120"/>
        <w:ind w:right="240" w:rightChars="100"/>
        <w:rPr>
          <w:sz w:val="24"/>
        </w:rPr>
      </w:pPr>
      <w:r>
        <w:rPr>
          <w:sz w:val="24"/>
        </w:rPr>
        <w:t>10.5. DO SERVIÇO DE IMPLANTAÇÃO E COORDENAÇÃO DA UNIDADE DE TRIAGEM DE PRIMAVERA DO LESTE/MT</w:t>
      </w:r>
    </w:p>
    <w:p>
      <w:pPr>
        <w:pStyle w:val="72"/>
        <w:numPr>
          <w:ilvl w:val="0"/>
          <w:numId w:val="0"/>
        </w:numPr>
        <w:spacing w:before="0" w:after="120"/>
        <w:ind w:right="240" w:rightChars="100"/>
        <w:rPr>
          <w:sz w:val="24"/>
        </w:rPr>
      </w:pPr>
      <w:r>
        <w:rPr>
          <w:sz w:val="24"/>
        </w:rPr>
        <w:t>10.5.1 Da definição do serviço:</w:t>
      </w:r>
    </w:p>
    <w:p>
      <w:pPr>
        <w:pStyle w:val="72"/>
        <w:numPr>
          <w:ilvl w:val="0"/>
          <w:numId w:val="0"/>
        </w:numPr>
        <w:spacing w:before="0" w:after="120"/>
        <w:ind w:right="240" w:rightChars="100"/>
        <w:rPr>
          <w:b w:val="0"/>
          <w:bCs/>
          <w:sz w:val="24"/>
        </w:rPr>
      </w:pPr>
      <w:r>
        <w:rPr>
          <w:b w:val="0"/>
          <w:bCs/>
          <w:sz w:val="24"/>
        </w:rPr>
        <w:t>a) Define-se como operação e manutenção de usina de triagem, o serviço de recepcionar os resíduos domiciliares e/ou da coleta seletiva, para serem selecionados e separados conforme a sua natureza.</w:t>
      </w:r>
    </w:p>
    <w:p>
      <w:pPr>
        <w:pStyle w:val="72"/>
        <w:numPr>
          <w:ilvl w:val="0"/>
          <w:numId w:val="0"/>
        </w:numPr>
        <w:spacing w:before="0" w:after="120"/>
        <w:ind w:right="240" w:rightChars="100"/>
        <w:rPr>
          <w:b w:val="0"/>
          <w:bCs/>
          <w:sz w:val="24"/>
        </w:rPr>
      </w:pPr>
      <w:r>
        <w:rPr>
          <w:b w:val="0"/>
          <w:bCs/>
          <w:sz w:val="24"/>
        </w:rPr>
        <w:t>b) A operação da usina de triagem/reciclagem será feita através de COOPERATIVA, a ser indicada pela Prefeitura Municipal de Primavera do Leste/MT.</w:t>
      </w:r>
    </w:p>
    <w:p>
      <w:pPr>
        <w:pStyle w:val="72"/>
        <w:numPr>
          <w:ilvl w:val="0"/>
          <w:numId w:val="0"/>
        </w:numPr>
        <w:spacing w:before="0" w:after="120"/>
        <w:ind w:right="240" w:rightChars="100"/>
        <w:rPr>
          <w:b w:val="0"/>
          <w:bCs/>
          <w:sz w:val="24"/>
        </w:rPr>
      </w:pPr>
      <w:r>
        <w:rPr>
          <w:b w:val="0"/>
          <w:bCs/>
          <w:sz w:val="24"/>
        </w:rPr>
        <w:t>c) Entende-se como implantação da unidade de triagem a realização dos serviços de apoio técnico na definição dos layouts, dimensionamento preliminar das infraestruturas e demais atividades que auxiliem à Prefeitura Municipal de Primavera do Leste implantar tal unidade.</w:t>
      </w:r>
    </w:p>
    <w:p>
      <w:pPr>
        <w:pStyle w:val="72"/>
        <w:numPr>
          <w:ilvl w:val="0"/>
          <w:numId w:val="0"/>
        </w:numPr>
        <w:spacing w:before="0" w:after="120"/>
        <w:ind w:right="240" w:rightChars="100"/>
        <w:rPr>
          <w:b w:val="0"/>
          <w:bCs/>
          <w:sz w:val="24"/>
        </w:rPr>
      </w:pPr>
      <w:r>
        <w:rPr>
          <w:b w:val="0"/>
          <w:bCs/>
          <w:sz w:val="24"/>
        </w:rPr>
        <w:t xml:space="preserve">d) A coordenação será executada por profissional cedido pela licitante com capacidade de exercer as funções necessárias na Unidade de Triagem de Resíduos. </w:t>
      </w:r>
    </w:p>
    <w:p>
      <w:pPr>
        <w:pStyle w:val="72"/>
        <w:numPr>
          <w:ilvl w:val="0"/>
          <w:numId w:val="0"/>
        </w:numPr>
        <w:spacing w:before="0" w:after="120"/>
        <w:ind w:right="240" w:rightChars="100"/>
        <w:rPr>
          <w:sz w:val="24"/>
        </w:rPr>
      </w:pPr>
      <w:r>
        <w:rPr>
          <w:sz w:val="24"/>
        </w:rPr>
        <w:t>10.5.2. Da execução do serviço:</w:t>
      </w:r>
    </w:p>
    <w:p>
      <w:pPr>
        <w:pStyle w:val="72"/>
        <w:numPr>
          <w:ilvl w:val="0"/>
          <w:numId w:val="0"/>
        </w:numPr>
        <w:spacing w:before="0" w:after="120"/>
        <w:ind w:right="240" w:rightChars="100"/>
        <w:rPr>
          <w:b w:val="0"/>
          <w:bCs/>
          <w:sz w:val="24"/>
        </w:rPr>
      </w:pPr>
      <w:r>
        <w:rPr>
          <w:b w:val="0"/>
          <w:bCs/>
          <w:sz w:val="24"/>
        </w:rPr>
        <w:t>a)  A empresa contratada deverá dispor de profissional habilitado com experiência técnica em implementação e coordenação de Unidade de Triagem de Resíduos e atender as demandas, bem como a realização coordenação futura da unidade.</w:t>
      </w:r>
    </w:p>
    <w:p>
      <w:pPr>
        <w:pStyle w:val="72"/>
        <w:numPr>
          <w:ilvl w:val="0"/>
          <w:numId w:val="0"/>
        </w:numPr>
        <w:spacing w:before="0" w:after="120"/>
        <w:ind w:right="240" w:rightChars="100"/>
        <w:rPr>
          <w:b w:val="0"/>
          <w:bCs/>
          <w:sz w:val="24"/>
        </w:rPr>
      </w:pPr>
      <w:r>
        <w:rPr>
          <w:b w:val="0"/>
          <w:bCs/>
          <w:sz w:val="24"/>
        </w:rPr>
        <w:t>10.5.4. DAS ESPECIFICAÇÕES GERAIS DOS SERVIÇOS</w:t>
      </w:r>
    </w:p>
    <w:p>
      <w:pPr>
        <w:pStyle w:val="72"/>
        <w:numPr>
          <w:ilvl w:val="0"/>
          <w:numId w:val="0"/>
        </w:numPr>
        <w:spacing w:before="0" w:after="120"/>
        <w:ind w:right="240" w:rightChars="100"/>
        <w:rPr>
          <w:b w:val="0"/>
          <w:bCs/>
          <w:sz w:val="24"/>
        </w:rPr>
      </w:pPr>
      <w:r>
        <w:rPr>
          <w:b w:val="0"/>
          <w:bCs/>
          <w:sz w:val="24"/>
        </w:rPr>
        <w:t>10.5.4.1. Os serviços especificados neste edital serão remunerados pela modalidade de EMPREITADA GLOBAL, devendo a empresa Contratada apresentar proposta com o menor custo total mensal.</w:t>
      </w:r>
    </w:p>
    <w:p>
      <w:pPr>
        <w:pStyle w:val="72"/>
        <w:numPr>
          <w:ilvl w:val="0"/>
          <w:numId w:val="0"/>
        </w:numPr>
        <w:spacing w:before="0" w:after="120"/>
        <w:ind w:right="240" w:rightChars="100"/>
        <w:rPr>
          <w:b w:val="0"/>
          <w:bCs/>
          <w:sz w:val="24"/>
        </w:rPr>
      </w:pPr>
      <w:r>
        <w:rPr>
          <w:b w:val="0"/>
          <w:bCs/>
          <w:sz w:val="24"/>
        </w:rPr>
        <w:t>10.5.4.2. A Contratada deverá atender integralmente as posturas Estaduais e Municipais, sendo de total responsabilidade da Contratada, qualquer ato, atitude ou ação cometida ou tomada pela mesma, diferente neste item estabelecido.</w:t>
      </w:r>
    </w:p>
    <w:p>
      <w:pPr>
        <w:pStyle w:val="72"/>
        <w:numPr>
          <w:ilvl w:val="0"/>
          <w:numId w:val="0"/>
        </w:numPr>
        <w:spacing w:before="0" w:after="120"/>
        <w:ind w:right="240" w:rightChars="100"/>
        <w:rPr>
          <w:b w:val="0"/>
          <w:bCs/>
          <w:sz w:val="24"/>
        </w:rPr>
      </w:pPr>
      <w:r>
        <w:rPr>
          <w:b w:val="0"/>
          <w:bCs/>
          <w:sz w:val="24"/>
        </w:rPr>
        <w:t>10.5.4.3. A emissão da ordem serviço será específica para cada um dos itens apresentados  do presente Termo de Referência.</w:t>
      </w:r>
    </w:p>
    <w:p>
      <w:pPr>
        <w:pStyle w:val="72"/>
        <w:numPr>
          <w:ilvl w:val="0"/>
          <w:numId w:val="0"/>
        </w:numPr>
        <w:spacing w:before="0" w:after="120"/>
        <w:ind w:right="240" w:rightChars="100"/>
        <w:rPr>
          <w:sz w:val="24"/>
        </w:rPr>
      </w:pPr>
      <w:r>
        <w:rPr>
          <w:sz w:val="24"/>
        </w:rPr>
        <w:t>10.6. DOS VEÍCULOS E EQUIPAMENTOS</w:t>
      </w:r>
    </w:p>
    <w:p>
      <w:pPr>
        <w:pStyle w:val="72"/>
        <w:numPr>
          <w:ilvl w:val="0"/>
          <w:numId w:val="0"/>
        </w:numPr>
        <w:spacing w:before="0" w:after="120"/>
        <w:ind w:right="240" w:rightChars="100"/>
        <w:rPr>
          <w:b w:val="0"/>
          <w:bCs/>
          <w:sz w:val="24"/>
        </w:rPr>
      </w:pPr>
      <w:r>
        <w:rPr>
          <w:b w:val="0"/>
          <w:bCs/>
          <w:sz w:val="24"/>
        </w:rPr>
        <w:t>a) Os equipamentos coletores, compactadores, ao longo do contrato, devem apresentar se em ótimas condições de operação e estanques, com ano de fabricação não inferior a 2021, evitando possível vazamento dos líquidos gerados pela compactação.</w:t>
      </w:r>
    </w:p>
    <w:p>
      <w:pPr>
        <w:pStyle w:val="72"/>
        <w:numPr>
          <w:ilvl w:val="0"/>
          <w:numId w:val="0"/>
        </w:numPr>
        <w:spacing w:before="0" w:after="120"/>
        <w:ind w:right="240" w:rightChars="100"/>
        <w:rPr>
          <w:b w:val="0"/>
          <w:bCs/>
          <w:sz w:val="24"/>
        </w:rPr>
      </w:pPr>
      <w:r>
        <w:rPr>
          <w:b w:val="0"/>
          <w:bCs/>
          <w:sz w:val="24"/>
        </w:rPr>
        <w:t>b) O transporte deverá ser efetuado em conformidade as disposições do Código Brasileiro de Trânsito, e qualquer irregularidade serão de inteira responsabilidade do licitante.</w:t>
      </w:r>
    </w:p>
    <w:p>
      <w:pPr>
        <w:pStyle w:val="72"/>
        <w:numPr>
          <w:ilvl w:val="0"/>
          <w:numId w:val="0"/>
        </w:numPr>
        <w:spacing w:before="0" w:after="120"/>
        <w:ind w:right="240" w:rightChars="100"/>
        <w:rPr>
          <w:b w:val="0"/>
          <w:bCs/>
          <w:sz w:val="24"/>
        </w:rPr>
      </w:pPr>
      <w:r>
        <w:rPr>
          <w:b w:val="0"/>
          <w:bCs/>
          <w:sz w:val="24"/>
        </w:rPr>
        <w:t>c) Os Veículos deverão ser mantidos em perfeitas condições de operação, licenciado pelo DETRAN e obedecendo as normas municipais e estaduais, inclusive o veículo reserva.</w:t>
      </w:r>
    </w:p>
    <w:p>
      <w:pPr>
        <w:pStyle w:val="72"/>
        <w:numPr>
          <w:ilvl w:val="0"/>
          <w:numId w:val="0"/>
        </w:numPr>
        <w:spacing w:before="0" w:after="120"/>
        <w:ind w:right="240" w:rightChars="100"/>
        <w:rPr>
          <w:b w:val="0"/>
          <w:bCs/>
          <w:sz w:val="24"/>
        </w:rPr>
      </w:pPr>
      <w:r>
        <w:rPr>
          <w:b w:val="0"/>
          <w:bCs/>
          <w:sz w:val="24"/>
        </w:rPr>
        <w:t>d) Não será permitida a exploração de publicidade nos veículos e equipamentos ou nos uniformes dos empregados envolvidos na execução dos serviços.</w:t>
      </w:r>
    </w:p>
    <w:p>
      <w:pPr>
        <w:pStyle w:val="72"/>
        <w:numPr>
          <w:ilvl w:val="0"/>
          <w:numId w:val="0"/>
        </w:numPr>
        <w:spacing w:before="0" w:after="120"/>
        <w:ind w:right="240" w:rightChars="100"/>
        <w:rPr>
          <w:b w:val="0"/>
          <w:bCs/>
          <w:sz w:val="24"/>
        </w:rPr>
      </w:pPr>
      <w:r>
        <w:rPr>
          <w:b w:val="0"/>
          <w:bCs/>
          <w:sz w:val="24"/>
        </w:rPr>
        <w:t>e) O Município poderá, a qualquer momento, exigir a troca de veículo ou equipamento que não seja adequado às exigências dos serviços.</w:t>
      </w:r>
    </w:p>
    <w:p>
      <w:pPr>
        <w:pStyle w:val="72"/>
        <w:numPr>
          <w:ilvl w:val="0"/>
          <w:numId w:val="0"/>
        </w:numPr>
        <w:spacing w:before="0" w:after="120"/>
        <w:ind w:right="240" w:rightChars="100"/>
        <w:rPr>
          <w:b w:val="0"/>
          <w:bCs/>
          <w:sz w:val="24"/>
        </w:rPr>
      </w:pPr>
      <w:r>
        <w:rPr>
          <w:b w:val="0"/>
          <w:bCs/>
          <w:sz w:val="24"/>
        </w:rPr>
        <w:t>f) A manutenção dos veículos e equipamentos correrá por conta da contratada.</w:t>
      </w:r>
    </w:p>
    <w:p>
      <w:pPr>
        <w:pStyle w:val="72"/>
        <w:numPr>
          <w:ilvl w:val="0"/>
          <w:numId w:val="0"/>
        </w:numPr>
        <w:spacing w:before="0" w:after="120"/>
        <w:ind w:right="240" w:rightChars="100"/>
        <w:rPr>
          <w:b w:val="0"/>
          <w:bCs/>
          <w:sz w:val="24"/>
        </w:rPr>
      </w:pPr>
      <w:r>
        <w:rPr>
          <w:b w:val="0"/>
          <w:bCs/>
          <w:sz w:val="24"/>
        </w:rPr>
        <w:t>g) Os veículos e equipamentos utilizados para cumprir o contrato deverão estar em bom estado de conservação, ficando a empresa contratada com o compromisso de disponibilizar veículo sempre nos dias e horários definidos pela contratante, não se admitindo a não prestação dos serviços por problemas técnicos, mecânicos ou de qualquer outra espécie, ficando a contratada em caso de descumprimento, sujeita as penalidades previstas no Edital.</w:t>
      </w:r>
    </w:p>
    <w:p>
      <w:pPr>
        <w:pStyle w:val="72"/>
        <w:numPr>
          <w:ilvl w:val="0"/>
          <w:numId w:val="0"/>
        </w:numPr>
        <w:spacing w:before="0" w:after="120"/>
        <w:ind w:right="240" w:rightChars="100"/>
        <w:rPr>
          <w:b w:val="0"/>
          <w:bCs/>
          <w:sz w:val="24"/>
        </w:rPr>
      </w:pPr>
      <w:r>
        <w:rPr>
          <w:b w:val="0"/>
          <w:bCs/>
          <w:sz w:val="24"/>
        </w:rPr>
        <w:t>h)  A contratada deverá fornecer veículo próprio para fiscalização dos serviços</w:t>
      </w:r>
    </w:p>
    <w:p>
      <w:pPr>
        <w:pStyle w:val="72"/>
        <w:numPr>
          <w:ilvl w:val="0"/>
          <w:numId w:val="0"/>
        </w:numPr>
        <w:spacing w:before="0" w:after="120"/>
        <w:ind w:right="240" w:rightChars="100"/>
        <w:rPr>
          <w:b w:val="0"/>
          <w:bCs/>
          <w:sz w:val="24"/>
        </w:rPr>
      </w:pPr>
      <w:r>
        <w:rPr>
          <w:b w:val="0"/>
          <w:bCs/>
          <w:sz w:val="24"/>
        </w:rPr>
        <w:t xml:space="preserve"> i) A Contratada deverá manter os veículos em perfeitas condições de funcionamento, estendendo-se também essa obrigatoriedade aos veículos reserva, constituindo obrigação contratual a lavagem das caçambas com solução detergente e manutenção da pintura em perfeito estado de conservação.</w:t>
      </w:r>
    </w:p>
    <w:p>
      <w:pPr>
        <w:pStyle w:val="72"/>
        <w:numPr>
          <w:ilvl w:val="0"/>
          <w:numId w:val="0"/>
        </w:numPr>
        <w:spacing w:before="0" w:after="120"/>
        <w:ind w:right="240" w:rightChars="100"/>
        <w:rPr>
          <w:b w:val="0"/>
          <w:bCs/>
          <w:sz w:val="24"/>
        </w:rPr>
      </w:pPr>
      <w:r>
        <w:rPr>
          <w:b w:val="0"/>
          <w:bCs/>
          <w:sz w:val="24"/>
        </w:rPr>
        <w:t xml:space="preserve"> j) Os veículos a serem utilizados pela Contratada para a realização do serviço deverão estar eis para uso no prazo máximo de 3 (três) dias úteis a contar da emissão do laudo de vistoria.</w:t>
      </w:r>
    </w:p>
    <w:p>
      <w:pPr>
        <w:pStyle w:val="72"/>
        <w:numPr>
          <w:ilvl w:val="0"/>
          <w:numId w:val="0"/>
        </w:numPr>
        <w:spacing w:before="0" w:after="120"/>
        <w:ind w:right="240" w:rightChars="100"/>
        <w:rPr>
          <w:b w:val="0"/>
          <w:bCs/>
          <w:sz w:val="24"/>
        </w:rPr>
      </w:pPr>
      <w:r>
        <w:rPr>
          <w:b w:val="0"/>
          <w:bCs/>
          <w:sz w:val="24"/>
        </w:rPr>
        <w:t xml:space="preserve"> k) Os veículos devem trazer além das placas regulamentadas, os sinalizadores visuais sobre os equipamentos, adequando à legislação específica vigente no país.</w:t>
      </w:r>
    </w:p>
    <w:p>
      <w:pPr>
        <w:pStyle w:val="72"/>
        <w:numPr>
          <w:ilvl w:val="0"/>
          <w:numId w:val="0"/>
        </w:numPr>
        <w:spacing w:before="0" w:after="120"/>
        <w:ind w:right="240" w:rightChars="100"/>
        <w:rPr>
          <w:b w:val="0"/>
          <w:bCs/>
          <w:sz w:val="24"/>
        </w:rPr>
      </w:pPr>
      <w:r>
        <w:rPr>
          <w:b w:val="0"/>
          <w:bCs/>
          <w:sz w:val="24"/>
        </w:rPr>
        <w:t xml:space="preserve"> l) Os veículos utilizados nos serviços deverão respeitar os limites de velocidade estabelecidos em lei, fontes sonoras e emissão de poluentes, e utilizar os equipamentos e instrumentos determinados pelo Código de Trânsito Brasileiro – CTB.</w:t>
      </w:r>
    </w:p>
    <w:p>
      <w:pPr>
        <w:pStyle w:val="72"/>
        <w:numPr>
          <w:ilvl w:val="0"/>
          <w:numId w:val="0"/>
        </w:numPr>
        <w:spacing w:before="0" w:after="120"/>
        <w:ind w:right="240" w:rightChars="100"/>
        <w:rPr>
          <w:b w:val="0"/>
          <w:bCs/>
          <w:sz w:val="24"/>
        </w:rPr>
      </w:pPr>
      <w:r>
        <w:rPr>
          <w:b w:val="0"/>
          <w:bCs/>
          <w:sz w:val="24"/>
        </w:rPr>
        <w:t xml:space="preserve"> m) A Contratante poderá a qualquer momento, exigir a troca dos veículos e equipamentos que não estejam adequados às exigências dos serviços, devidamente justificados.</w:t>
      </w:r>
    </w:p>
    <w:p>
      <w:pPr>
        <w:pStyle w:val="72"/>
        <w:numPr>
          <w:ilvl w:val="0"/>
          <w:numId w:val="0"/>
        </w:numPr>
        <w:spacing w:before="0" w:after="120"/>
        <w:ind w:right="240" w:rightChars="100"/>
        <w:rPr>
          <w:b w:val="0"/>
          <w:bCs/>
          <w:sz w:val="24"/>
        </w:rPr>
      </w:pPr>
      <w:r>
        <w:rPr>
          <w:b w:val="0"/>
          <w:bCs/>
          <w:sz w:val="24"/>
        </w:rPr>
        <w:t>n)  A manutenção dos eventuais problemas mecânicos nos veículos, sejam corretivas ou preventivas, são de responsabilidade da Contratada;</w:t>
      </w:r>
    </w:p>
    <w:p>
      <w:pPr>
        <w:pStyle w:val="72"/>
        <w:numPr>
          <w:ilvl w:val="0"/>
          <w:numId w:val="0"/>
        </w:numPr>
        <w:spacing w:before="0" w:after="120"/>
        <w:ind w:right="240" w:rightChars="100"/>
        <w:rPr>
          <w:b w:val="0"/>
          <w:bCs/>
          <w:sz w:val="24"/>
        </w:rPr>
      </w:pPr>
      <w:r>
        <w:rPr>
          <w:b w:val="0"/>
          <w:bCs/>
          <w:sz w:val="24"/>
        </w:rPr>
        <w:t>o) No caso de manutenção dos veículos, a Contratada garantirá a execução do serviço conforme roteiro, sempre garantido que não haja transtornos a Contratante e a população.</w:t>
      </w:r>
    </w:p>
    <w:p>
      <w:pPr>
        <w:pStyle w:val="72"/>
        <w:numPr>
          <w:ilvl w:val="0"/>
          <w:numId w:val="0"/>
        </w:numPr>
        <w:spacing w:before="0" w:after="120"/>
        <w:ind w:right="240" w:rightChars="100"/>
        <w:rPr>
          <w:b w:val="0"/>
          <w:bCs/>
          <w:sz w:val="24"/>
        </w:rPr>
      </w:pPr>
      <w:r>
        <w:rPr>
          <w:b w:val="0"/>
          <w:bCs/>
          <w:sz w:val="24"/>
        </w:rPr>
        <w:t>p) Os veículos e equipamentos destinados à execução desse objeto deverão ser de uso exclusivo a prestação dos serviços.</w:t>
      </w:r>
    </w:p>
    <w:p>
      <w:pPr>
        <w:pStyle w:val="72"/>
        <w:numPr>
          <w:ilvl w:val="0"/>
          <w:numId w:val="0"/>
        </w:numPr>
        <w:spacing w:before="0" w:after="120"/>
        <w:ind w:right="240" w:rightChars="100"/>
        <w:rPr>
          <w:b w:val="0"/>
          <w:bCs/>
          <w:sz w:val="24"/>
        </w:rPr>
      </w:pPr>
      <w:r>
        <w:rPr>
          <w:b w:val="0"/>
          <w:bCs/>
          <w:sz w:val="24"/>
        </w:rPr>
        <w:t xml:space="preserve"> q) Todas as despesas com combustíveis, óleos lubrificantes, manutenção e demais ações referentes aos veículos e equipamentos, serão de responsabilidade da Contratada.</w:t>
      </w:r>
    </w:p>
    <w:p>
      <w:pPr>
        <w:pStyle w:val="72"/>
        <w:numPr>
          <w:ilvl w:val="0"/>
          <w:numId w:val="0"/>
        </w:numPr>
        <w:spacing w:before="0" w:after="120"/>
        <w:ind w:right="240" w:rightChars="100"/>
        <w:rPr>
          <w:b w:val="0"/>
          <w:bCs/>
          <w:sz w:val="24"/>
        </w:rPr>
      </w:pPr>
      <w:r>
        <w:rPr>
          <w:b w:val="0"/>
          <w:bCs/>
          <w:sz w:val="24"/>
        </w:rPr>
        <w:t xml:space="preserve"> r) A Contratada deverá providenciar a Licença Ambiental para a atividade, expedida pelo órgão ambiental competente.</w:t>
      </w:r>
    </w:p>
    <w:p>
      <w:pPr>
        <w:pStyle w:val="72"/>
        <w:numPr>
          <w:ilvl w:val="0"/>
          <w:numId w:val="0"/>
        </w:numPr>
        <w:spacing w:before="0" w:after="120"/>
        <w:ind w:right="240" w:rightChars="100"/>
        <w:rPr>
          <w:b w:val="0"/>
          <w:bCs/>
          <w:sz w:val="24"/>
        </w:rPr>
      </w:pPr>
      <w:r>
        <w:rPr>
          <w:b w:val="0"/>
          <w:bCs/>
          <w:sz w:val="24"/>
        </w:rPr>
        <w:t xml:space="preserve">s) A Contratada não poderá, em hipótese alguma, interromper os serviços por motivo de quebra ou falta de veículo/equipamento, devendo providenciar a imediata reposição do mesmo. </w:t>
      </w:r>
    </w:p>
    <w:p>
      <w:pPr>
        <w:pStyle w:val="72"/>
        <w:numPr>
          <w:ilvl w:val="0"/>
          <w:numId w:val="0"/>
        </w:numPr>
        <w:spacing w:before="0" w:after="120"/>
        <w:ind w:right="240" w:rightChars="100"/>
        <w:rPr>
          <w:sz w:val="24"/>
        </w:rPr>
      </w:pPr>
      <w:r>
        <w:rPr>
          <w:sz w:val="24"/>
        </w:rPr>
        <w:t>10.7. DA MÃO-DE-OBRA</w:t>
      </w:r>
    </w:p>
    <w:p>
      <w:pPr>
        <w:pStyle w:val="72"/>
        <w:numPr>
          <w:ilvl w:val="0"/>
          <w:numId w:val="0"/>
        </w:numPr>
        <w:spacing w:before="0" w:after="120"/>
        <w:ind w:right="240" w:rightChars="100"/>
        <w:rPr>
          <w:b w:val="0"/>
          <w:bCs/>
          <w:sz w:val="24"/>
        </w:rPr>
      </w:pPr>
      <w:r>
        <w:rPr>
          <w:b w:val="0"/>
          <w:bCs/>
          <w:sz w:val="24"/>
        </w:rPr>
        <w:t>a) Será de inteira responsabilidade da proponente a admissão de mão-de-obra necessária ao desempenho dos serviços contratados, correndo por sua conta, também, os encargos necessários e demais exigências das leis trabalhistas, previdenciárias, fiscais, comerciais e outras de qualquer natureza, respondendo a proponente pelos danos causados por seus empregados, auxiliares e prepostos, ao patrimônio público ou a outrem.</w:t>
      </w:r>
    </w:p>
    <w:p>
      <w:pPr>
        <w:pStyle w:val="72"/>
        <w:numPr>
          <w:ilvl w:val="0"/>
          <w:numId w:val="0"/>
        </w:numPr>
        <w:spacing w:before="0" w:after="120"/>
        <w:ind w:right="240" w:rightChars="100"/>
        <w:rPr>
          <w:b w:val="0"/>
          <w:bCs/>
          <w:sz w:val="24"/>
        </w:rPr>
      </w:pPr>
      <w:r>
        <w:rPr>
          <w:b w:val="0"/>
          <w:bCs/>
          <w:sz w:val="24"/>
        </w:rPr>
        <w:t>b) São de responsabilidade da Contratada a admissão de motoristas, mecânicos, fiscais, encarregados, serventes, funcionários administrativos e demais profissionais necessários a execução do serviço.</w:t>
      </w:r>
    </w:p>
    <w:p>
      <w:pPr>
        <w:pStyle w:val="72"/>
        <w:numPr>
          <w:ilvl w:val="0"/>
          <w:numId w:val="0"/>
        </w:numPr>
        <w:spacing w:before="0" w:after="120"/>
        <w:ind w:right="240" w:rightChars="100"/>
        <w:rPr>
          <w:b w:val="0"/>
          <w:bCs/>
          <w:sz w:val="24"/>
        </w:rPr>
      </w:pPr>
      <w:r>
        <w:rPr>
          <w:b w:val="0"/>
          <w:bCs/>
          <w:sz w:val="24"/>
        </w:rPr>
        <w:t>c) São de responsabilidade da Contratada fornecer seguros, uniformes, vestuários, aquisição e uso de EPIs – Equipamentos de Proteção Individual e demais exigências das leis trabalhistas.</w:t>
      </w:r>
    </w:p>
    <w:p>
      <w:pPr>
        <w:pStyle w:val="72"/>
        <w:numPr>
          <w:ilvl w:val="0"/>
          <w:numId w:val="0"/>
        </w:numPr>
        <w:spacing w:before="0" w:after="120"/>
        <w:ind w:right="240" w:rightChars="100"/>
        <w:rPr>
          <w:b w:val="0"/>
          <w:bCs/>
          <w:sz w:val="24"/>
        </w:rPr>
      </w:pPr>
      <w:r>
        <w:rPr>
          <w:b w:val="0"/>
          <w:bCs/>
          <w:sz w:val="24"/>
        </w:rPr>
        <w:t xml:space="preserve"> d) A Contratada deverá realizar treinamento contínuo do pessoal envolvido nos serviços do presente edital.</w:t>
      </w:r>
    </w:p>
    <w:p>
      <w:pPr>
        <w:pStyle w:val="72"/>
        <w:numPr>
          <w:ilvl w:val="0"/>
          <w:numId w:val="0"/>
        </w:numPr>
        <w:spacing w:before="0" w:after="120"/>
        <w:ind w:right="240" w:rightChars="100"/>
        <w:rPr>
          <w:b w:val="0"/>
          <w:bCs/>
          <w:sz w:val="24"/>
        </w:rPr>
      </w:pPr>
      <w:r>
        <w:rPr>
          <w:b w:val="0"/>
          <w:bCs/>
          <w:sz w:val="24"/>
        </w:rPr>
        <w:t xml:space="preserve">e) Todo pessoal a ser utilizado na execução de todos os serviços a serem executados são de responsabilidade da empresa Contratada. </w:t>
      </w:r>
    </w:p>
    <w:p>
      <w:pPr>
        <w:pStyle w:val="72"/>
        <w:numPr>
          <w:ilvl w:val="0"/>
          <w:numId w:val="0"/>
        </w:numPr>
        <w:spacing w:before="0" w:after="120"/>
        <w:ind w:right="240" w:rightChars="100"/>
        <w:rPr>
          <w:b w:val="0"/>
          <w:bCs/>
          <w:sz w:val="24"/>
        </w:rPr>
      </w:pPr>
      <w:r>
        <w:rPr>
          <w:b w:val="0"/>
          <w:bCs/>
          <w:sz w:val="24"/>
        </w:rPr>
        <w:t xml:space="preserve"> f) É de responsabilidade da Contratante a fiscalização dos serviços contratados, para isso deverá contratar um encarregado de equipe com experiência, o mesmo devera compor a planilha de custo detalhada.</w:t>
      </w:r>
    </w:p>
    <w:p>
      <w:pPr>
        <w:pStyle w:val="72"/>
        <w:numPr>
          <w:ilvl w:val="0"/>
          <w:numId w:val="0"/>
        </w:numPr>
        <w:spacing w:before="0" w:after="120"/>
        <w:ind w:right="240" w:rightChars="100"/>
        <w:rPr>
          <w:b w:val="0"/>
          <w:bCs/>
          <w:sz w:val="24"/>
        </w:rPr>
      </w:pPr>
      <w:r>
        <w:rPr>
          <w:b w:val="0"/>
          <w:bCs/>
          <w:sz w:val="24"/>
        </w:rPr>
        <w:t xml:space="preserve"> g) A fiscalização terá direito de exigir a substituição, a qual deverá ser realizada dentro de 48 (quarenta e oito) horas, de todo empregado cuja conduta seja prejudicial ao bom andamento do serviço.</w:t>
      </w:r>
    </w:p>
    <w:p>
      <w:pPr>
        <w:pStyle w:val="72"/>
        <w:numPr>
          <w:ilvl w:val="0"/>
          <w:numId w:val="0"/>
        </w:numPr>
        <w:spacing w:before="0" w:after="120"/>
        <w:ind w:right="240" w:rightChars="100"/>
        <w:rPr>
          <w:b w:val="0"/>
          <w:bCs/>
          <w:sz w:val="24"/>
        </w:rPr>
      </w:pPr>
      <w:r>
        <w:rPr>
          <w:b w:val="0"/>
          <w:bCs/>
          <w:sz w:val="24"/>
        </w:rPr>
        <w:t xml:space="preserve"> h) A responsabilidade pela ação ou omissão dos empregados será de inteira responsabilidade da Contratada.</w:t>
      </w:r>
    </w:p>
    <w:p>
      <w:pPr>
        <w:pStyle w:val="72"/>
        <w:numPr>
          <w:ilvl w:val="0"/>
          <w:numId w:val="0"/>
        </w:numPr>
        <w:spacing w:before="0" w:after="120"/>
        <w:ind w:right="240" w:rightChars="100"/>
        <w:rPr>
          <w:b w:val="0"/>
          <w:bCs/>
          <w:sz w:val="24"/>
        </w:rPr>
      </w:pPr>
      <w:r>
        <w:rPr>
          <w:b w:val="0"/>
          <w:bCs/>
          <w:sz w:val="24"/>
        </w:rPr>
        <w:t>i) A guarnição (conjunto de trabalhadores lotados num veículo coletor, envolvidos nas atividades de coleta de resíduos sólidos) deverá apresentar-se uniformizada, de acordo com as normas de segurança do trabalho pertinentes.</w:t>
      </w:r>
    </w:p>
    <w:p>
      <w:pPr>
        <w:pStyle w:val="72"/>
        <w:numPr>
          <w:ilvl w:val="0"/>
          <w:numId w:val="0"/>
        </w:numPr>
        <w:spacing w:before="0" w:after="120"/>
        <w:ind w:right="240" w:rightChars="100"/>
        <w:rPr>
          <w:b w:val="0"/>
          <w:bCs/>
          <w:sz w:val="24"/>
        </w:rPr>
      </w:pPr>
      <w:r>
        <w:rPr>
          <w:b w:val="0"/>
          <w:bCs/>
          <w:sz w:val="24"/>
        </w:rPr>
        <w:t>j) Os coletores deverão, obrigatoriamente, receber e utilizar os equipamentos de proteção individual, conforme descrição que segue:</w:t>
      </w:r>
    </w:p>
    <w:p>
      <w:pPr>
        <w:pStyle w:val="72"/>
        <w:numPr>
          <w:ilvl w:val="0"/>
          <w:numId w:val="0"/>
        </w:numPr>
        <w:spacing w:before="0" w:after="120"/>
        <w:ind w:right="240" w:rightChars="100"/>
        <w:rPr>
          <w:b w:val="0"/>
          <w:bCs/>
          <w:sz w:val="24"/>
        </w:rPr>
      </w:pPr>
      <w:r>
        <w:rPr>
          <w:b w:val="0"/>
          <w:bCs/>
          <w:sz w:val="24"/>
        </w:rPr>
        <w:t>- Uniforme: composto de calça comprida e camisa de manga comprida em tecido resistente, em cor e identificação acordadas entre as partes;</w:t>
      </w:r>
    </w:p>
    <w:p>
      <w:pPr>
        <w:pStyle w:val="72"/>
        <w:numPr>
          <w:ilvl w:val="0"/>
          <w:numId w:val="0"/>
        </w:numPr>
        <w:spacing w:before="0" w:after="120"/>
        <w:ind w:right="240" w:rightChars="100"/>
        <w:rPr>
          <w:b w:val="0"/>
          <w:bCs/>
          <w:sz w:val="24"/>
        </w:rPr>
      </w:pPr>
      <w:r>
        <w:rPr>
          <w:b w:val="0"/>
          <w:bCs/>
          <w:sz w:val="24"/>
        </w:rPr>
        <w:t>- Luvas de raspa de cano curto;</w:t>
      </w:r>
    </w:p>
    <w:p>
      <w:pPr>
        <w:pStyle w:val="72"/>
        <w:numPr>
          <w:ilvl w:val="0"/>
          <w:numId w:val="0"/>
        </w:numPr>
        <w:spacing w:before="0" w:after="120"/>
        <w:ind w:right="240" w:rightChars="100"/>
        <w:rPr>
          <w:b w:val="0"/>
          <w:bCs/>
          <w:sz w:val="24"/>
        </w:rPr>
      </w:pPr>
      <w:r>
        <w:rPr>
          <w:b w:val="0"/>
          <w:bCs/>
          <w:sz w:val="24"/>
        </w:rPr>
        <w:t>- Calçado com solado antiderrapante;</w:t>
      </w:r>
    </w:p>
    <w:p>
      <w:pPr>
        <w:pStyle w:val="72"/>
        <w:numPr>
          <w:ilvl w:val="0"/>
          <w:numId w:val="0"/>
        </w:numPr>
        <w:spacing w:before="0" w:after="120"/>
        <w:ind w:right="240" w:rightChars="100"/>
        <w:rPr>
          <w:b w:val="0"/>
          <w:bCs/>
          <w:sz w:val="24"/>
        </w:rPr>
      </w:pPr>
      <w:r>
        <w:rPr>
          <w:b w:val="0"/>
          <w:bCs/>
          <w:sz w:val="24"/>
        </w:rPr>
        <w:t>- Boné bico-de-pato, na cor padrão da empresa;</w:t>
      </w:r>
    </w:p>
    <w:p>
      <w:pPr>
        <w:pStyle w:val="72"/>
        <w:numPr>
          <w:ilvl w:val="0"/>
          <w:numId w:val="0"/>
        </w:numPr>
        <w:spacing w:before="0" w:after="120"/>
        <w:ind w:right="240" w:rightChars="100"/>
        <w:rPr>
          <w:b w:val="0"/>
          <w:bCs/>
          <w:sz w:val="24"/>
        </w:rPr>
      </w:pPr>
      <w:r>
        <w:rPr>
          <w:b w:val="0"/>
          <w:bCs/>
          <w:sz w:val="24"/>
        </w:rPr>
        <w:t>- Touca árabe;</w:t>
      </w:r>
    </w:p>
    <w:p>
      <w:pPr>
        <w:pStyle w:val="72"/>
        <w:numPr>
          <w:ilvl w:val="0"/>
          <w:numId w:val="0"/>
        </w:numPr>
        <w:spacing w:before="0" w:after="120"/>
        <w:ind w:right="240" w:rightChars="100"/>
        <w:rPr>
          <w:b w:val="0"/>
          <w:bCs/>
          <w:sz w:val="24"/>
        </w:rPr>
      </w:pPr>
      <w:r>
        <w:rPr>
          <w:b w:val="0"/>
          <w:bCs/>
          <w:sz w:val="24"/>
        </w:rPr>
        <w:t>- Colete ou tiras refletivas;</w:t>
      </w:r>
    </w:p>
    <w:p>
      <w:pPr>
        <w:pStyle w:val="72"/>
        <w:numPr>
          <w:ilvl w:val="0"/>
          <w:numId w:val="0"/>
        </w:numPr>
        <w:spacing w:before="0" w:after="120"/>
        <w:ind w:right="240" w:rightChars="100"/>
        <w:rPr>
          <w:b w:val="0"/>
          <w:bCs/>
          <w:sz w:val="24"/>
        </w:rPr>
      </w:pPr>
      <w:r>
        <w:rPr>
          <w:b w:val="0"/>
          <w:bCs/>
          <w:sz w:val="24"/>
        </w:rPr>
        <w:t>- Capa de chuva;</w:t>
      </w:r>
    </w:p>
    <w:p>
      <w:pPr>
        <w:pStyle w:val="72"/>
        <w:numPr>
          <w:ilvl w:val="0"/>
          <w:numId w:val="0"/>
        </w:numPr>
        <w:spacing w:before="0" w:after="120"/>
        <w:ind w:right="240" w:rightChars="100"/>
        <w:rPr>
          <w:b w:val="0"/>
          <w:bCs/>
          <w:sz w:val="24"/>
        </w:rPr>
      </w:pPr>
      <w:r>
        <w:rPr>
          <w:b w:val="0"/>
          <w:bCs/>
          <w:sz w:val="24"/>
        </w:rPr>
        <w:t>- Protetor solar;</w:t>
      </w:r>
    </w:p>
    <w:p>
      <w:pPr>
        <w:pStyle w:val="72"/>
        <w:numPr>
          <w:ilvl w:val="0"/>
          <w:numId w:val="0"/>
        </w:numPr>
        <w:spacing w:before="0" w:after="120"/>
        <w:ind w:right="240" w:rightChars="100"/>
        <w:rPr>
          <w:b w:val="0"/>
          <w:bCs/>
          <w:sz w:val="24"/>
        </w:rPr>
      </w:pPr>
      <w:r>
        <w:rPr>
          <w:b w:val="0"/>
          <w:bCs/>
          <w:sz w:val="24"/>
        </w:rPr>
        <w:t>- Máscara;</w:t>
      </w:r>
    </w:p>
    <w:p>
      <w:pPr>
        <w:pStyle w:val="72"/>
        <w:numPr>
          <w:ilvl w:val="0"/>
          <w:numId w:val="0"/>
        </w:numPr>
        <w:spacing w:before="0" w:after="120"/>
        <w:ind w:right="240" w:rightChars="100"/>
        <w:rPr>
          <w:b w:val="0"/>
          <w:bCs/>
          <w:sz w:val="24"/>
        </w:rPr>
      </w:pPr>
      <w:r>
        <w:rPr>
          <w:b w:val="0"/>
          <w:bCs/>
          <w:sz w:val="24"/>
        </w:rPr>
        <w:t>Qualquer outro equipamento que julgar necessário, em atendimento a legislação.</w:t>
      </w:r>
    </w:p>
    <w:p>
      <w:pPr>
        <w:pStyle w:val="72"/>
        <w:numPr>
          <w:ilvl w:val="0"/>
          <w:numId w:val="0"/>
        </w:numPr>
        <w:spacing w:before="0" w:after="120"/>
        <w:ind w:right="240" w:rightChars="100"/>
        <w:rPr>
          <w:b w:val="0"/>
          <w:bCs/>
          <w:sz w:val="24"/>
        </w:rPr>
      </w:pPr>
      <w:r>
        <w:rPr>
          <w:b w:val="0"/>
          <w:bCs/>
          <w:sz w:val="24"/>
        </w:rPr>
        <w:t>k) Os motoristas deverão, obrigatoriamente, receber e utilizar os equipamentos de proteção individual, conforme descrição que segue:</w:t>
      </w:r>
    </w:p>
    <w:p>
      <w:pPr>
        <w:pStyle w:val="72"/>
        <w:numPr>
          <w:ilvl w:val="0"/>
          <w:numId w:val="0"/>
        </w:numPr>
        <w:spacing w:before="0" w:after="120"/>
        <w:ind w:right="240" w:rightChars="100"/>
        <w:rPr>
          <w:b w:val="0"/>
          <w:bCs/>
          <w:sz w:val="24"/>
        </w:rPr>
      </w:pPr>
      <w:r>
        <w:rPr>
          <w:b w:val="0"/>
          <w:bCs/>
          <w:sz w:val="24"/>
        </w:rPr>
        <w:t>- Uniforme: composto de calça comprida e camisa de manga comprida ou curta em tecido resistente, em cor e identificação acordadas entre as partes;</w:t>
      </w:r>
    </w:p>
    <w:p>
      <w:pPr>
        <w:pStyle w:val="72"/>
        <w:numPr>
          <w:ilvl w:val="0"/>
          <w:numId w:val="0"/>
        </w:numPr>
        <w:spacing w:before="0" w:after="120"/>
        <w:ind w:right="240" w:rightChars="100"/>
        <w:rPr>
          <w:b w:val="0"/>
          <w:bCs/>
          <w:sz w:val="24"/>
        </w:rPr>
      </w:pPr>
      <w:r>
        <w:rPr>
          <w:b w:val="0"/>
          <w:bCs/>
          <w:sz w:val="24"/>
        </w:rPr>
        <w:t>- Calçado com solado antiderrapante;</w:t>
      </w:r>
    </w:p>
    <w:p>
      <w:pPr>
        <w:pStyle w:val="72"/>
        <w:numPr>
          <w:ilvl w:val="0"/>
          <w:numId w:val="0"/>
        </w:numPr>
        <w:spacing w:before="0" w:after="120"/>
        <w:ind w:right="240" w:rightChars="100"/>
        <w:rPr>
          <w:b w:val="0"/>
          <w:bCs/>
          <w:sz w:val="24"/>
        </w:rPr>
      </w:pPr>
      <w:r>
        <w:rPr>
          <w:b w:val="0"/>
          <w:bCs/>
          <w:sz w:val="24"/>
        </w:rPr>
        <w:t>- Boné bico-de-pato, na cor padrão da empresa;</w:t>
      </w:r>
    </w:p>
    <w:p>
      <w:pPr>
        <w:pStyle w:val="72"/>
        <w:numPr>
          <w:ilvl w:val="0"/>
          <w:numId w:val="0"/>
        </w:numPr>
        <w:spacing w:before="0" w:after="120"/>
        <w:ind w:right="240" w:rightChars="100"/>
        <w:rPr>
          <w:b w:val="0"/>
          <w:bCs/>
          <w:sz w:val="24"/>
        </w:rPr>
      </w:pPr>
      <w:r>
        <w:rPr>
          <w:b w:val="0"/>
          <w:bCs/>
          <w:sz w:val="24"/>
        </w:rPr>
        <w:t>- Protetor solar;</w:t>
      </w:r>
    </w:p>
    <w:p>
      <w:pPr>
        <w:pStyle w:val="72"/>
        <w:numPr>
          <w:ilvl w:val="0"/>
          <w:numId w:val="0"/>
        </w:numPr>
        <w:spacing w:before="0" w:after="120"/>
        <w:ind w:right="240" w:rightChars="100"/>
        <w:rPr>
          <w:b w:val="0"/>
          <w:bCs/>
          <w:sz w:val="24"/>
        </w:rPr>
      </w:pPr>
      <w:r>
        <w:rPr>
          <w:b w:val="0"/>
          <w:bCs/>
          <w:sz w:val="24"/>
        </w:rPr>
        <w:t>- Máscara;</w:t>
      </w:r>
    </w:p>
    <w:p>
      <w:pPr>
        <w:pStyle w:val="72"/>
        <w:numPr>
          <w:ilvl w:val="0"/>
          <w:numId w:val="0"/>
        </w:numPr>
        <w:spacing w:before="0" w:after="120"/>
        <w:ind w:right="240" w:rightChars="100"/>
        <w:rPr>
          <w:b w:val="0"/>
          <w:bCs/>
          <w:sz w:val="24"/>
        </w:rPr>
      </w:pPr>
      <w:r>
        <w:rPr>
          <w:b w:val="0"/>
          <w:bCs/>
          <w:sz w:val="24"/>
        </w:rPr>
        <w:t>Qualquer outro equipamento que julgar necessário, em atendimento a legislação.</w:t>
      </w:r>
    </w:p>
    <w:p>
      <w:pPr>
        <w:pStyle w:val="72"/>
        <w:numPr>
          <w:ilvl w:val="0"/>
          <w:numId w:val="0"/>
        </w:numPr>
        <w:spacing w:before="0" w:after="120"/>
        <w:ind w:right="240" w:rightChars="100"/>
        <w:rPr>
          <w:b w:val="0"/>
          <w:bCs/>
          <w:sz w:val="24"/>
        </w:rPr>
      </w:pPr>
      <w:r>
        <w:rPr>
          <w:b w:val="0"/>
          <w:bCs/>
          <w:sz w:val="24"/>
        </w:rPr>
        <w:t>l) A Contratada deverá acatar as condições de trabalho, salários e benefícios acordados nas convenções coletivas de trabalho do sindicato que representa as categorias.</w:t>
      </w:r>
    </w:p>
    <w:p>
      <w:pPr>
        <w:pStyle w:val="72"/>
        <w:numPr>
          <w:ilvl w:val="0"/>
          <w:numId w:val="0"/>
        </w:numPr>
        <w:spacing w:before="0" w:after="120"/>
        <w:ind w:right="240" w:rightChars="100"/>
        <w:rPr>
          <w:b w:val="0"/>
          <w:bCs/>
          <w:sz w:val="24"/>
        </w:rPr>
      </w:pPr>
      <w:r>
        <w:rPr>
          <w:b w:val="0"/>
          <w:bCs/>
          <w:sz w:val="24"/>
        </w:rPr>
        <w:t>m)  A Contratada deverá ter em seu quadro funcional, ou contrato administrativo, 01 (um) responsável técnico, com atribuições para as áreas de saneamento e meio ambiente, que será o responsável técnico junto aos órgãos ambientais referente à execução do serviço.</w:t>
      </w:r>
    </w:p>
    <w:p>
      <w:pPr>
        <w:pStyle w:val="72"/>
        <w:numPr>
          <w:ilvl w:val="0"/>
          <w:numId w:val="0"/>
        </w:numPr>
        <w:spacing w:before="0" w:after="120"/>
        <w:ind w:right="240" w:rightChars="100"/>
        <w:rPr>
          <w:b w:val="0"/>
          <w:bCs/>
          <w:sz w:val="24"/>
        </w:rPr>
      </w:pPr>
      <w:r>
        <w:rPr>
          <w:b w:val="0"/>
          <w:bCs/>
          <w:sz w:val="24"/>
        </w:rPr>
        <w:t xml:space="preserve"> n) O profissional técnico deverá imitir ART – Anotação de Responsabilidade Técnica, dos serviços pertinentes ao serviço.</w:t>
      </w:r>
    </w:p>
    <w:p>
      <w:pPr>
        <w:pStyle w:val="72"/>
        <w:numPr>
          <w:ilvl w:val="0"/>
          <w:numId w:val="0"/>
        </w:numPr>
        <w:spacing w:before="0" w:after="120"/>
        <w:ind w:right="240" w:rightChars="100"/>
        <w:rPr>
          <w:b w:val="0"/>
          <w:bCs/>
          <w:sz w:val="24"/>
        </w:rPr>
      </w:pPr>
      <w:r>
        <w:rPr>
          <w:b w:val="0"/>
          <w:bCs/>
          <w:sz w:val="24"/>
        </w:rPr>
        <w:t>o) Possuir um encarregado responsável por todo o cronograma e qualidade dos serviços prestados.</w:t>
      </w:r>
    </w:p>
    <w:p>
      <w:pPr>
        <w:pStyle w:val="72"/>
        <w:numPr>
          <w:ilvl w:val="0"/>
          <w:numId w:val="0"/>
        </w:numPr>
        <w:spacing w:before="0" w:after="120"/>
        <w:ind w:right="240" w:rightChars="100"/>
        <w:rPr>
          <w:b w:val="0"/>
          <w:bCs/>
          <w:sz w:val="24"/>
        </w:rPr>
      </w:pPr>
      <w:r>
        <w:rPr>
          <w:b w:val="0"/>
          <w:bCs/>
          <w:sz w:val="24"/>
        </w:rPr>
        <w:t>p) Os profissionais mencionados no item 11.14 e 11.15 deverão estar inclusos na composição de custo da licitante, será exigido controle de jornada desses profissionais sendo de responsabilidade da licitante demonstrar as despesas reais sobre estes profissionais.</w:t>
      </w:r>
    </w:p>
    <w:p>
      <w:pPr>
        <w:pStyle w:val="72"/>
        <w:numPr>
          <w:ilvl w:val="0"/>
          <w:numId w:val="0"/>
        </w:numPr>
        <w:spacing w:before="0" w:after="120"/>
        <w:ind w:right="240" w:rightChars="100"/>
        <w:rPr>
          <w:b w:val="0"/>
          <w:bCs/>
          <w:sz w:val="24"/>
        </w:rPr>
      </w:pPr>
      <w:r>
        <w:rPr>
          <w:b w:val="0"/>
          <w:bCs/>
          <w:sz w:val="24"/>
        </w:rPr>
        <w:t xml:space="preserve"> q) As demais mãos-de-obra necessárias para execução dos serviços técnicos são apresentadas no Anexo I-A.</w:t>
      </w:r>
    </w:p>
    <w:p>
      <w:pPr>
        <w:pStyle w:val="72"/>
        <w:numPr>
          <w:ilvl w:val="0"/>
          <w:numId w:val="0"/>
        </w:numPr>
        <w:spacing w:before="0" w:after="120"/>
        <w:ind w:right="240" w:rightChars="100"/>
        <w:rPr>
          <w:sz w:val="24"/>
        </w:rPr>
      </w:pPr>
      <w:r>
        <w:rPr>
          <w:sz w:val="24"/>
        </w:rPr>
        <w:t>CLÁUSULA DECIMA PRIMEIRA – GARANTIA DE EXECUÇÃO</w:t>
      </w:r>
    </w:p>
    <w:p>
      <w:pPr>
        <w:widowControl w:val="0"/>
        <w:autoSpaceDE w:val="0"/>
        <w:autoSpaceDN w:val="0"/>
        <w:adjustRightInd w:val="0"/>
        <w:ind w:right="240" w:rightChars="100"/>
        <w:jc w:val="both"/>
        <w:rPr>
          <w:rFonts w:ascii="Arial" w:hAnsi="Arial" w:eastAsia="Calibri"/>
        </w:rPr>
      </w:pPr>
      <w:r>
        <w:rPr>
          <w:rFonts w:ascii="Arial" w:hAnsi="Arial" w:eastAsia="Calibri"/>
          <w:b/>
        </w:rPr>
        <w:t xml:space="preserve">11.1. </w:t>
      </w:r>
      <w:r>
        <w:rPr>
          <w:rFonts w:ascii="Arial" w:hAnsi="Arial" w:eastAsia="Calibri"/>
        </w:rPr>
        <w:t xml:space="preserve"> A(s) CONTRATADA(s) compromete(m)-se-à dar total garantia quanto a qualidade dos produtos fornecidos oriundos das prestações de serviços, bem como efetuar a substituição imediata, e totalmente às suas expensas de qualquer produto entregue comprovadamente adulterado ou inutilizável, portanto, fora das especificações técnicas e padrões de qualidade;</w:t>
      </w:r>
    </w:p>
    <w:p>
      <w:pPr>
        <w:widowControl w:val="0"/>
        <w:autoSpaceDE w:val="0"/>
        <w:autoSpaceDN w:val="0"/>
        <w:adjustRightInd w:val="0"/>
        <w:ind w:right="240" w:rightChars="100"/>
        <w:jc w:val="both"/>
        <w:rPr>
          <w:rFonts w:ascii="Arial" w:hAnsi="Arial" w:eastAsia="Calibri"/>
        </w:rPr>
      </w:pPr>
      <w:r>
        <w:rPr>
          <w:rFonts w:ascii="Arial" w:hAnsi="Arial" w:eastAsia="Calibri"/>
          <w:b/>
          <w:bCs/>
        </w:rPr>
        <w:t>11.2</w:t>
      </w:r>
      <w:r>
        <w:rPr>
          <w:rFonts w:ascii="Arial" w:hAnsi="Arial" w:eastAsia="Calibri"/>
        </w:rPr>
        <w:t>.Quanto a garantia contratual, não será aplicada a esse processo.</w:t>
      </w:r>
    </w:p>
    <w:p>
      <w:pPr>
        <w:widowControl w:val="0"/>
        <w:autoSpaceDE w:val="0"/>
        <w:autoSpaceDN w:val="0"/>
        <w:adjustRightInd w:val="0"/>
        <w:ind w:right="240" w:rightChars="100"/>
        <w:jc w:val="both"/>
        <w:rPr>
          <w:rFonts w:ascii="Arial" w:hAnsi="Arial"/>
          <w:szCs w:val="24"/>
        </w:rPr>
      </w:pPr>
    </w:p>
    <w:p>
      <w:pPr>
        <w:widowControl w:val="0"/>
        <w:autoSpaceDE w:val="0"/>
        <w:autoSpaceDN w:val="0"/>
        <w:adjustRightInd w:val="0"/>
        <w:spacing w:after="120"/>
        <w:ind w:right="240" w:rightChars="100"/>
        <w:jc w:val="both"/>
        <w:rPr>
          <w:rFonts w:ascii="Arial" w:hAnsi="Arial"/>
          <w:i/>
          <w:szCs w:val="24"/>
        </w:rPr>
      </w:pPr>
      <w:r>
        <w:rPr>
          <w:rFonts w:ascii="Arial" w:hAnsi="Arial"/>
          <w:szCs w:val="24"/>
        </w:rPr>
        <w:t xml:space="preserve">Para firmeza e validade do pactuado, a presente Ata foi lavrada em .... (....) vias de igual teor, que, depois de lida e achada em ordem, vai assinada pelas partes </w:t>
      </w:r>
      <w:r>
        <w:rPr>
          <w:rFonts w:ascii="Arial" w:hAnsi="Arial"/>
          <w:i/>
          <w:szCs w:val="24"/>
        </w:rPr>
        <w:t>e encaminhada cópia aos demais órgãos participantes (se houver).</w:t>
      </w:r>
    </w:p>
    <w:p>
      <w:pPr>
        <w:widowControl w:val="0"/>
        <w:autoSpaceDE w:val="0"/>
        <w:autoSpaceDN w:val="0"/>
        <w:adjustRightInd w:val="0"/>
        <w:spacing w:after="120"/>
        <w:ind w:right="240" w:rightChars="100"/>
        <w:jc w:val="right"/>
        <w:rPr>
          <w:rFonts w:ascii="Arial" w:hAnsi="Arial"/>
          <w:szCs w:val="24"/>
        </w:rPr>
      </w:pPr>
    </w:p>
    <w:p>
      <w:pPr>
        <w:widowControl w:val="0"/>
        <w:autoSpaceDE w:val="0"/>
        <w:autoSpaceDN w:val="0"/>
        <w:adjustRightInd w:val="0"/>
        <w:spacing w:after="120"/>
        <w:ind w:right="240" w:rightChars="100"/>
        <w:jc w:val="right"/>
        <w:rPr>
          <w:rFonts w:ascii="Arial" w:hAnsi="Arial"/>
          <w:szCs w:val="24"/>
        </w:rPr>
      </w:pPr>
    </w:p>
    <w:p>
      <w:pPr>
        <w:widowControl w:val="0"/>
        <w:autoSpaceDE w:val="0"/>
        <w:autoSpaceDN w:val="0"/>
        <w:adjustRightInd w:val="0"/>
        <w:spacing w:after="120"/>
        <w:ind w:right="240" w:rightChars="100"/>
        <w:jc w:val="right"/>
        <w:rPr>
          <w:rFonts w:ascii="Arial" w:hAnsi="Arial"/>
          <w:szCs w:val="24"/>
        </w:rPr>
      </w:pPr>
      <w:r>
        <w:rPr>
          <w:rFonts w:ascii="Arial" w:hAnsi="Arial"/>
          <w:szCs w:val="24"/>
        </w:rPr>
        <w:t>Primavera do Leste - MT, _____ de ____________________ de 2023.</w:t>
      </w:r>
    </w:p>
    <w:p>
      <w:pPr>
        <w:widowControl w:val="0"/>
        <w:ind w:right="240" w:rightChars="100"/>
        <w:jc w:val="center"/>
        <w:rPr>
          <w:rFonts w:ascii="Arial" w:hAnsi="Arial"/>
          <w:szCs w:val="24"/>
        </w:rPr>
      </w:pPr>
    </w:p>
    <w:p>
      <w:pPr>
        <w:widowControl w:val="0"/>
        <w:ind w:right="240" w:rightChars="100"/>
        <w:jc w:val="center"/>
        <w:rPr>
          <w:rFonts w:ascii="Arial" w:hAnsi="Arial"/>
          <w:szCs w:val="24"/>
        </w:rPr>
      </w:pPr>
    </w:p>
    <w:p>
      <w:pPr>
        <w:widowControl w:val="0"/>
        <w:ind w:right="240" w:rightChars="100"/>
        <w:jc w:val="center"/>
        <w:rPr>
          <w:rFonts w:ascii="Arial" w:hAnsi="Arial"/>
          <w:szCs w:val="24"/>
        </w:rPr>
      </w:pPr>
      <w:r>
        <w:rPr>
          <w:rFonts w:ascii="Arial" w:hAnsi="Arial"/>
          <w:szCs w:val="24"/>
        </w:rPr>
        <w:t>XXXXXXXXXXXXXXXXXXXXXX</w:t>
      </w:r>
    </w:p>
    <w:p>
      <w:pPr>
        <w:widowControl w:val="0"/>
        <w:ind w:right="240" w:rightChars="100"/>
        <w:jc w:val="center"/>
        <w:rPr>
          <w:rFonts w:ascii="Arial" w:hAnsi="Arial"/>
          <w:b/>
          <w:szCs w:val="24"/>
        </w:rPr>
      </w:pPr>
      <w:r>
        <w:rPr>
          <w:rFonts w:ascii="Arial" w:hAnsi="Arial"/>
          <w:b/>
          <w:szCs w:val="24"/>
        </w:rPr>
        <w:t>PREFEITO MUNICIPAL</w:t>
      </w:r>
    </w:p>
    <w:p>
      <w:pPr>
        <w:widowControl w:val="0"/>
        <w:ind w:right="240" w:rightChars="100"/>
        <w:jc w:val="center"/>
        <w:rPr>
          <w:rFonts w:ascii="Arial" w:hAnsi="Arial"/>
          <w:b/>
          <w:szCs w:val="24"/>
        </w:rPr>
      </w:pPr>
      <w:r>
        <w:rPr>
          <w:rFonts w:ascii="Arial" w:hAnsi="Arial"/>
          <w:b/>
          <w:szCs w:val="24"/>
        </w:rPr>
        <w:t>DETENTORA DA ATA</w:t>
      </w:r>
    </w:p>
    <w:p>
      <w:pPr>
        <w:widowControl w:val="0"/>
        <w:ind w:right="240" w:rightChars="100"/>
        <w:jc w:val="center"/>
        <w:rPr>
          <w:rFonts w:ascii="Arial" w:hAnsi="Arial"/>
          <w:b/>
          <w:szCs w:val="24"/>
        </w:rPr>
      </w:pPr>
    </w:p>
    <w:p>
      <w:pPr>
        <w:widowControl w:val="0"/>
        <w:ind w:right="240" w:rightChars="100"/>
        <w:jc w:val="center"/>
        <w:rPr>
          <w:rFonts w:ascii="Arial" w:hAnsi="Arial"/>
          <w:b/>
          <w:szCs w:val="24"/>
        </w:rPr>
      </w:pPr>
    </w:p>
    <w:p>
      <w:pPr>
        <w:widowControl w:val="0"/>
        <w:ind w:right="240" w:rightChars="100"/>
        <w:jc w:val="both"/>
        <w:rPr>
          <w:rFonts w:ascii="Arial" w:hAnsi="Arial"/>
          <w:szCs w:val="24"/>
        </w:rPr>
      </w:pPr>
      <w:r>
        <w:rPr>
          <w:rFonts w:ascii="Arial" w:hAnsi="Arial"/>
          <w:b/>
          <w:szCs w:val="24"/>
        </w:rPr>
        <w:t>Testemunhas:</w:t>
      </w:r>
    </w:p>
    <w:p>
      <w:pPr>
        <w:widowControl w:val="0"/>
        <w:spacing w:after="120"/>
        <w:ind w:right="240" w:rightChars="100"/>
        <w:rPr>
          <w:rFonts w:ascii="Arial" w:hAnsi="Arial"/>
          <w:b/>
          <w:szCs w:val="24"/>
        </w:rPr>
      </w:pPr>
      <w:r>
        <w:rPr>
          <w:rFonts w:ascii="Arial" w:hAnsi="Arial"/>
          <w:szCs w:val="24"/>
        </w:rPr>
        <w:t>_____________________________                  _____________________________</w:t>
      </w:r>
    </w:p>
    <w:p>
      <w:pPr>
        <w:widowControl w:val="0"/>
        <w:spacing w:after="120"/>
        <w:jc w:val="center"/>
        <w:rPr>
          <w:rFonts w:ascii="Arial" w:hAnsi="Arial" w:eastAsia="Calibri" w:cs="Arial"/>
          <w:b/>
        </w:rPr>
      </w:pPr>
      <w:r>
        <w:rPr>
          <w:rFonts w:ascii="Arial" w:hAnsi="Arial"/>
          <w:b/>
          <w:szCs w:val="24"/>
        </w:rPr>
        <w:br w:type="page"/>
      </w:r>
    </w:p>
    <w:p>
      <w:pPr>
        <w:widowControl w:val="0"/>
        <w:spacing w:after="120"/>
        <w:jc w:val="center"/>
        <w:rPr>
          <w:rFonts w:ascii="Arial" w:hAnsi="Arial" w:eastAsia="Calibri" w:cs="Arial"/>
          <w:b/>
        </w:rPr>
      </w:pPr>
      <w:r>
        <w:rPr>
          <w:rFonts w:ascii="Arial" w:hAnsi="Arial" w:eastAsia="Calibri" w:cs="Arial"/>
          <w:b/>
        </w:rPr>
        <w:t>PREGÃO ELETRÔNICO Nº 141/2023</w:t>
      </w:r>
    </w:p>
    <w:p>
      <w:pPr>
        <w:widowControl w:val="0"/>
        <w:spacing w:after="120"/>
        <w:jc w:val="center"/>
        <w:rPr>
          <w:rFonts w:ascii="Arial" w:hAnsi="Arial" w:eastAsia="Calibri" w:cs="Arial"/>
          <w:b/>
          <w:color w:val="000000"/>
        </w:rPr>
      </w:pPr>
      <w:r>
        <w:rPr>
          <w:rFonts w:ascii="Arial" w:hAnsi="Arial" w:eastAsia="Calibri" w:cs="Arial"/>
          <w:b/>
          <w:color w:val="000000"/>
        </w:rPr>
        <w:t>ANEXO IX</w:t>
      </w:r>
    </w:p>
    <w:p>
      <w:pPr>
        <w:widowControl w:val="0"/>
        <w:spacing w:after="120"/>
        <w:jc w:val="center"/>
        <w:rPr>
          <w:rFonts w:ascii="Arial" w:hAnsi="Arial" w:eastAsia="Calibri" w:cs="Arial"/>
          <w:b/>
          <w:color w:val="000000"/>
        </w:rPr>
      </w:pPr>
      <w:r>
        <w:rPr>
          <w:rFonts w:ascii="Arial" w:hAnsi="Arial" w:eastAsia="Calibri" w:cs="Arial"/>
          <w:b/>
          <w:color w:val="000000"/>
        </w:rPr>
        <w:t>MINUTA DO CONTRATO</w:t>
      </w:r>
    </w:p>
    <w:p>
      <w:pPr>
        <w:widowControl w:val="0"/>
        <w:autoSpaceDE w:val="0"/>
        <w:autoSpaceDN w:val="0"/>
        <w:adjustRightInd w:val="0"/>
        <w:spacing w:after="120"/>
        <w:jc w:val="both"/>
        <w:rPr>
          <w:rFonts w:ascii="Arial" w:hAnsi="Arial" w:eastAsia="Calibri" w:cs="Arial"/>
          <w:b/>
        </w:rPr>
      </w:pPr>
    </w:p>
    <w:p>
      <w:pPr>
        <w:widowControl w:val="0"/>
        <w:autoSpaceDE w:val="0"/>
        <w:autoSpaceDN w:val="0"/>
        <w:adjustRightInd w:val="0"/>
        <w:ind w:left="5280" w:leftChars="2200"/>
        <w:jc w:val="both"/>
        <w:rPr>
          <w:rFonts w:ascii="Arial" w:hAnsi="Arial" w:eastAsia="Calibri" w:cs="Arial"/>
          <w:b/>
        </w:rPr>
      </w:pPr>
      <w:r>
        <w:rPr>
          <w:rFonts w:ascii="Arial" w:hAnsi="Arial" w:eastAsia="Calibri" w:cs="Arial"/>
          <w:b/>
        </w:rPr>
        <w:t>TERMO DE CONTRATO DE PRESTAÇÃO DE SERVIÇOS  Nº ......../...., QUE FAZEM ENTRE SI O MUNICÍPIO DE PRIMAVERA DO LESTE, POR INTERMÉDIO DO (A) ......................................................... E A EMPRESA ............................................................</w:t>
      </w:r>
    </w:p>
    <w:p>
      <w:pPr>
        <w:widowControl w:val="0"/>
        <w:autoSpaceDE w:val="0"/>
        <w:autoSpaceDN w:val="0"/>
        <w:adjustRightInd w:val="0"/>
        <w:ind w:left="5280" w:leftChars="2200"/>
        <w:jc w:val="both"/>
        <w:rPr>
          <w:rFonts w:ascii="Arial" w:hAnsi="Arial" w:eastAsia="Calibri" w:cs="Arial"/>
          <w:b/>
        </w:rPr>
      </w:pPr>
    </w:p>
    <w:p>
      <w:pPr>
        <w:widowControl w:val="0"/>
        <w:autoSpaceDE w:val="0"/>
        <w:autoSpaceDN w:val="0"/>
        <w:adjustRightInd w:val="0"/>
        <w:jc w:val="both"/>
        <w:rPr>
          <w:rFonts w:ascii="Arial" w:hAnsi="Arial" w:eastAsia="Calibri" w:cs="Arial"/>
          <w:b/>
        </w:rPr>
      </w:pPr>
    </w:p>
    <w:p>
      <w:pPr>
        <w:widowControl w:val="0"/>
        <w:autoSpaceDE w:val="0"/>
        <w:autoSpaceDN w:val="0"/>
        <w:adjustRightInd w:val="0"/>
        <w:jc w:val="both"/>
        <w:rPr>
          <w:rFonts w:ascii="Arial" w:hAnsi="Arial" w:eastAsia="Calibri" w:cs="Arial"/>
        </w:rPr>
      </w:pPr>
      <w:r>
        <w:rPr>
          <w:rFonts w:ascii="Arial" w:hAnsi="Arial" w:eastAsia="Calibri" w:cs="Arial"/>
          <w:b/>
        </w:rPr>
        <w:t>O MUNICÍPIO DE PRIMAVERA DO LESTE - MT</w:t>
      </w:r>
      <w:r>
        <w:rPr>
          <w:rFonts w:ascii="Arial" w:hAnsi="Arial" w:eastAsia="Calibri" w:cs="Arial"/>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141/2023, mediante as cláusulas e condições a seguir enunciadas.</w:t>
      </w:r>
    </w:p>
    <w:p>
      <w:pPr>
        <w:widowControl w:val="0"/>
        <w:autoSpaceDE w:val="0"/>
        <w:autoSpaceDN w:val="0"/>
        <w:adjustRightInd w:val="0"/>
        <w:jc w:val="both"/>
        <w:rPr>
          <w:rFonts w:ascii="Arial" w:hAnsi="Arial" w:eastAsia="Calibri" w:cs="Arial"/>
        </w:rPr>
      </w:pPr>
    </w:p>
    <w:p>
      <w:pPr>
        <w:pStyle w:val="72"/>
        <w:numPr>
          <w:ilvl w:val="0"/>
          <w:numId w:val="0"/>
        </w:numPr>
        <w:spacing w:before="0" w:after="120"/>
        <w:rPr>
          <w:rFonts w:cs="Arial"/>
          <w:sz w:val="24"/>
        </w:rPr>
      </w:pPr>
      <w:r>
        <w:rPr>
          <w:rFonts w:cs="Arial"/>
          <w:sz w:val="24"/>
        </w:rPr>
        <w:t>CLÁUSULA PRIMEIRA – OBJETO</w:t>
      </w:r>
    </w:p>
    <w:p>
      <w:pPr>
        <w:spacing w:before="120" w:after="120"/>
        <w:jc w:val="both"/>
        <w:rPr>
          <w:rFonts w:ascii="Arial" w:hAnsi="Arial" w:eastAsia="Calibri" w:cs="Arial"/>
          <w:color w:val="000000"/>
        </w:rPr>
      </w:pPr>
      <w:r>
        <w:rPr>
          <w:rFonts w:ascii="Arial" w:hAnsi="Arial" w:eastAsia="Calibri" w:cs="Arial"/>
          <w:b/>
          <w:color w:val="000000"/>
        </w:rPr>
        <w:t xml:space="preserve">1.1. </w:t>
      </w:r>
      <w:r>
        <w:rPr>
          <w:rFonts w:ascii="Arial" w:hAnsi="Arial" w:eastAsia="Calibri" w:cs="Arial"/>
          <w:bCs/>
          <w:color w:val="000000"/>
        </w:rPr>
        <w:t xml:space="preserve">Contratação de empresa especializada na </w:t>
      </w:r>
      <w:r>
        <w:rPr>
          <w:rFonts w:ascii="Arial" w:hAnsi="Arial" w:eastAsia="Calibri" w:cs="Arial"/>
          <w:bCs/>
          <w:color w:val="000000"/>
          <w:lang w:eastAsia="zh-CN"/>
        </w:rPr>
        <w:t>Prestação de Serviços de Coleta e Transporte de Resíduos Sólidos Domiciliares e Comerciais do Município, Coleta Seletiva de Materiais Recicláveis, transporte e destinação final ambientalmente adequada dos resíduos recicláveis e implantação e coordenação da unidade de triagem de Primavera do Leste MT.</w:t>
      </w:r>
    </w:p>
    <w:p>
      <w:pPr>
        <w:spacing w:before="120" w:after="120"/>
        <w:jc w:val="both"/>
        <w:rPr>
          <w:rFonts w:ascii="Arial" w:hAnsi="Arial" w:eastAsia="Calibri" w:cs="Arial"/>
          <w:color w:val="000000"/>
        </w:rPr>
      </w:pPr>
      <w:r>
        <w:rPr>
          <w:rFonts w:ascii="Arial" w:hAnsi="Arial" w:eastAsia="Calibri" w:cs="Arial"/>
          <w:b/>
          <w:color w:val="000000"/>
        </w:rPr>
        <w:t xml:space="preserve">1.2. </w:t>
      </w:r>
      <w:r>
        <w:rPr>
          <w:rFonts w:ascii="Arial" w:hAnsi="Arial" w:eastAsia="Calibri" w:cs="Arial"/>
          <w:color w:val="000000"/>
        </w:rPr>
        <w:t>Este Termo de Contrato vincula-se ao Edital do Pregão, identificado no preâmbulo, e à proposta vencedora, independentemente de transcrição.</w:t>
      </w:r>
    </w:p>
    <w:p>
      <w:pPr>
        <w:spacing w:before="120" w:after="120"/>
        <w:jc w:val="both"/>
        <w:rPr>
          <w:rFonts w:ascii="Arial" w:hAnsi="Arial" w:eastAsia="Calibri" w:cs="Arial"/>
        </w:rPr>
      </w:pPr>
      <w:r>
        <w:rPr>
          <w:rFonts w:ascii="Arial" w:hAnsi="Arial" w:eastAsia="Calibri" w:cs="Arial"/>
          <w:b/>
        </w:rPr>
        <w:t xml:space="preserve">1.3. </w:t>
      </w:r>
      <w:r>
        <w:rPr>
          <w:rFonts w:ascii="Arial" w:hAnsi="Arial" w:eastAsia="Calibri" w:cs="Arial"/>
          <w:szCs w:val="24"/>
        </w:rPr>
        <w:t xml:space="preserve">Regime de Execução: </w:t>
      </w:r>
      <w:r>
        <w:rPr>
          <w:rFonts w:ascii="Arial" w:hAnsi="Arial" w:cs="Arial" w:eastAsiaTheme="minorEastAsia"/>
          <w:b/>
          <w:bCs/>
          <w:szCs w:val="24"/>
        </w:rPr>
        <w:t>INDIRETA - MENOR PREÇO POR LOTE</w:t>
      </w:r>
    </w:p>
    <w:p>
      <w:pPr>
        <w:widowControl w:val="0"/>
        <w:autoSpaceDE w:val="0"/>
        <w:autoSpaceDN w:val="0"/>
        <w:adjustRightInd w:val="0"/>
        <w:jc w:val="both"/>
        <w:rPr>
          <w:rFonts w:ascii="Arial" w:hAnsi="Arial" w:eastAsia="Calibri" w:cs="Arial"/>
        </w:rPr>
      </w:pPr>
    </w:p>
    <w:p>
      <w:pPr>
        <w:pStyle w:val="72"/>
        <w:numPr>
          <w:ilvl w:val="0"/>
          <w:numId w:val="0"/>
        </w:numPr>
        <w:spacing w:before="0" w:after="120"/>
        <w:rPr>
          <w:rFonts w:cs="Arial"/>
          <w:sz w:val="24"/>
        </w:rPr>
      </w:pPr>
      <w:r>
        <w:rPr>
          <w:rFonts w:cs="Arial"/>
          <w:sz w:val="24"/>
        </w:rPr>
        <w:t>CLÁUSULA SEGUNDA – VIGÊNCIA</w:t>
      </w:r>
    </w:p>
    <w:p>
      <w:pPr>
        <w:spacing w:before="120" w:after="120"/>
        <w:jc w:val="both"/>
        <w:rPr>
          <w:rFonts w:ascii="Arial" w:hAnsi="Arial" w:eastAsia="Calibri" w:cs="Arial"/>
        </w:rPr>
      </w:pPr>
      <w:r>
        <w:rPr>
          <w:rFonts w:ascii="Arial" w:hAnsi="Arial" w:eastAsia="Calibri" w:cs="Arial"/>
          <w:b/>
        </w:rPr>
        <w:t>2.1.</w:t>
      </w:r>
      <w:r>
        <w:rPr>
          <w:rFonts w:ascii="Arial" w:hAnsi="Arial" w:eastAsia="Calibri" w:cs="Arial"/>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spacing w:before="120" w:after="120"/>
        <w:ind w:left="720" w:leftChars="300"/>
        <w:jc w:val="both"/>
        <w:rPr>
          <w:rFonts w:ascii="Arial" w:hAnsi="Arial" w:eastAsia="Calibri" w:cs="Arial"/>
        </w:rPr>
      </w:pPr>
      <w:r>
        <w:rPr>
          <w:rFonts w:ascii="Arial" w:hAnsi="Arial" w:eastAsia="Calibri" w:cs="Arial"/>
          <w:b/>
        </w:rPr>
        <w:t xml:space="preserve">2.1.1. </w:t>
      </w:r>
      <w:r>
        <w:rPr>
          <w:rFonts w:ascii="Arial" w:hAnsi="Arial" w:eastAsia="Calibri" w:cs="Arial"/>
        </w:rPr>
        <w:t>Esteja formalmente demonstrado que a forma de prestação dos serviços tem natureza continuada;  </w:t>
      </w:r>
    </w:p>
    <w:p>
      <w:pPr>
        <w:spacing w:before="120" w:after="120"/>
        <w:ind w:left="720" w:leftChars="300"/>
        <w:jc w:val="both"/>
        <w:rPr>
          <w:rFonts w:ascii="Arial" w:hAnsi="Arial" w:eastAsia="Calibri" w:cs="Arial"/>
        </w:rPr>
      </w:pPr>
      <w:r>
        <w:rPr>
          <w:rFonts w:ascii="Arial" w:hAnsi="Arial" w:eastAsia="Calibri" w:cs="Arial"/>
          <w:b/>
        </w:rPr>
        <w:t>2.1.2.</w:t>
      </w:r>
      <w:r>
        <w:rPr>
          <w:rFonts w:ascii="Arial" w:hAnsi="Arial" w:eastAsia="Calibri" w:cs="Arial"/>
        </w:rPr>
        <w:t>Seja juntado documento que discorra sobre a execução do contrato, com informações de que os serviços tenham sido prestados regularmente;  </w:t>
      </w:r>
    </w:p>
    <w:p>
      <w:pPr>
        <w:spacing w:before="120" w:after="120"/>
        <w:ind w:left="720" w:leftChars="300"/>
        <w:jc w:val="both"/>
        <w:rPr>
          <w:rFonts w:ascii="Arial" w:hAnsi="Arial" w:eastAsia="Calibri" w:cs="Arial"/>
        </w:rPr>
      </w:pPr>
      <w:r>
        <w:rPr>
          <w:rFonts w:ascii="Arial" w:hAnsi="Arial" w:eastAsia="Calibri" w:cs="Arial"/>
          <w:b/>
        </w:rPr>
        <w:t xml:space="preserve">2.1.3. </w:t>
      </w:r>
      <w:r>
        <w:rPr>
          <w:rFonts w:ascii="Arial" w:hAnsi="Arial" w:eastAsia="Calibri" w:cs="Arial"/>
        </w:rPr>
        <w:t>Seja juntada justificativa e motivo, por escrito, de que a Administração mantém interesse na realização do serviço;  </w:t>
      </w:r>
    </w:p>
    <w:p>
      <w:pPr>
        <w:spacing w:before="120" w:after="120"/>
        <w:ind w:left="720" w:leftChars="300"/>
        <w:jc w:val="both"/>
        <w:rPr>
          <w:rFonts w:ascii="Arial" w:hAnsi="Arial" w:eastAsia="Calibri" w:cs="Arial"/>
        </w:rPr>
      </w:pPr>
      <w:r>
        <w:rPr>
          <w:rFonts w:ascii="Arial" w:hAnsi="Arial" w:eastAsia="Calibri" w:cs="Arial"/>
          <w:b/>
        </w:rPr>
        <w:t>2.1.4.</w:t>
      </w:r>
      <w:r>
        <w:rPr>
          <w:rFonts w:ascii="Arial" w:hAnsi="Arial" w:eastAsia="Calibri" w:cs="Arial"/>
        </w:rPr>
        <w:t>Seja comprovado que o valor do contrato permanece economicamente vantajoso para a Administração;  </w:t>
      </w:r>
    </w:p>
    <w:p>
      <w:pPr>
        <w:spacing w:before="120" w:after="120"/>
        <w:ind w:left="720" w:leftChars="300"/>
        <w:jc w:val="both"/>
        <w:rPr>
          <w:rFonts w:ascii="Arial" w:hAnsi="Arial" w:eastAsia="Calibri" w:cs="Arial"/>
        </w:rPr>
      </w:pPr>
      <w:r>
        <w:rPr>
          <w:rFonts w:ascii="Arial" w:hAnsi="Arial" w:eastAsia="Calibri" w:cs="Arial"/>
          <w:b/>
        </w:rPr>
        <w:t>2.1.5.</w:t>
      </w:r>
      <w:r>
        <w:rPr>
          <w:rFonts w:ascii="Arial" w:hAnsi="Arial" w:eastAsia="Calibri" w:cs="Arial"/>
        </w:rPr>
        <w:t xml:space="preserve">Haja manifestação expressa da contratada informando o interesse na prorrogação; </w:t>
      </w:r>
    </w:p>
    <w:p>
      <w:pPr>
        <w:spacing w:before="120" w:after="120"/>
        <w:ind w:left="720" w:leftChars="300"/>
        <w:jc w:val="both"/>
        <w:rPr>
          <w:rFonts w:ascii="Arial" w:hAnsi="Arial" w:eastAsia="Calibri" w:cs="Arial"/>
        </w:rPr>
      </w:pPr>
      <w:r>
        <w:rPr>
          <w:rFonts w:ascii="Arial" w:hAnsi="Arial" w:eastAsia="Calibri" w:cs="Arial"/>
          <w:b/>
        </w:rPr>
        <w:t>2.1.6.</w:t>
      </w:r>
      <w:r>
        <w:rPr>
          <w:rFonts w:ascii="Arial" w:hAnsi="Arial" w:eastAsia="Calibri" w:cs="Arial"/>
        </w:rPr>
        <w:t>Seja comprovado que a contratada mantém as condições iniciais de habilitação.</w:t>
      </w:r>
    </w:p>
    <w:p>
      <w:pPr>
        <w:spacing w:before="120" w:after="120"/>
        <w:jc w:val="both"/>
        <w:rPr>
          <w:rFonts w:ascii="Arial" w:hAnsi="Arial" w:eastAsia="Calibri" w:cs="Arial"/>
        </w:rPr>
      </w:pPr>
      <w:r>
        <w:rPr>
          <w:rFonts w:ascii="Arial" w:hAnsi="Arial" w:eastAsia="Calibri" w:cs="Arial"/>
          <w:b/>
        </w:rPr>
        <w:t xml:space="preserve">2.2. </w:t>
      </w:r>
      <w:r>
        <w:rPr>
          <w:rFonts w:ascii="Arial" w:hAnsi="Arial" w:eastAsia="Calibri" w:cs="Arial"/>
        </w:rPr>
        <w:t>A CONTRATADA não tem direito subjetivo à prorrogação contratual.</w:t>
      </w:r>
    </w:p>
    <w:p>
      <w:pPr>
        <w:spacing w:before="120"/>
        <w:jc w:val="both"/>
        <w:rPr>
          <w:rFonts w:ascii="Arial" w:hAnsi="Arial" w:eastAsia="Calibri" w:cs="Arial"/>
        </w:rPr>
      </w:pPr>
      <w:r>
        <w:rPr>
          <w:rFonts w:ascii="Arial" w:hAnsi="Arial" w:eastAsia="Calibri" w:cs="Arial"/>
          <w:b/>
        </w:rPr>
        <w:t xml:space="preserve">2.3. </w:t>
      </w:r>
      <w:r>
        <w:rPr>
          <w:rFonts w:ascii="Arial" w:hAnsi="Arial" w:eastAsia="Calibri" w:cs="Arial"/>
        </w:rPr>
        <w:t xml:space="preserve">A prorrogação de contrato deverá ser promovida mediante celebração de termo aditivo. </w:t>
      </w:r>
    </w:p>
    <w:p>
      <w:pPr>
        <w:widowControl w:val="0"/>
        <w:autoSpaceDE w:val="0"/>
        <w:autoSpaceDN w:val="0"/>
        <w:adjustRightInd w:val="0"/>
        <w:jc w:val="both"/>
        <w:rPr>
          <w:rFonts w:ascii="Arial" w:hAnsi="Arial" w:eastAsia="Calibri" w:cs="Arial"/>
        </w:rPr>
      </w:pPr>
    </w:p>
    <w:p>
      <w:pPr>
        <w:pStyle w:val="72"/>
        <w:numPr>
          <w:ilvl w:val="0"/>
          <w:numId w:val="0"/>
        </w:numPr>
        <w:spacing w:before="0" w:after="120"/>
        <w:rPr>
          <w:rFonts w:cs="Arial"/>
          <w:sz w:val="24"/>
        </w:rPr>
      </w:pPr>
      <w:r>
        <w:rPr>
          <w:rFonts w:cs="Arial"/>
          <w:sz w:val="24"/>
        </w:rPr>
        <w:t>CLÁUSULA TERCEIRA – PREÇO</w:t>
      </w:r>
    </w:p>
    <w:p>
      <w:pPr>
        <w:spacing w:before="120" w:after="120"/>
        <w:jc w:val="both"/>
        <w:rPr>
          <w:rFonts w:ascii="Arial" w:hAnsi="Arial" w:eastAsia="Calibri" w:cs="Arial"/>
        </w:rPr>
      </w:pPr>
      <w:r>
        <w:rPr>
          <w:rFonts w:ascii="Arial" w:hAnsi="Arial" w:eastAsia="Calibri" w:cs="Arial"/>
          <w:b/>
          <w:color w:val="000000"/>
        </w:rPr>
        <w:t>3.1.</w:t>
      </w:r>
      <w:r>
        <w:rPr>
          <w:rFonts w:ascii="Arial" w:hAnsi="Arial" w:eastAsia="Calibri" w:cs="Arial"/>
          <w:color w:val="000000"/>
        </w:rPr>
        <w:t xml:space="preserve">O valor mensal da contratação é de R$ </w:t>
      </w:r>
      <w:r>
        <w:rPr>
          <w:rFonts w:ascii="Arial" w:hAnsi="Arial" w:eastAsia="Calibri" w:cs="Arial"/>
          <w:color w:val="FF0000"/>
        </w:rPr>
        <w:t>.......... (.....)</w:t>
      </w:r>
      <w:r>
        <w:rPr>
          <w:rFonts w:ascii="Arial" w:hAnsi="Arial" w:eastAsia="Calibri" w:cs="Arial"/>
          <w:color w:val="000000"/>
        </w:rPr>
        <w:t xml:space="preserve">, perfazendo o valor total de R$ </w:t>
      </w:r>
      <w:r>
        <w:rPr>
          <w:rFonts w:ascii="Arial" w:hAnsi="Arial" w:eastAsia="Calibri" w:cs="Arial"/>
          <w:color w:val="FF0000"/>
        </w:rPr>
        <w:t>....... (....)</w:t>
      </w:r>
      <w:r>
        <w:rPr>
          <w:rFonts w:ascii="Arial" w:hAnsi="Arial" w:eastAsia="Calibri" w:cs="Arial"/>
          <w:color w:val="000000"/>
        </w:rPr>
        <w:t>.</w:t>
      </w:r>
    </w:p>
    <w:p>
      <w:pPr>
        <w:spacing w:before="120" w:after="120"/>
        <w:ind w:left="720" w:leftChars="300"/>
        <w:jc w:val="both"/>
        <w:rPr>
          <w:rFonts w:ascii="Arial" w:hAnsi="Arial" w:eastAsia="Calibri" w:cs="Arial"/>
        </w:rPr>
      </w:pPr>
      <w:r>
        <w:rPr>
          <w:rFonts w:ascii="Arial" w:hAnsi="Arial" w:eastAsia="Calibri" w:cs="Arial"/>
          <w:b/>
        </w:rPr>
        <w:t>3.1.1.</w:t>
      </w:r>
      <w:r>
        <w:rPr>
          <w:rFonts w:ascii="Arial" w:hAnsi="Arial" w:eastAsia="Calibri" w:cs="Arial"/>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ind w:left="17" w:hanging="17"/>
        <w:jc w:val="both"/>
        <w:rPr>
          <w:rFonts w:ascii="Arial" w:hAnsi="Arial" w:eastAsia="Calibri" w:cs="Arial"/>
        </w:rPr>
      </w:pPr>
      <w:r>
        <w:rPr>
          <w:rFonts w:ascii="Arial" w:hAnsi="Arial" w:eastAsia="Calibri" w:cs="Arial"/>
          <w:b/>
        </w:rPr>
        <w:t>3.2.</w:t>
      </w:r>
      <w:r>
        <w:rPr>
          <w:rFonts w:ascii="Arial" w:hAnsi="Arial" w:eastAsia="Calibri" w:cs="Arial"/>
        </w:rPr>
        <w:t xml:space="preserve"> O valor acima é meramente estimativo, de forma que os pagamentos devidos à CONTRATADA dependerão dos quantitativos de serviços efetivamente prestados.</w:t>
      </w:r>
    </w:p>
    <w:p>
      <w:pPr>
        <w:ind w:left="17" w:hanging="17"/>
        <w:jc w:val="both"/>
        <w:rPr>
          <w:rFonts w:ascii="Arial" w:hAnsi="Arial" w:eastAsia="Calibri" w:cs="Arial"/>
        </w:rPr>
      </w:pPr>
    </w:p>
    <w:p>
      <w:pPr>
        <w:pStyle w:val="72"/>
        <w:numPr>
          <w:ilvl w:val="0"/>
          <w:numId w:val="0"/>
        </w:numPr>
        <w:spacing w:before="0" w:after="120"/>
        <w:rPr>
          <w:rFonts w:cs="Arial"/>
          <w:sz w:val="24"/>
        </w:rPr>
      </w:pPr>
      <w:r>
        <w:rPr>
          <w:rFonts w:cs="Arial"/>
          <w:sz w:val="24"/>
        </w:rPr>
        <w:t>CLÁUSULA QUARTA – DOTAÇÃO ORÇAMENTÁRIA</w:t>
      </w:r>
    </w:p>
    <w:p>
      <w:pPr>
        <w:pStyle w:val="134"/>
        <w:tabs>
          <w:tab w:val="left" w:pos="709"/>
          <w:tab w:val="center" w:pos="4419"/>
          <w:tab w:val="right" w:pos="8838"/>
        </w:tabs>
        <w:spacing w:before="0" w:beforeAutospacing="0" w:after="0" w:afterAutospacing="0"/>
        <w:ind w:right="38" w:rightChars="16"/>
        <w:jc w:val="both"/>
        <w:rPr>
          <w:rFonts w:ascii="Arial" w:hAnsi="Arial" w:cs="Arial"/>
          <w:szCs w:val="24"/>
        </w:rPr>
      </w:pPr>
      <w:r>
        <w:rPr>
          <w:rFonts w:ascii="Arial" w:hAnsi="Arial" w:eastAsia="Calibri" w:cs="Arial"/>
          <w:b/>
          <w:bCs/>
        </w:rPr>
        <w:t>4.1.</w:t>
      </w:r>
      <w:r>
        <w:rPr>
          <w:rFonts w:ascii="Arial" w:hAnsi="Arial" w:eastAsia="Calibri" w:cs="Arial"/>
        </w:rPr>
        <w:t xml:space="preserve"> </w:t>
      </w:r>
      <w:r>
        <w:rPr>
          <w:rFonts w:ascii="Arial" w:hAnsi="Arial" w:cs="Arial"/>
          <w:szCs w:val="24"/>
        </w:rPr>
        <w:t>As despesas oriundas da presente contratação correrão por conta de recursos próprios específicos consignados no orçamento da Prefeitura Municipal de Primavera do Leste, nas dotações orçamentárias relacionadas abaixo:</w:t>
      </w:r>
    </w:p>
    <w:tbl>
      <w:tblPr>
        <w:tblStyle w:val="12"/>
        <w:tblpPr w:leftFromText="180" w:rightFromText="180" w:vertAnchor="text" w:horzAnchor="page" w:tblpXSpec="center" w:tblpY="410"/>
        <w:tblOverlap w:val="never"/>
        <w:tblW w:w="9225" w:type="dxa"/>
        <w:jc w:val="center"/>
        <w:tblLayout w:type="fixed"/>
        <w:tblCellMar>
          <w:top w:w="0" w:type="dxa"/>
          <w:left w:w="0" w:type="dxa"/>
          <w:bottom w:w="0" w:type="dxa"/>
          <w:right w:w="0" w:type="dxa"/>
        </w:tblCellMar>
      </w:tblPr>
      <w:tblGrid>
        <w:gridCol w:w="2724"/>
        <w:gridCol w:w="1003"/>
        <w:gridCol w:w="5498"/>
      </w:tblGrid>
      <w:tr>
        <w:tblPrEx>
          <w:tblCellMar>
            <w:top w:w="0" w:type="dxa"/>
            <w:left w:w="0" w:type="dxa"/>
            <w:bottom w:w="0" w:type="dxa"/>
            <w:right w:w="0" w:type="dxa"/>
          </w:tblCellMar>
        </w:tblPrEx>
        <w:trPr>
          <w:trHeight w:val="240" w:hRule="atLeast"/>
          <w:jc w:val="center"/>
        </w:trPr>
        <w:tc>
          <w:tcPr>
            <w:tcW w:w="9225" w:type="dxa"/>
            <w:gridSpan w:val="3"/>
            <w:tcBorders>
              <w:top w:val="single" w:color="000000" w:sz="2" w:space="0"/>
              <w:left w:val="single" w:color="000000" w:sz="2" w:space="0"/>
              <w:bottom w:val="single" w:color="000000" w:sz="2" w:space="0"/>
              <w:right w:val="single" w:color="000000" w:sz="2" w:space="0"/>
              <w:tl2br w:val="nil"/>
              <w:tr2bl w:val="nil"/>
            </w:tcBorders>
            <w:shd w:val="clear" w:color="auto" w:fill="9BC2E6"/>
            <w:noWrap/>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 xml:space="preserve">Órgão 6 - Secretaria </w:t>
            </w:r>
            <w:r>
              <w:rPr>
                <w:rFonts w:ascii="Calibri" w:hAnsi="Calibri" w:cs="Calibri"/>
                <w:b/>
                <w:sz w:val="20"/>
                <w:lang w:eastAsia="zh-CN" w:bidi="ar"/>
              </w:rPr>
              <w:t>d</w:t>
            </w:r>
            <w:r>
              <w:rPr>
                <w:rFonts w:ascii="Calibri" w:hAnsi="Calibri" w:cs="Calibri"/>
                <w:b/>
                <w:sz w:val="20"/>
                <w:lang w:val="pt-BR" w:eastAsia="zh-CN" w:bidi="ar"/>
              </w:rPr>
              <w:t xml:space="preserve">e </w:t>
            </w:r>
            <w:r>
              <w:rPr>
                <w:rFonts w:ascii="Calibri" w:hAnsi="Calibri" w:cs="Calibri"/>
                <w:b/>
                <w:sz w:val="20"/>
                <w:lang w:eastAsia="zh-CN" w:bidi="ar"/>
              </w:rPr>
              <w:t>Agricultura e Meio Ambiente</w:t>
            </w:r>
          </w:p>
        </w:tc>
      </w:tr>
      <w:tr>
        <w:tblPrEx>
          <w:tblCellMar>
            <w:top w:w="0" w:type="dxa"/>
            <w:left w:w="0" w:type="dxa"/>
            <w:bottom w:w="0" w:type="dxa"/>
            <w:right w:w="0" w:type="dxa"/>
          </w:tblCellMar>
        </w:tblPrEx>
        <w:trPr>
          <w:trHeight w:val="902" w:hRule="atLeast"/>
          <w:jc w:val="center"/>
        </w:trPr>
        <w:tc>
          <w:tcPr>
            <w:tcW w:w="2724"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Und. Orçamentária</w:t>
            </w:r>
            <w:r>
              <w:rPr>
                <w:rFonts w:ascii="Calibri" w:hAnsi="Calibri" w:cs="Calibri"/>
                <w:b/>
                <w:sz w:val="20"/>
                <w:lang w:eastAsia="zh-CN" w:bidi="ar"/>
              </w:rPr>
              <w:t xml:space="preserve"> </w:t>
            </w:r>
            <w:r>
              <w:rPr>
                <w:rFonts w:ascii="Calibri" w:hAnsi="Calibri" w:cs="Calibri"/>
                <w:b/>
                <w:sz w:val="20"/>
                <w:lang w:val="pt-BR" w:eastAsia="zh-CN" w:bidi="ar"/>
              </w:rPr>
              <w:t>/ Executora</w:t>
            </w:r>
          </w:p>
        </w:tc>
        <w:tc>
          <w:tcPr>
            <w:tcW w:w="1003"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03003</w:t>
            </w:r>
          </w:p>
        </w:tc>
        <w:tc>
          <w:tcPr>
            <w:tcW w:w="5498"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jc w:val="center"/>
              <w:textAlignment w:val="center"/>
              <w:rPr>
                <w:rFonts w:ascii="Calibri" w:hAnsi="Calibri" w:cs="Calibri"/>
                <w:sz w:val="20"/>
              </w:rPr>
            </w:pPr>
            <w:r>
              <w:rPr>
                <w:rFonts w:ascii="Calibri" w:hAnsi="Calibri" w:cs="Calibri"/>
                <w:sz w:val="20"/>
                <w:lang w:eastAsia="zh-CN" w:bidi="ar"/>
              </w:rPr>
              <w:t>Coordenadoria do Meio Ambiente</w:t>
            </w:r>
          </w:p>
        </w:tc>
      </w:tr>
      <w:tr>
        <w:tblPrEx>
          <w:tblCellMar>
            <w:top w:w="0" w:type="dxa"/>
            <w:left w:w="0" w:type="dxa"/>
            <w:bottom w:w="0" w:type="dxa"/>
            <w:right w:w="0" w:type="dxa"/>
          </w:tblCellMar>
        </w:tblPrEx>
        <w:trPr>
          <w:trHeight w:val="510" w:hRule="atLeast"/>
          <w:jc w:val="center"/>
        </w:trPr>
        <w:tc>
          <w:tcPr>
            <w:tcW w:w="2724" w:type="dxa"/>
            <w:vMerge w:val="restart"/>
            <w:tcBorders>
              <w:top w:val="single" w:color="000000" w:sz="2" w:space="0"/>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cs="Calibri"/>
                <w:b/>
                <w:sz w:val="20"/>
                <w:lang w:val="pt-BR" w:eastAsia="zh-CN" w:bidi="ar"/>
              </w:rPr>
            </w:pPr>
            <w:r>
              <w:rPr>
                <w:rFonts w:ascii="Calibri" w:hAnsi="Calibri" w:cs="Calibri"/>
                <w:b/>
                <w:sz w:val="20"/>
                <w:lang w:val="pt-BR" w:eastAsia="zh-CN" w:bidi="ar"/>
              </w:rPr>
              <w:t>Despesa</w:t>
            </w:r>
          </w:p>
          <w:p>
            <w:pPr>
              <w:ind w:right="38" w:rightChars="16"/>
              <w:jc w:val="center"/>
              <w:textAlignment w:val="center"/>
              <w:rPr>
                <w:rFonts w:ascii="Calibri" w:hAnsi="Calibri" w:cs="Calibri"/>
                <w:b/>
                <w:sz w:val="20"/>
              </w:rPr>
            </w:pPr>
            <w:r>
              <w:rPr>
                <w:rFonts w:ascii="Calibri" w:hAnsi="Calibri" w:cs="Calibri"/>
                <w:b/>
                <w:sz w:val="20"/>
                <w:lang w:val="pt-BR" w:eastAsia="zh-CN" w:bidi="ar"/>
              </w:rPr>
              <w:t>/</w:t>
            </w:r>
            <w:r>
              <w:rPr>
                <w:rFonts w:ascii="Calibri" w:hAnsi="Calibri" w:cs="Calibri"/>
                <w:b/>
                <w:sz w:val="20"/>
                <w:lang w:eastAsia="zh-CN" w:bidi="ar"/>
              </w:rPr>
              <w:t xml:space="preserve"> F</w:t>
            </w:r>
            <w:r>
              <w:rPr>
                <w:rFonts w:ascii="Calibri" w:hAnsi="Calibri" w:cs="Calibri"/>
                <w:b/>
                <w:sz w:val="20"/>
                <w:lang w:val="pt-BR" w:eastAsia="zh-CN" w:bidi="ar"/>
              </w:rPr>
              <w:t>onte</w:t>
            </w:r>
          </w:p>
        </w:tc>
        <w:tc>
          <w:tcPr>
            <w:tcW w:w="6501" w:type="dxa"/>
            <w:gridSpan w:val="2"/>
            <w:vMerge w:val="restart"/>
            <w:tcBorders>
              <w:top w:val="single" w:color="000000" w:sz="2" w:space="0"/>
              <w:left w:val="single" w:color="000000" w:sz="2" w:space="0"/>
              <w:bottom w:val="nil"/>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eastAsia="CIDFont+F1" w:cs="Calibri"/>
                <w:sz w:val="20"/>
              </w:rPr>
            </w:pPr>
            <w:r>
              <w:rPr>
                <w:rFonts w:ascii="Calibri" w:hAnsi="Calibri" w:eastAsia="CIDFont+F1" w:cs="Calibri"/>
                <w:sz w:val="20"/>
              </w:rPr>
              <w:t>3.3.90.39.00 - 1500</w:t>
            </w:r>
          </w:p>
          <w:p>
            <w:pPr>
              <w:ind w:right="38" w:rightChars="16"/>
              <w:jc w:val="center"/>
              <w:textAlignment w:val="center"/>
              <w:rPr>
                <w:rFonts w:ascii="Calibri" w:hAnsi="Calibri" w:eastAsia="CIDFont+F1" w:cs="Calibri"/>
                <w:sz w:val="20"/>
              </w:rPr>
            </w:pPr>
            <w:r>
              <w:rPr>
                <w:rFonts w:ascii="Calibri" w:hAnsi="Calibri" w:eastAsia="CIDFont+F1" w:cs="Calibri"/>
                <w:sz w:val="20"/>
              </w:rPr>
              <w:t>Outros Serviços de Terceiros - Pessoa Jurídica</w:t>
            </w:r>
          </w:p>
        </w:tc>
      </w:tr>
      <w:tr>
        <w:tblPrEx>
          <w:tblCellMar>
            <w:top w:w="0" w:type="dxa"/>
            <w:left w:w="0" w:type="dxa"/>
            <w:bottom w:w="0" w:type="dxa"/>
            <w:right w:w="0" w:type="dxa"/>
          </w:tblCellMar>
        </w:tblPrEx>
        <w:trPr>
          <w:trHeight w:val="255" w:hRule="atLeast"/>
          <w:jc w:val="center"/>
        </w:trPr>
        <w:tc>
          <w:tcPr>
            <w:tcW w:w="2724" w:type="dxa"/>
            <w:vMerge w:val="continue"/>
            <w:tcBorders>
              <w:top w:val="single" w:color="000000" w:sz="2" w:space="0"/>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rPr>
                <w:rFonts w:ascii="Calibri" w:hAnsi="Calibri" w:cs="Calibri"/>
                <w:b/>
                <w:sz w:val="20"/>
              </w:rPr>
            </w:pPr>
          </w:p>
        </w:tc>
        <w:tc>
          <w:tcPr>
            <w:tcW w:w="6501" w:type="dxa"/>
            <w:gridSpan w:val="2"/>
            <w:vMerge w:val="continue"/>
            <w:tcBorders>
              <w:top w:val="nil"/>
              <w:left w:val="single" w:color="000000" w:sz="2" w:space="0"/>
              <w:bottom w:val="single" w:color="000000" w:sz="2" w:space="0"/>
              <w:right w:val="single" w:color="000000" w:sz="2" w:space="0"/>
              <w:tl2br w:val="nil"/>
              <w:tr2bl w:val="nil"/>
            </w:tcBorders>
            <w:tcMar>
              <w:top w:w="15" w:type="dxa"/>
              <w:left w:w="15" w:type="dxa"/>
              <w:right w:w="15" w:type="dxa"/>
            </w:tcMar>
            <w:vAlign w:val="center"/>
          </w:tcPr>
          <w:p>
            <w:pPr>
              <w:ind w:right="38" w:rightChars="16"/>
              <w:jc w:val="center"/>
              <w:textAlignment w:val="center"/>
              <w:rPr>
                <w:rFonts w:ascii="Calibri" w:hAnsi="Calibri" w:cs="Calibri"/>
                <w:sz w:val="20"/>
              </w:rPr>
            </w:pPr>
          </w:p>
        </w:tc>
      </w:tr>
      <w:tr>
        <w:tblPrEx>
          <w:tblCellMar>
            <w:top w:w="0" w:type="dxa"/>
            <w:left w:w="0" w:type="dxa"/>
            <w:bottom w:w="0" w:type="dxa"/>
            <w:right w:w="0" w:type="dxa"/>
          </w:tblCellMar>
        </w:tblPrEx>
        <w:trPr>
          <w:trHeight w:val="255" w:hRule="atLeast"/>
          <w:jc w:val="center"/>
        </w:trPr>
        <w:tc>
          <w:tcPr>
            <w:tcW w:w="2724" w:type="dxa"/>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b/>
                <w:sz w:val="20"/>
              </w:rPr>
            </w:pPr>
            <w:r>
              <w:rPr>
                <w:rFonts w:ascii="Calibri" w:hAnsi="Calibri" w:cs="Calibri"/>
                <w:b/>
                <w:sz w:val="20"/>
                <w:lang w:val="pt-BR" w:eastAsia="zh-CN" w:bidi="ar"/>
              </w:rPr>
              <w:t>Solicitação</w:t>
            </w:r>
          </w:p>
        </w:tc>
        <w:tc>
          <w:tcPr>
            <w:tcW w:w="6501"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DDEBF7"/>
            <w:tcMar>
              <w:top w:w="15" w:type="dxa"/>
              <w:left w:w="15" w:type="dxa"/>
              <w:right w:w="15" w:type="dxa"/>
            </w:tcMar>
            <w:vAlign w:val="center"/>
          </w:tcPr>
          <w:p>
            <w:pPr>
              <w:ind w:right="38" w:rightChars="16"/>
              <w:jc w:val="center"/>
              <w:textAlignment w:val="center"/>
              <w:rPr>
                <w:rFonts w:ascii="Calibri" w:hAnsi="Calibri" w:cs="Calibri"/>
                <w:sz w:val="20"/>
                <w:lang w:eastAsia="zh-CN" w:bidi="ar"/>
              </w:rPr>
            </w:pPr>
            <w:r>
              <w:rPr>
                <w:rFonts w:ascii="Calibri" w:hAnsi="Calibri" w:cs="Calibri"/>
                <w:sz w:val="20"/>
              </w:rPr>
              <w:t>48/2023</w:t>
            </w:r>
          </w:p>
        </w:tc>
      </w:tr>
    </w:tbl>
    <w:p>
      <w:pPr>
        <w:spacing w:before="120"/>
        <w:jc w:val="both"/>
        <w:rPr>
          <w:rFonts w:ascii="Arial" w:hAnsi="Arial" w:eastAsia="Calibri" w:cs="Arial"/>
          <w:b/>
        </w:rPr>
      </w:pPr>
    </w:p>
    <w:p>
      <w:pPr>
        <w:spacing w:before="120"/>
        <w:jc w:val="both"/>
        <w:rPr>
          <w:rFonts w:ascii="Arial" w:hAnsi="Arial" w:eastAsia="Calibri" w:cs="Arial"/>
          <w:b/>
        </w:rPr>
      </w:pPr>
      <w:r>
        <w:rPr>
          <w:rFonts w:ascii="Arial" w:hAnsi="Arial" w:eastAsia="Calibri" w:cs="Arial"/>
          <w:b/>
        </w:rPr>
        <w:t>4.2.</w:t>
      </w:r>
      <w:r>
        <w:rPr>
          <w:rFonts w:ascii="Arial" w:hAnsi="Arial" w:eastAsia="Calibri" w:cs="Arial"/>
        </w:rPr>
        <w:t>No(s) exercício(s) seguinte(s), as despesas correspondentes correrão à conta dos recursos próprios para atender às despesas da mesma natureza, cuja alocação será feita no início de cada exercício financeiro.</w:t>
      </w:r>
      <w:r>
        <w:rPr>
          <w:rFonts w:ascii="Arial" w:hAnsi="Arial" w:eastAsia="Calibri" w:cs="Arial"/>
          <w:b/>
        </w:rPr>
        <w:t xml:space="preserve"> </w:t>
      </w:r>
    </w:p>
    <w:p>
      <w:pPr>
        <w:jc w:val="both"/>
        <w:rPr>
          <w:rFonts w:ascii="Arial" w:hAnsi="Arial" w:eastAsia="Calibri" w:cs="Arial"/>
          <w:b/>
        </w:rPr>
      </w:pPr>
    </w:p>
    <w:p>
      <w:pPr>
        <w:pStyle w:val="72"/>
        <w:numPr>
          <w:ilvl w:val="0"/>
          <w:numId w:val="0"/>
        </w:numPr>
        <w:spacing w:before="0" w:after="120"/>
        <w:rPr>
          <w:rFonts w:cs="Arial"/>
          <w:sz w:val="24"/>
        </w:rPr>
      </w:pPr>
      <w:r>
        <w:rPr>
          <w:rFonts w:cs="Arial"/>
          <w:sz w:val="24"/>
        </w:rPr>
        <w:t>CLÁUSULA QUINTA – PAGAMENTO</w:t>
      </w:r>
    </w:p>
    <w:p>
      <w:pPr>
        <w:jc w:val="both"/>
        <w:rPr>
          <w:rFonts w:ascii="Arial" w:hAnsi="Arial" w:eastAsia="Calibri" w:cs="Arial"/>
        </w:rPr>
      </w:pPr>
      <w:r>
        <w:rPr>
          <w:rFonts w:ascii="Arial" w:hAnsi="Arial" w:eastAsia="Calibri" w:cs="Arial"/>
          <w:b/>
        </w:rPr>
        <w:t>5.1.</w:t>
      </w:r>
      <w:r>
        <w:rPr>
          <w:rFonts w:ascii="Arial" w:hAnsi="Arial" w:eastAsia="Calibri" w:cs="Arial"/>
          <w:bCs/>
        </w:rPr>
        <w:t>O pagamento será efetuado em até 30 (trinta) dias após a entrega da nota fiscal devidamente atestada pelo setor competente, mediante controle emitido pelo fornecedor.</w:t>
      </w:r>
      <w:r>
        <w:rPr>
          <w:rFonts w:ascii="Arial" w:hAnsi="Arial" w:eastAsia="Calibri" w:cs="Arial"/>
        </w:rPr>
        <w:t xml:space="preserve"> </w:t>
      </w:r>
    </w:p>
    <w:p>
      <w:pPr>
        <w:jc w:val="both"/>
        <w:rPr>
          <w:rFonts w:ascii="Arial" w:hAnsi="Arial" w:eastAsia="Calibri" w:cs="Arial"/>
        </w:rPr>
      </w:pPr>
    </w:p>
    <w:p>
      <w:pPr>
        <w:pStyle w:val="72"/>
        <w:numPr>
          <w:ilvl w:val="0"/>
          <w:numId w:val="0"/>
        </w:numPr>
        <w:spacing w:before="0" w:after="120"/>
        <w:rPr>
          <w:rFonts w:cs="Arial"/>
          <w:sz w:val="24"/>
        </w:rPr>
      </w:pPr>
      <w:r>
        <w:rPr>
          <w:rFonts w:cs="Arial"/>
          <w:sz w:val="24"/>
        </w:rPr>
        <w:t>CLÁUSULA SEXTA – REAJUSTAMENTO DE PREÇOS EM SENTIDO AMPLO.</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6.1. </w:t>
      </w:r>
      <w:r>
        <w:rPr>
          <w:rFonts w:ascii="Arial" w:hAnsi="Arial" w:cs="Arial"/>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6.2. </w:t>
      </w:r>
      <w:r>
        <w:rPr>
          <w:rFonts w:ascii="Arial" w:hAnsi="Arial" w:cs="Arial"/>
          <w:szCs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6.3. </w:t>
      </w:r>
      <w:r>
        <w:rPr>
          <w:rFonts w:ascii="Arial" w:hAnsi="Arial" w:cs="Arial"/>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6.4. </w:t>
      </w:r>
      <w:r>
        <w:rPr>
          <w:rFonts w:ascii="Arial" w:hAnsi="Arial" w:cs="Arial"/>
          <w:szCs w:val="24"/>
        </w:rPr>
        <w:t>Os reajustes permitidos pelo artigo 65, da Lei n. 8.666/93, serão concedidos após decorrido 12 (doze) meses da vigência do contrato, por provocação do contratado, devendo cumprir obrigatoriamente os requisitos do DECRETO Nº 2.368, DE 24 DE OUTUBRO DE 2023</w:t>
      </w:r>
      <w:r>
        <w:rPr>
          <w:rStyle w:val="17"/>
          <w:rFonts w:ascii="Arial" w:hAnsi="Arial" w:cs="Arial"/>
          <w:szCs w:val="24"/>
        </w:rPr>
        <w:footnoteReference w:id="1"/>
      </w:r>
      <w:r>
        <w:rPr>
          <w:rFonts w:ascii="Arial" w:hAnsi="Arial" w:cs="Arial"/>
          <w:szCs w:val="24"/>
        </w:rPr>
        <w:t xml:space="preserve"> que deverá comprovar através de percentuais do INPC/IBGE, o reajuste pleiteado, que passarão por análise contábil de servidores designados pelo Município de Primavera do Leste;</w:t>
      </w:r>
    </w:p>
    <w:p>
      <w:pPr>
        <w:widowControl w:val="0"/>
        <w:autoSpaceDE w:val="0"/>
        <w:autoSpaceDN w:val="0"/>
        <w:adjustRightInd w:val="0"/>
        <w:spacing w:after="120"/>
        <w:ind w:left="709"/>
        <w:jc w:val="both"/>
        <w:rPr>
          <w:rFonts w:ascii="Arial" w:hAnsi="Arial" w:eastAsia="Calibri" w:cs="Arial"/>
        </w:rPr>
      </w:pPr>
      <w:r>
        <w:rPr>
          <w:rFonts w:ascii="Arial" w:hAnsi="Arial" w:cs="Arial"/>
          <w:b/>
          <w:szCs w:val="24"/>
        </w:rPr>
        <w:t xml:space="preserve">6.4.1. </w:t>
      </w:r>
      <w:r>
        <w:rPr>
          <w:rFonts w:ascii="Arial" w:hAnsi="Arial" w:eastAsia="Calibri" w:cs="Arial"/>
        </w:rPr>
        <w:t>A contratada poderá exercer seu direito de repactuação, sempre que houver uma nova convenção coletiva de trabalho que altere o subsídio da categoria constante do contrato.</w:t>
      </w:r>
    </w:p>
    <w:p>
      <w:pPr>
        <w:widowControl w:val="0"/>
        <w:autoSpaceDE w:val="0"/>
        <w:autoSpaceDN w:val="0"/>
        <w:adjustRightInd w:val="0"/>
        <w:spacing w:after="120"/>
        <w:ind w:left="709"/>
        <w:jc w:val="both"/>
        <w:rPr>
          <w:rFonts w:ascii="Arial" w:hAnsi="Arial" w:eastAsia="Calibri" w:cs="Arial"/>
        </w:rPr>
      </w:pPr>
      <w:r>
        <w:rPr>
          <w:rFonts w:ascii="Arial" w:hAnsi="Arial" w:cs="Arial"/>
          <w:b/>
          <w:szCs w:val="24"/>
        </w:rPr>
        <w:t xml:space="preserve">6.4.1.2. </w:t>
      </w:r>
      <w:r>
        <w:rPr>
          <w:rFonts w:ascii="Arial" w:hAnsi="Arial" w:eastAsia="Calibri" w:cs="Arial"/>
        </w:rPr>
        <w:t xml:space="preserve">Para a concessão da primeira repactuação deverá ser obedecido a seguinte regra: </w:t>
      </w:r>
    </w:p>
    <w:p>
      <w:pPr>
        <w:widowControl w:val="0"/>
        <w:numPr>
          <w:ilvl w:val="0"/>
          <w:numId w:val="19"/>
        </w:numPr>
        <w:autoSpaceDE w:val="0"/>
        <w:autoSpaceDN w:val="0"/>
        <w:adjustRightInd w:val="0"/>
        <w:spacing w:after="120"/>
        <w:ind w:left="1129"/>
        <w:jc w:val="both"/>
        <w:rPr>
          <w:rFonts w:ascii="Arial" w:hAnsi="Arial" w:eastAsia="Calibri" w:cs="Arial"/>
        </w:rPr>
      </w:pPr>
      <w:r>
        <w:rPr>
          <w:rFonts w:ascii="Arial" w:hAnsi="Arial" w:eastAsia="Calibri" w:cs="Arial"/>
        </w:rPr>
        <w:t xml:space="preserve">Um ano da data limite para apresentação das propostas constante do instrumento convocatório, em relação aos custos decorrentes do mercado, tais como o custo dos materiais e equipamentos necessários à execução do serviço, utilizando-se o índice inflacionário como base de ajuste; </w:t>
      </w:r>
    </w:p>
    <w:p>
      <w:pPr>
        <w:widowControl w:val="0"/>
        <w:numPr>
          <w:ilvl w:val="0"/>
          <w:numId w:val="19"/>
        </w:numPr>
        <w:autoSpaceDE w:val="0"/>
        <w:autoSpaceDN w:val="0"/>
        <w:adjustRightInd w:val="0"/>
        <w:spacing w:after="120"/>
        <w:ind w:left="1129"/>
        <w:jc w:val="both"/>
        <w:rPr>
          <w:rFonts w:ascii="Arial" w:hAnsi="Arial" w:eastAsia="Calibri" w:cs="Arial"/>
        </w:rPr>
      </w:pPr>
      <w:r>
        <w:rPr>
          <w:rFonts w:ascii="Arial" w:hAnsi="Arial" w:eastAsia="Calibri" w:cs="Arial"/>
        </w:rPr>
        <w:t xml:space="preserve">Da data do acordo, convenção ou dissídio coletivo de trabalho ou equivalente, vigente à época da apresentação da proposta, quando a variação dos custos for decorrente da mão de obra e estiver vinculada às datas-bases destes instrumentos. </w:t>
      </w:r>
    </w:p>
    <w:p>
      <w:pPr>
        <w:widowControl w:val="0"/>
        <w:numPr>
          <w:ilvl w:val="0"/>
          <w:numId w:val="19"/>
        </w:numPr>
        <w:autoSpaceDE w:val="0"/>
        <w:autoSpaceDN w:val="0"/>
        <w:adjustRightInd w:val="0"/>
        <w:spacing w:after="120"/>
        <w:ind w:left="1129"/>
        <w:jc w:val="both"/>
        <w:rPr>
          <w:rFonts w:ascii="Arial" w:hAnsi="Arial" w:eastAsia="Calibri" w:cs="Arial"/>
        </w:rPr>
      </w:pPr>
      <w:r>
        <w:rPr>
          <w:rFonts w:ascii="Arial" w:hAnsi="Arial" w:eastAsia="Calibri" w:cs="Arial"/>
        </w:rPr>
        <w:t>Nas repactuações subsequentes à primeira, a periodicidade será contada a partir da data de vigência dos valores adotados na última repactuação.</w:t>
      </w:r>
    </w:p>
    <w:p>
      <w:pPr>
        <w:widowControl w:val="0"/>
        <w:autoSpaceDE w:val="0"/>
        <w:autoSpaceDN w:val="0"/>
        <w:adjustRightInd w:val="0"/>
        <w:spacing w:after="120"/>
        <w:jc w:val="both"/>
        <w:rPr>
          <w:rFonts w:ascii="Arial" w:hAnsi="Arial" w:cs="Arial"/>
          <w:b/>
          <w:bCs/>
          <w:szCs w:val="24"/>
        </w:rPr>
      </w:pP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6.5. </w:t>
      </w:r>
      <w:r>
        <w:rPr>
          <w:rFonts w:ascii="Arial" w:hAnsi="Arial" w:cs="Arial"/>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6.6. </w:t>
      </w:r>
      <w:r>
        <w:rPr>
          <w:rFonts w:ascii="Arial" w:hAnsi="Arial" w:cs="Arial"/>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after="120"/>
        <w:jc w:val="both"/>
        <w:rPr>
          <w:rFonts w:ascii="Arial" w:hAnsi="Arial" w:cs="Arial"/>
          <w:szCs w:val="24"/>
        </w:rPr>
      </w:pPr>
      <w:r>
        <w:rPr>
          <w:rFonts w:ascii="Arial" w:hAnsi="Arial" w:cs="Arial"/>
          <w:b/>
          <w:szCs w:val="24"/>
        </w:rPr>
        <w:t xml:space="preserve">6.7. </w:t>
      </w:r>
      <w:r>
        <w:rPr>
          <w:rFonts w:ascii="Arial" w:hAnsi="Arial" w:cs="Arial"/>
          <w:szCs w:val="24"/>
        </w:rPr>
        <w:t>Serão considerados compatíveis com os de mercado os preços registrados que forem iguais ou inferiores à média daqueles apurados pelo setor demandante, na pesquisa de estimativa de preços.</w:t>
      </w:r>
    </w:p>
    <w:p>
      <w:pPr>
        <w:jc w:val="both"/>
        <w:rPr>
          <w:rFonts w:ascii="Arial" w:hAnsi="Arial" w:eastAsia="Calibri" w:cs="Arial"/>
          <w:color w:val="FF0000"/>
        </w:rPr>
      </w:pPr>
    </w:p>
    <w:p>
      <w:pPr>
        <w:pStyle w:val="72"/>
        <w:numPr>
          <w:ilvl w:val="0"/>
          <w:numId w:val="0"/>
        </w:numPr>
        <w:spacing w:before="0" w:after="120"/>
        <w:rPr>
          <w:rFonts w:eastAsia="SimSun" w:cs="Arial"/>
          <w:sz w:val="24"/>
          <w:szCs w:val="24"/>
        </w:rPr>
      </w:pPr>
      <w:r>
        <w:rPr>
          <w:rFonts w:cs="Arial"/>
          <w:sz w:val="24"/>
        </w:rPr>
        <w:t>CLÁUSULA SÉTIMA – GARANTIA DE EXECUÇÃO</w:t>
      </w:r>
    </w:p>
    <w:p>
      <w:pPr>
        <w:widowControl w:val="0"/>
        <w:autoSpaceDE w:val="0"/>
        <w:autoSpaceDN w:val="0"/>
        <w:adjustRightInd w:val="0"/>
        <w:spacing w:after="120"/>
        <w:jc w:val="both"/>
        <w:rPr>
          <w:rFonts w:ascii="Arial" w:hAnsi="Arial" w:eastAsia="Calibri" w:cs="Arial"/>
        </w:rPr>
      </w:pPr>
      <w:r>
        <w:rPr>
          <w:rFonts w:ascii="Arial" w:hAnsi="Arial" w:eastAsia="Calibri" w:cs="Arial"/>
          <w:b/>
        </w:rPr>
        <w:t xml:space="preserve">7.1. </w:t>
      </w:r>
      <w:r>
        <w:rPr>
          <w:rFonts w:ascii="Arial" w:hAnsi="Arial" w:eastAsia="Calibri" w:cs="Arial"/>
        </w:rPr>
        <w:t>A(s) CONTRATADA(s) compromete(m)-se-à dar total garantia quanto a qualidade dos produtos fornecidos oriundos das prestações de serviços, bem como efetuar a substituição imediata, e totalmente às suas expensas de qualquer produto entregue comprovadamente adulterado ou inutilizável, portanto, fora das especificações técnicas e padrões de qualidade;</w:t>
      </w:r>
    </w:p>
    <w:p>
      <w:pPr>
        <w:widowControl w:val="0"/>
        <w:autoSpaceDE w:val="0"/>
        <w:autoSpaceDN w:val="0"/>
        <w:adjustRightInd w:val="0"/>
        <w:spacing w:after="120"/>
        <w:jc w:val="both"/>
        <w:rPr>
          <w:rFonts w:ascii="Arial" w:hAnsi="Arial" w:eastAsia="Calibri" w:cs="Arial"/>
        </w:rPr>
      </w:pPr>
    </w:p>
    <w:p>
      <w:pPr>
        <w:widowControl w:val="0"/>
        <w:autoSpaceDE w:val="0"/>
        <w:autoSpaceDN w:val="0"/>
        <w:adjustRightInd w:val="0"/>
        <w:spacing w:after="120"/>
        <w:jc w:val="both"/>
        <w:rPr>
          <w:rFonts w:ascii="Arial" w:hAnsi="Arial" w:eastAsia="Calibri" w:cs="Arial"/>
          <w:b/>
          <w:bCs/>
        </w:rPr>
      </w:pPr>
    </w:p>
    <w:p>
      <w:pPr>
        <w:widowControl w:val="0"/>
        <w:autoSpaceDE w:val="0"/>
        <w:autoSpaceDN w:val="0"/>
        <w:adjustRightInd w:val="0"/>
        <w:spacing w:after="120"/>
        <w:jc w:val="both"/>
        <w:rPr>
          <w:rFonts w:ascii="Arial" w:hAnsi="Arial" w:eastAsia="Calibri" w:cs="Arial"/>
        </w:rPr>
      </w:pPr>
      <w:r>
        <w:rPr>
          <w:rFonts w:ascii="Arial" w:hAnsi="Arial" w:eastAsia="Calibri" w:cs="Arial"/>
          <w:b/>
          <w:bCs/>
        </w:rPr>
        <w:t>7.2.</w:t>
      </w:r>
      <w:r>
        <w:rPr>
          <w:rFonts w:ascii="Arial" w:hAnsi="Arial" w:eastAsia="Calibri" w:cs="Arial"/>
        </w:rPr>
        <w:t xml:space="preserve"> Quanto a garantia contratual, não será aplicada a esse processo.</w:t>
      </w:r>
    </w:p>
    <w:p>
      <w:pPr>
        <w:widowControl w:val="0"/>
        <w:autoSpaceDE w:val="0"/>
        <w:autoSpaceDN w:val="0"/>
        <w:adjustRightInd w:val="0"/>
        <w:spacing w:after="120"/>
        <w:jc w:val="both"/>
        <w:rPr>
          <w:rFonts w:ascii="Arial" w:hAnsi="Arial" w:eastAsia="Calibri" w:cs="Arial"/>
        </w:rPr>
      </w:pPr>
    </w:p>
    <w:p>
      <w:pPr>
        <w:widowControl w:val="0"/>
        <w:autoSpaceDE w:val="0"/>
        <w:autoSpaceDN w:val="0"/>
        <w:adjustRightInd w:val="0"/>
        <w:spacing w:after="120"/>
        <w:jc w:val="both"/>
        <w:rPr>
          <w:rFonts w:ascii="Arial" w:hAnsi="Arial" w:eastAsia="Calibri" w:cs="Arial"/>
          <w:b/>
        </w:rPr>
      </w:pPr>
      <w:r>
        <w:rPr>
          <w:rFonts w:ascii="Arial" w:hAnsi="Arial" w:eastAsia="Calibri" w:cs="Arial"/>
          <w:b/>
        </w:rPr>
        <w:t>CLÁUSULA OITAVA – MODELO DE EXECUÇÃO DOS SERVIÇOS E FISCALIZAÇÃO</w:t>
      </w:r>
    </w:p>
    <w:p>
      <w:pPr>
        <w:widowControl w:val="0"/>
        <w:autoSpaceDE w:val="0"/>
        <w:autoSpaceDN w:val="0"/>
        <w:adjustRightInd w:val="0"/>
        <w:spacing w:after="120"/>
        <w:jc w:val="both"/>
        <w:rPr>
          <w:rFonts w:ascii="Arial" w:hAnsi="Arial" w:eastAsia="Calibri" w:cs="Arial"/>
          <w:szCs w:val="24"/>
        </w:rPr>
      </w:pPr>
      <w:r>
        <w:rPr>
          <w:rFonts w:ascii="Arial" w:hAnsi="Arial" w:eastAsia="Calibri" w:cs="Arial"/>
          <w:b/>
        </w:rPr>
        <w:t xml:space="preserve">8.1. </w:t>
      </w:r>
      <w:r>
        <w:rPr>
          <w:rFonts w:ascii="Arial" w:hAnsi="Arial" w:cs="Arial"/>
          <w:b/>
          <w:szCs w:val="24"/>
        </w:rPr>
        <w:t xml:space="preserve">LIMPEZA E CONSERVAÇÃO PREDIAL: </w:t>
      </w:r>
      <w:r>
        <w:rPr>
          <w:rFonts w:ascii="Arial" w:hAnsi="Arial" w:cs="Arial"/>
          <w:bCs/>
          <w:szCs w:val="24"/>
        </w:rPr>
        <w:t>Os serviços contratados consistem na limpeza e conservação dos ambientes, de forma a promover a remoção de sujidades visíveis nas superfícies das diversas áreas, o que inclui tetos, pisos, paredes/divisórias, portas, janelas, mobiliários, equipamentos, instalações sanitárias, grades do ar condicionado e/ou exaustor, etc., na forma</w:t>
      </w:r>
      <w:r>
        <w:rPr>
          <w:rFonts w:ascii="Arial" w:hAnsi="Arial" w:eastAsia="Calibri" w:cs="Arial"/>
          <w:szCs w:val="24"/>
        </w:rPr>
        <w:t xml:space="preserve"> prevista no Termo de Referência, anexo do Edital.</w:t>
      </w:r>
    </w:p>
    <w:p>
      <w:pPr>
        <w:widowControl w:val="0"/>
        <w:autoSpaceDE w:val="0"/>
        <w:autoSpaceDN w:val="0"/>
        <w:adjustRightInd w:val="0"/>
        <w:spacing w:after="120"/>
        <w:jc w:val="both"/>
        <w:rPr>
          <w:rFonts w:ascii="Arial" w:hAnsi="Arial" w:cs="Arial"/>
          <w:b/>
          <w:bCs/>
        </w:rPr>
      </w:pPr>
      <w:r>
        <w:rPr>
          <w:rFonts w:ascii="Arial" w:hAnsi="Arial" w:cs="Arial"/>
          <w:b/>
          <w:bCs/>
        </w:rPr>
        <w:t>CLÁUSULA NONA – OBRIGAÇÕES DA CONTRATADA</w:t>
      </w:r>
    </w:p>
    <w:p>
      <w:pPr>
        <w:pStyle w:val="72"/>
        <w:numPr>
          <w:ilvl w:val="0"/>
          <w:numId w:val="0"/>
        </w:numPr>
        <w:spacing w:before="0" w:after="120"/>
        <w:rPr>
          <w:rFonts w:cs="Arial"/>
          <w:b w:val="0"/>
          <w:bCs/>
          <w:sz w:val="24"/>
        </w:rPr>
      </w:pPr>
      <w:r>
        <w:rPr>
          <w:rFonts w:cs="Arial"/>
          <w:sz w:val="24"/>
        </w:rPr>
        <w:t>9.1</w:t>
      </w:r>
      <w:r>
        <w:rPr>
          <w:rFonts w:cs="Arial"/>
          <w:b w:val="0"/>
          <w:bCs/>
          <w:sz w:val="24"/>
        </w:rPr>
        <w:t xml:space="preserve">. Executar os serviços através de pessoas idôneas; assumir total responsabilidade por quaisquer danos ou faltas que venham a causar os seus empregados no desempenho de suas funções;; </w:t>
      </w:r>
    </w:p>
    <w:p>
      <w:pPr>
        <w:pStyle w:val="72"/>
        <w:numPr>
          <w:ilvl w:val="0"/>
          <w:numId w:val="0"/>
        </w:numPr>
        <w:spacing w:before="0" w:after="120"/>
        <w:rPr>
          <w:rFonts w:cs="Arial"/>
          <w:b w:val="0"/>
          <w:bCs/>
          <w:sz w:val="24"/>
        </w:rPr>
      </w:pPr>
      <w:r>
        <w:rPr>
          <w:rFonts w:cs="Arial"/>
          <w:sz w:val="24"/>
        </w:rPr>
        <w:t>9.2</w:t>
      </w:r>
      <w:r>
        <w:rPr>
          <w:rFonts w:cs="Arial"/>
          <w:b w:val="0"/>
          <w:bCs/>
          <w:sz w:val="24"/>
        </w:rPr>
        <w:t>. Prestar os serviços de acordo com os padrões de qualidade e normas vigentes, e cumprir as especificações e condições estabelecidas no Edital;</w:t>
      </w:r>
    </w:p>
    <w:p>
      <w:pPr>
        <w:pStyle w:val="72"/>
        <w:numPr>
          <w:ilvl w:val="0"/>
          <w:numId w:val="0"/>
        </w:numPr>
        <w:spacing w:before="0" w:after="120"/>
        <w:rPr>
          <w:rFonts w:cs="Arial"/>
          <w:b w:val="0"/>
          <w:bCs/>
          <w:sz w:val="24"/>
        </w:rPr>
      </w:pPr>
      <w:r>
        <w:rPr>
          <w:rFonts w:cs="Arial"/>
          <w:sz w:val="24"/>
        </w:rPr>
        <w:t>9.3.</w:t>
      </w:r>
      <w:r>
        <w:rPr>
          <w:rFonts w:cs="Arial"/>
          <w:b w:val="0"/>
          <w:bCs/>
          <w:sz w:val="24"/>
        </w:rPr>
        <w:t xml:space="preserve">  Iniciar a prestação dos serviços após a Expedição da Ordem de Serviços a ser emitida por cada Secretaria Municipal participante;</w:t>
      </w:r>
    </w:p>
    <w:p>
      <w:pPr>
        <w:pStyle w:val="72"/>
        <w:numPr>
          <w:ilvl w:val="0"/>
          <w:numId w:val="0"/>
        </w:numPr>
        <w:spacing w:before="0" w:after="120"/>
        <w:rPr>
          <w:rFonts w:cs="Arial"/>
          <w:b w:val="0"/>
          <w:bCs/>
          <w:sz w:val="24"/>
        </w:rPr>
      </w:pPr>
      <w:r>
        <w:rPr>
          <w:rFonts w:cs="Arial"/>
          <w:sz w:val="24"/>
        </w:rPr>
        <w:t>9.4.</w:t>
      </w:r>
      <w:r>
        <w:rPr>
          <w:rFonts w:cs="Arial"/>
          <w:b w:val="0"/>
          <w:bCs/>
          <w:sz w:val="24"/>
        </w:rPr>
        <w:t xml:space="preserve"> Responsabilizar-se pelos vícios e danos decorrentes do produto, de acordo com os artigos 12, 13, 18 e 26, do Código de Defesa do Consumidor (Lei nº 8.078, de 1990);</w:t>
      </w:r>
    </w:p>
    <w:p>
      <w:pPr>
        <w:pStyle w:val="72"/>
        <w:numPr>
          <w:ilvl w:val="0"/>
          <w:numId w:val="0"/>
        </w:numPr>
        <w:spacing w:before="0" w:after="120"/>
        <w:rPr>
          <w:rFonts w:cs="Arial"/>
          <w:b w:val="0"/>
          <w:bCs/>
          <w:sz w:val="24"/>
        </w:rPr>
      </w:pPr>
      <w:r>
        <w:rPr>
          <w:rFonts w:cs="Arial"/>
          <w:sz w:val="24"/>
        </w:rPr>
        <w:t>9.5.</w:t>
      </w:r>
      <w:r>
        <w:rPr>
          <w:rFonts w:cs="Arial"/>
          <w:b w:val="0"/>
          <w:bCs/>
          <w:sz w:val="24"/>
        </w:rPr>
        <w:t xml:space="preserve"> A PRESTADORA DE SERVIÇOS deverá disponibilizar e manter quantitativo de pessoal compatível com as necessidades dos serviços quando autorizados;</w:t>
      </w:r>
    </w:p>
    <w:p>
      <w:pPr>
        <w:pStyle w:val="72"/>
        <w:numPr>
          <w:ilvl w:val="0"/>
          <w:numId w:val="0"/>
        </w:numPr>
        <w:spacing w:before="0" w:after="120"/>
        <w:rPr>
          <w:rFonts w:cs="Arial"/>
          <w:b w:val="0"/>
          <w:bCs/>
          <w:sz w:val="24"/>
        </w:rPr>
      </w:pPr>
      <w:r>
        <w:rPr>
          <w:rFonts w:cs="Arial"/>
          <w:sz w:val="24"/>
        </w:rPr>
        <w:t>9.6</w:t>
      </w:r>
      <w:r>
        <w:rPr>
          <w:rFonts w:cs="Arial"/>
          <w:b w:val="0"/>
          <w:bCs/>
          <w:sz w:val="24"/>
        </w:rPr>
        <w:t>. Responsabilizar-se pelas operações e custos de transporte, carga e descarga;</w:t>
      </w:r>
    </w:p>
    <w:p>
      <w:pPr>
        <w:pStyle w:val="72"/>
        <w:numPr>
          <w:ilvl w:val="0"/>
          <w:numId w:val="0"/>
        </w:numPr>
        <w:spacing w:before="0" w:after="120"/>
        <w:rPr>
          <w:rFonts w:cs="Arial"/>
          <w:b w:val="0"/>
          <w:bCs/>
          <w:sz w:val="24"/>
        </w:rPr>
      </w:pPr>
      <w:r>
        <w:rPr>
          <w:rFonts w:cs="Arial"/>
          <w:sz w:val="24"/>
        </w:rPr>
        <w:t>9.7.</w:t>
      </w:r>
      <w:r>
        <w:rPr>
          <w:rFonts w:cs="Arial"/>
          <w:b w:val="0"/>
          <w:bCs/>
          <w:sz w:val="24"/>
        </w:rPr>
        <w:t xml:space="preserve"> Atender prontamente a quaisquer exigências da Administração, inerentes ao objeto da presente licitação;</w:t>
      </w:r>
    </w:p>
    <w:p>
      <w:pPr>
        <w:pStyle w:val="72"/>
        <w:numPr>
          <w:ilvl w:val="0"/>
          <w:numId w:val="0"/>
        </w:numPr>
        <w:spacing w:before="0" w:after="120"/>
        <w:rPr>
          <w:rFonts w:cs="Arial"/>
          <w:b w:val="0"/>
          <w:bCs/>
          <w:sz w:val="24"/>
        </w:rPr>
      </w:pPr>
      <w:r>
        <w:rPr>
          <w:rFonts w:cs="Arial"/>
          <w:sz w:val="24"/>
        </w:rPr>
        <w:t>9.8.</w:t>
      </w:r>
      <w:r>
        <w:rPr>
          <w:rFonts w:cs="Arial"/>
          <w:b w:val="0"/>
          <w:bCs/>
          <w:sz w:val="24"/>
        </w:rPr>
        <w:t xml:space="preserve"> Responsabilizar-se pelos encargos trabalhistas, previdenciários, fiscais e comerciais resultantes da execução do Contrato, conforme dispõe o art. 71, Parágrafos 1° e 2° da Lei 8.666/93;</w:t>
      </w:r>
    </w:p>
    <w:p>
      <w:pPr>
        <w:pStyle w:val="72"/>
        <w:numPr>
          <w:ilvl w:val="0"/>
          <w:numId w:val="0"/>
        </w:numPr>
        <w:spacing w:before="0" w:after="120"/>
        <w:rPr>
          <w:rFonts w:cs="Arial"/>
          <w:b w:val="0"/>
          <w:bCs/>
          <w:sz w:val="24"/>
        </w:rPr>
      </w:pPr>
      <w:r>
        <w:rPr>
          <w:rFonts w:cs="Arial"/>
          <w:sz w:val="24"/>
        </w:rPr>
        <w:t>9.9</w:t>
      </w:r>
      <w:r>
        <w:rPr>
          <w:rFonts w:cs="Arial"/>
          <w:b w:val="0"/>
          <w:bCs/>
          <w:sz w:val="24"/>
        </w:rPr>
        <w:t>. Arcar com todos os ônus necessários à completa execução dos serviços;</w:t>
      </w:r>
    </w:p>
    <w:p>
      <w:pPr>
        <w:pStyle w:val="72"/>
        <w:numPr>
          <w:ilvl w:val="0"/>
          <w:numId w:val="0"/>
        </w:numPr>
        <w:spacing w:before="0" w:after="120"/>
        <w:rPr>
          <w:rFonts w:cs="Arial"/>
          <w:b w:val="0"/>
          <w:bCs/>
          <w:sz w:val="24"/>
        </w:rPr>
      </w:pPr>
      <w:r>
        <w:rPr>
          <w:rFonts w:cs="Arial"/>
          <w:sz w:val="24"/>
        </w:rPr>
        <w:t>9.10.</w:t>
      </w:r>
      <w:r>
        <w:rPr>
          <w:rFonts w:cs="Arial"/>
          <w:b w:val="0"/>
          <w:bCs/>
          <w:sz w:val="24"/>
        </w:rPr>
        <w:t xml:space="preserve">  Manter um supervisor responsável pelo gerenciamento dos serviços, com poderes de representante ou preposto, para tratar com o FISCAL DE CONTRATO, dos assuntos relacionados com a execução do Contrato; </w:t>
      </w:r>
    </w:p>
    <w:p>
      <w:pPr>
        <w:pStyle w:val="72"/>
        <w:numPr>
          <w:ilvl w:val="0"/>
          <w:numId w:val="0"/>
        </w:numPr>
        <w:spacing w:before="0" w:after="120"/>
        <w:rPr>
          <w:rFonts w:cs="Arial"/>
          <w:b w:val="0"/>
          <w:bCs/>
          <w:sz w:val="24"/>
        </w:rPr>
      </w:pPr>
      <w:r>
        <w:rPr>
          <w:rFonts w:cs="Arial"/>
          <w:sz w:val="24"/>
        </w:rPr>
        <w:t>9.11</w:t>
      </w:r>
      <w:r>
        <w:rPr>
          <w:rFonts w:cs="Arial"/>
          <w:b w:val="0"/>
          <w:bCs/>
          <w:sz w:val="24"/>
        </w:rPr>
        <w:t>.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pStyle w:val="72"/>
        <w:numPr>
          <w:ilvl w:val="0"/>
          <w:numId w:val="0"/>
        </w:numPr>
        <w:spacing w:before="0" w:after="120"/>
        <w:rPr>
          <w:rFonts w:cs="Arial"/>
          <w:b w:val="0"/>
          <w:bCs/>
          <w:sz w:val="24"/>
        </w:rPr>
      </w:pPr>
      <w:r>
        <w:rPr>
          <w:rFonts w:cs="Arial"/>
          <w:sz w:val="24"/>
        </w:rPr>
        <w:t>9.12</w:t>
      </w:r>
      <w:r>
        <w:rPr>
          <w:rFonts w:cs="Arial"/>
          <w:b w:val="0"/>
          <w:bCs/>
          <w:sz w:val="24"/>
        </w:rPr>
        <w:t>. Providenciar para que os seus funcionários utilizem vestuário compatível com o trabalho, bem como equipamento de proteção individual previsto pelas normas de segurança do trabalho;</w:t>
      </w:r>
    </w:p>
    <w:p>
      <w:pPr>
        <w:pStyle w:val="72"/>
        <w:numPr>
          <w:ilvl w:val="0"/>
          <w:numId w:val="0"/>
        </w:numPr>
        <w:spacing w:before="0" w:after="120"/>
        <w:rPr>
          <w:rFonts w:cs="Arial"/>
          <w:b w:val="0"/>
          <w:bCs/>
          <w:sz w:val="24"/>
        </w:rPr>
      </w:pPr>
      <w:r>
        <w:rPr>
          <w:rFonts w:cs="Arial"/>
          <w:sz w:val="24"/>
        </w:rPr>
        <w:t>9.13</w:t>
      </w:r>
      <w:r>
        <w:rPr>
          <w:rFonts w:cs="Arial"/>
          <w:b w:val="0"/>
          <w:bCs/>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pStyle w:val="72"/>
        <w:numPr>
          <w:ilvl w:val="0"/>
          <w:numId w:val="0"/>
        </w:numPr>
        <w:spacing w:before="0" w:after="120"/>
        <w:rPr>
          <w:rFonts w:cs="Arial"/>
          <w:b w:val="0"/>
          <w:bCs/>
          <w:sz w:val="24"/>
        </w:rPr>
      </w:pPr>
      <w:r>
        <w:rPr>
          <w:rFonts w:cs="Arial"/>
          <w:sz w:val="24"/>
        </w:rPr>
        <w:t>9.14</w:t>
      </w:r>
      <w:r>
        <w:rPr>
          <w:rFonts w:cs="Arial"/>
          <w:b w:val="0"/>
          <w:bCs/>
          <w:sz w:val="24"/>
        </w:rPr>
        <w:t xml:space="preserve">. Comunicar ao FISCAL DE CONTRATO qualquer irregularidade relacionada com a execução dos serviços; </w:t>
      </w:r>
    </w:p>
    <w:p>
      <w:pPr>
        <w:pStyle w:val="72"/>
        <w:numPr>
          <w:ilvl w:val="0"/>
          <w:numId w:val="0"/>
        </w:numPr>
        <w:spacing w:before="0" w:after="120"/>
        <w:rPr>
          <w:rFonts w:cs="Arial"/>
          <w:b w:val="0"/>
          <w:bCs/>
          <w:sz w:val="24"/>
        </w:rPr>
      </w:pPr>
      <w:r>
        <w:rPr>
          <w:rFonts w:cs="Arial"/>
          <w:sz w:val="24"/>
        </w:rPr>
        <w:t>9.15.</w:t>
      </w:r>
      <w:r>
        <w:rPr>
          <w:rFonts w:cs="Arial"/>
          <w:b w:val="0"/>
          <w:bCs/>
          <w:sz w:val="24"/>
        </w:rPr>
        <w:t xml:space="preserve"> 1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pStyle w:val="72"/>
        <w:numPr>
          <w:ilvl w:val="0"/>
          <w:numId w:val="0"/>
        </w:numPr>
        <w:spacing w:before="0" w:after="120"/>
        <w:rPr>
          <w:rFonts w:cs="Arial"/>
          <w:b w:val="0"/>
          <w:bCs/>
          <w:sz w:val="24"/>
        </w:rPr>
      </w:pPr>
      <w:r>
        <w:rPr>
          <w:rFonts w:cs="Arial"/>
          <w:sz w:val="24"/>
        </w:rPr>
        <w:t>9.16.</w:t>
      </w:r>
      <w:r>
        <w:rPr>
          <w:rFonts w:cs="Arial"/>
          <w:b w:val="0"/>
          <w:bCs/>
          <w:sz w:val="24"/>
        </w:rPr>
        <w:t xml:space="preserve"> 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pStyle w:val="72"/>
        <w:numPr>
          <w:ilvl w:val="0"/>
          <w:numId w:val="0"/>
        </w:numPr>
        <w:spacing w:before="0" w:after="120"/>
        <w:rPr>
          <w:rFonts w:cs="Arial"/>
          <w:b w:val="0"/>
          <w:bCs/>
          <w:sz w:val="24"/>
        </w:rPr>
      </w:pPr>
      <w:r>
        <w:rPr>
          <w:rFonts w:cs="Arial"/>
          <w:sz w:val="24"/>
        </w:rPr>
        <w:t>9.17.</w:t>
      </w:r>
      <w:r>
        <w:rPr>
          <w:rFonts w:cs="Arial"/>
          <w:b w:val="0"/>
          <w:bCs/>
          <w:sz w:val="24"/>
        </w:rPr>
        <w:t xml:space="preserve"> Não transferir a outrem os serviços contratados, no todo ou em parte;</w:t>
      </w:r>
    </w:p>
    <w:p>
      <w:pPr>
        <w:pStyle w:val="72"/>
        <w:numPr>
          <w:ilvl w:val="0"/>
          <w:numId w:val="0"/>
        </w:numPr>
        <w:spacing w:before="0" w:after="120"/>
        <w:rPr>
          <w:rFonts w:cs="Arial"/>
          <w:b w:val="0"/>
          <w:bCs/>
          <w:sz w:val="24"/>
        </w:rPr>
      </w:pPr>
      <w:r>
        <w:rPr>
          <w:rFonts w:cs="Arial"/>
          <w:sz w:val="24"/>
        </w:rPr>
        <w:t>9.18.</w:t>
      </w:r>
      <w:r>
        <w:rPr>
          <w:rFonts w:cs="Arial"/>
          <w:b w:val="0"/>
          <w:bCs/>
          <w:sz w:val="24"/>
        </w:rPr>
        <w:t xml:space="preserve"> Fornecer as ferramentas necessárias para execução dos serviços contratados; </w:t>
      </w:r>
    </w:p>
    <w:p>
      <w:pPr>
        <w:pStyle w:val="72"/>
        <w:numPr>
          <w:ilvl w:val="0"/>
          <w:numId w:val="0"/>
        </w:numPr>
        <w:spacing w:before="0" w:after="120"/>
        <w:rPr>
          <w:rFonts w:cs="Arial"/>
          <w:b w:val="0"/>
          <w:bCs/>
          <w:sz w:val="24"/>
        </w:rPr>
      </w:pPr>
      <w:r>
        <w:rPr>
          <w:rFonts w:cs="Arial"/>
          <w:sz w:val="24"/>
        </w:rPr>
        <w:t xml:space="preserve">9.19. </w:t>
      </w:r>
      <w:r>
        <w:rPr>
          <w:rFonts w:cs="Arial"/>
          <w:b w:val="0"/>
          <w:bCs/>
          <w:sz w:val="24"/>
        </w:rPr>
        <w:t>Reparar, corrigir, remover, reconstruir ou substituir, às suas expensas, no total ou em parte, o objeto Contratado, em que se verificarem, vícios, defeitos ou incorreções resultantes da execução ou de materiais empregados;</w:t>
      </w:r>
    </w:p>
    <w:p>
      <w:pPr>
        <w:pStyle w:val="72"/>
        <w:numPr>
          <w:ilvl w:val="0"/>
          <w:numId w:val="0"/>
        </w:numPr>
        <w:spacing w:before="0" w:after="120"/>
        <w:rPr>
          <w:rFonts w:cs="Arial"/>
          <w:b w:val="0"/>
          <w:bCs/>
          <w:sz w:val="24"/>
        </w:rPr>
      </w:pPr>
      <w:r>
        <w:rPr>
          <w:rFonts w:cs="Arial"/>
          <w:sz w:val="24"/>
        </w:rPr>
        <w:t>9.20.</w:t>
      </w:r>
      <w:r>
        <w:rPr>
          <w:rFonts w:cs="Arial"/>
          <w:b w:val="0"/>
          <w:bCs/>
          <w:sz w:val="24"/>
        </w:rPr>
        <w:t xml:space="preserve"> Cumprir fielmente todas as cláusulas e condições pactuadas no futuro Contrato, inclusive em relação ao edital de licitação e seus anexos; </w:t>
      </w:r>
    </w:p>
    <w:p>
      <w:pPr>
        <w:pStyle w:val="72"/>
        <w:numPr>
          <w:ilvl w:val="0"/>
          <w:numId w:val="0"/>
        </w:numPr>
        <w:spacing w:before="0" w:after="120"/>
        <w:rPr>
          <w:rFonts w:cs="Arial"/>
          <w:b w:val="0"/>
          <w:bCs/>
          <w:sz w:val="24"/>
        </w:rPr>
      </w:pPr>
      <w:r>
        <w:rPr>
          <w:rFonts w:cs="Arial"/>
          <w:sz w:val="24"/>
        </w:rPr>
        <w:t xml:space="preserve">9.21. </w:t>
      </w:r>
      <w:r>
        <w:rPr>
          <w:rFonts w:cs="Arial"/>
          <w:b w:val="0"/>
          <w:bCs/>
          <w:sz w:val="24"/>
        </w:rPr>
        <w:t>Substituir, sempre que exigido pela Secretaria, qualquer empregado cuja atuação, permanência ou comportamento sejam julgados inconvenientes;</w:t>
      </w:r>
    </w:p>
    <w:p>
      <w:pPr>
        <w:pStyle w:val="72"/>
        <w:numPr>
          <w:ilvl w:val="0"/>
          <w:numId w:val="0"/>
        </w:numPr>
        <w:spacing w:before="0" w:after="120"/>
        <w:rPr>
          <w:rFonts w:cs="Arial"/>
          <w:b w:val="0"/>
          <w:bCs/>
          <w:sz w:val="24"/>
        </w:rPr>
      </w:pPr>
      <w:r>
        <w:rPr>
          <w:rFonts w:cs="Arial"/>
          <w:sz w:val="24"/>
        </w:rPr>
        <w:t>9.22.</w:t>
      </w:r>
      <w:r>
        <w:rPr>
          <w:rFonts w:cs="Arial"/>
          <w:b w:val="0"/>
          <w:bCs/>
          <w:sz w:val="24"/>
        </w:rPr>
        <w:t xml:space="preserve"> Manter, durante toda execução do Contrato, compatibilidade com as obrigações assumidas, em especial as condições de cadastramento e qualificações exigidas no edital de licitação;</w:t>
      </w:r>
    </w:p>
    <w:p>
      <w:pPr>
        <w:pStyle w:val="72"/>
        <w:numPr>
          <w:ilvl w:val="0"/>
          <w:numId w:val="0"/>
        </w:numPr>
        <w:spacing w:before="0" w:after="120"/>
        <w:rPr>
          <w:rFonts w:cs="Arial"/>
          <w:b w:val="0"/>
          <w:bCs/>
          <w:sz w:val="24"/>
        </w:rPr>
      </w:pPr>
      <w:r>
        <w:rPr>
          <w:rFonts w:cs="Arial"/>
          <w:sz w:val="24"/>
        </w:rPr>
        <w:t>9.23.</w:t>
      </w:r>
      <w:r>
        <w:rPr>
          <w:rFonts w:cs="Arial"/>
          <w:b w:val="0"/>
          <w:bCs/>
          <w:sz w:val="24"/>
        </w:rPr>
        <w:t xml:space="preserve"> Respeitar, durante toda execução do contrato a legislação trabalhista, fiscal, providenciaria e comercial, assim como, as normas de higiene e segurança, por cujos encargos responderá unilateralmente;</w:t>
      </w:r>
    </w:p>
    <w:p>
      <w:pPr>
        <w:pStyle w:val="72"/>
        <w:numPr>
          <w:ilvl w:val="0"/>
          <w:numId w:val="0"/>
        </w:numPr>
        <w:spacing w:before="0" w:after="120"/>
        <w:rPr>
          <w:rFonts w:cs="Arial"/>
          <w:b w:val="0"/>
          <w:bCs/>
          <w:sz w:val="24"/>
        </w:rPr>
      </w:pPr>
      <w:r>
        <w:rPr>
          <w:rFonts w:cs="Arial"/>
          <w:sz w:val="24"/>
        </w:rPr>
        <w:t>9.24.</w:t>
      </w:r>
      <w:r>
        <w:rPr>
          <w:rFonts w:cs="Arial"/>
          <w:b w:val="0"/>
          <w:bCs/>
          <w:sz w:val="24"/>
        </w:rPr>
        <w:t xml:space="preserve">  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pStyle w:val="72"/>
        <w:numPr>
          <w:ilvl w:val="0"/>
          <w:numId w:val="0"/>
        </w:numPr>
        <w:spacing w:before="0" w:after="120"/>
        <w:rPr>
          <w:rFonts w:cs="Arial"/>
          <w:b w:val="0"/>
          <w:bCs/>
          <w:sz w:val="24"/>
        </w:rPr>
      </w:pPr>
      <w:r>
        <w:rPr>
          <w:rFonts w:cs="Arial"/>
          <w:sz w:val="24"/>
        </w:rPr>
        <w:t>9.25.</w:t>
      </w:r>
      <w:r>
        <w:rPr>
          <w:rFonts w:cs="Arial"/>
          <w:b w:val="0"/>
          <w:bCs/>
          <w:sz w:val="24"/>
        </w:rPr>
        <w:t xml:space="preserve"> 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pStyle w:val="72"/>
        <w:numPr>
          <w:ilvl w:val="0"/>
          <w:numId w:val="0"/>
        </w:numPr>
        <w:spacing w:before="0" w:after="120"/>
        <w:rPr>
          <w:rFonts w:cs="Arial"/>
          <w:b w:val="0"/>
          <w:bCs/>
          <w:sz w:val="24"/>
        </w:rPr>
      </w:pPr>
      <w:r>
        <w:rPr>
          <w:rFonts w:cs="Arial"/>
          <w:b w:val="0"/>
          <w:bCs/>
          <w:sz w:val="24"/>
        </w:rPr>
        <w:t xml:space="preserve"> </w:t>
      </w:r>
      <w:r>
        <w:rPr>
          <w:rFonts w:cs="Arial"/>
          <w:sz w:val="24"/>
        </w:rPr>
        <w:t>9.26.</w:t>
      </w:r>
      <w:r>
        <w:rPr>
          <w:rFonts w:cs="Arial"/>
          <w:b w:val="0"/>
          <w:bCs/>
          <w:sz w:val="24"/>
        </w:rPr>
        <w:t xml:space="preserve"> Manter seu pessoal uniformizado, identificando-o por meio de crachá, com fotografia recente, e provendo-o dos Equipamentos de Proteção Individual – EPI’S;</w:t>
      </w:r>
    </w:p>
    <w:p>
      <w:pPr>
        <w:pStyle w:val="72"/>
        <w:numPr>
          <w:ilvl w:val="0"/>
          <w:numId w:val="0"/>
        </w:numPr>
        <w:spacing w:before="0" w:after="120"/>
        <w:rPr>
          <w:rFonts w:cs="Arial"/>
          <w:b w:val="0"/>
          <w:bCs/>
          <w:sz w:val="24"/>
        </w:rPr>
      </w:pPr>
      <w:r>
        <w:rPr>
          <w:rFonts w:cs="Arial"/>
          <w:sz w:val="24"/>
        </w:rPr>
        <w:t>9.27.</w:t>
      </w:r>
      <w:r>
        <w:rPr>
          <w:rFonts w:cs="Arial"/>
          <w:b w:val="0"/>
          <w:bCs/>
          <w:sz w:val="24"/>
        </w:rPr>
        <w:t xml:space="preserve"> 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pStyle w:val="72"/>
        <w:numPr>
          <w:ilvl w:val="0"/>
          <w:numId w:val="0"/>
        </w:numPr>
        <w:spacing w:before="0" w:after="120"/>
        <w:rPr>
          <w:rFonts w:cs="Arial"/>
          <w:b w:val="0"/>
          <w:bCs/>
          <w:sz w:val="24"/>
        </w:rPr>
      </w:pPr>
      <w:r>
        <w:rPr>
          <w:rFonts w:cs="Arial"/>
          <w:sz w:val="24"/>
        </w:rPr>
        <w:t>9.</w:t>
      </w:r>
      <w:r>
        <w:rPr>
          <w:rFonts w:cs="Arial"/>
          <w:b w:val="0"/>
          <w:bCs/>
          <w:sz w:val="24"/>
        </w:rPr>
        <w:t xml:space="preserve">28. Responder por quaisquer danos pessoais ou materiais ocasionados por seus funcionários em serviço, causados a terceiros ou a Secretaria solicitante, mesmo quando utilizando equipamentos da mesma; </w:t>
      </w:r>
    </w:p>
    <w:p>
      <w:pPr>
        <w:pStyle w:val="72"/>
        <w:numPr>
          <w:ilvl w:val="0"/>
          <w:numId w:val="0"/>
        </w:numPr>
        <w:spacing w:before="0" w:after="120"/>
        <w:rPr>
          <w:rFonts w:cs="Arial"/>
          <w:b w:val="0"/>
          <w:bCs/>
          <w:sz w:val="24"/>
        </w:rPr>
      </w:pPr>
      <w:r>
        <w:rPr>
          <w:rFonts w:cs="Arial"/>
          <w:sz w:val="24"/>
        </w:rPr>
        <w:t>9.</w:t>
      </w:r>
      <w:r>
        <w:rPr>
          <w:rFonts w:cs="Arial"/>
          <w:b w:val="0"/>
          <w:bCs/>
          <w:sz w:val="24"/>
        </w:rPr>
        <w:t>29. Capacitar seus funcionários ao uso dos equipamentos e ferramentas postos a sua disposição para a execução das tarefas;</w:t>
      </w:r>
    </w:p>
    <w:p>
      <w:pPr>
        <w:pStyle w:val="72"/>
        <w:numPr>
          <w:ilvl w:val="0"/>
          <w:numId w:val="0"/>
        </w:numPr>
        <w:spacing w:before="0" w:after="120"/>
        <w:rPr>
          <w:rFonts w:cs="Arial"/>
          <w:b w:val="0"/>
          <w:bCs/>
          <w:sz w:val="24"/>
        </w:rPr>
      </w:pPr>
      <w:r>
        <w:rPr>
          <w:rFonts w:cs="Arial"/>
          <w:sz w:val="24"/>
        </w:rPr>
        <w:t>9.</w:t>
      </w:r>
      <w:r>
        <w:rPr>
          <w:rFonts w:cs="Arial"/>
          <w:b w:val="0"/>
          <w:bCs/>
          <w:sz w:val="24"/>
        </w:rPr>
        <w:t xml:space="preserve">30. Executar o serviço de forma zelosa, ordeira e com urbanidade para com a população; </w:t>
      </w:r>
    </w:p>
    <w:p>
      <w:pPr>
        <w:pStyle w:val="72"/>
        <w:numPr>
          <w:ilvl w:val="0"/>
          <w:numId w:val="0"/>
        </w:numPr>
        <w:spacing w:before="0" w:after="120"/>
        <w:rPr>
          <w:rFonts w:cs="Arial"/>
          <w:b w:val="0"/>
          <w:bCs/>
          <w:sz w:val="24"/>
        </w:rPr>
      </w:pPr>
      <w:r>
        <w:rPr>
          <w:rFonts w:cs="Arial"/>
          <w:sz w:val="24"/>
        </w:rPr>
        <w:t>9.</w:t>
      </w:r>
      <w:r>
        <w:rPr>
          <w:rFonts w:cs="Arial"/>
          <w:b w:val="0"/>
          <w:bCs/>
          <w:sz w:val="24"/>
        </w:rPr>
        <w:t xml:space="preserve">31. Substituir qualquer componente da equipe que apresentar comportamento inadequado ou indecoroso ou não demonstrar qualificação para os serviços, objeto deste Termo de Referência - TR, no prazo máximo de 24 (vinte e quatro) horas; </w:t>
      </w:r>
    </w:p>
    <w:p>
      <w:pPr>
        <w:pStyle w:val="72"/>
        <w:numPr>
          <w:ilvl w:val="0"/>
          <w:numId w:val="0"/>
        </w:numPr>
        <w:spacing w:before="0" w:after="120"/>
        <w:rPr>
          <w:rFonts w:cs="Arial"/>
          <w:b w:val="0"/>
          <w:bCs/>
          <w:sz w:val="24"/>
        </w:rPr>
      </w:pPr>
      <w:r>
        <w:rPr>
          <w:rFonts w:cs="Arial"/>
          <w:sz w:val="24"/>
        </w:rPr>
        <w:t>9.</w:t>
      </w:r>
      <w:r>
        <w:rPr>
          <w:rFonts w:cs="Arial"/>
          <w:b w:val="0"/>
          <w:bCs/>
          <w:sz w:val="24"/>
        </w:rPr>
        <w:t>32. Não permitir que componentes das equipes de trabalho, enquanto estiverem a serviço desta secretaria, executem serviço para terceiros;</w:t>
      </w:r>
    </w:p>
    <w:p>
      <w:pPr>
        <w:pStyle w:val="72"/>
        <w:numPr>
          <w:ilvl w:val="0"/>
          <w:numId w:val="0"/>
        </w:numPr>
        <w:spacing w:before="0" w:after="120"/>
        <w:rPr>
          <w:rFonts w:cs="Arial"/>
          <w:b w:val="0"/>
          <w:bCs/>
          <w:sz w:val="24"/>
        </w:rPr>
      </w:pPr>
      <w:r>
        <w:rPr>
          <w:rFonts w:cs="Arial"/>
          <w:sz w:val="24"/>
        </w:rPr>
        <w:t>9.</w:t>
      </w:r>
      <w:r>
        <w:rPr>
          <w:rFonts w:cs="Arial"/>
          <w:b w:val="0"/>
          <w:bCs/>
          <w:sz w:val="24"/>
        </w:rPr>
        <w:t xml:space="preserve">33. Manter as equipes de trabalho com todas as ferramentas, equipamentos e insumos exigidos neste Termo de Referência em perfeitas condições de uso; </w:t>
      </w:r>
    </w:p>
    <w:p>
      <w:pPr>
        <w:pStyle w:val="72"/>
        <w:numPr>
          <w:ilvl w:val="0"/>
          <w:numId w:val="0"/>
        </w:numPr>
        <w:spacing w:before="0" w:after="120"/>
        <w:rPr>
          <w:rFonts w:cs="Arial"/>
          <w:b w:val="0"/>
          <w:bCs/>
          <w:sz w:val="24"/>
        </w:rPr>
      </w:pPr>
      <w:r>
        <w:rPr>
          <w:rFonts w:cs="Arial"/>
          <w:b w:val="0"/>
          <w:bCs/>
          <w:sz w:val="24"/>
        </w:rPr>
        <w:t xml:space="preserve"> </w:t>
      </w:r>
      <w:r>
        <w:rPr>
          <w:rFonts w:cs="Arial"/>
          <w:sz w:val="24"/>
        </w:rPr>
        <w:t>9.</w:t>
      </w:r>
      <w:r>
        <w:rPr>
          <w:rFonts w:cs="Arial"/>
          <w:b w:val="0"/>
          <w:bCs/>
          <w:sz w:val="24"/>
        </w:rPr>
        <w:t xml:space="preserve">34. Sanar imediatamente quaisquer irregularidades ou defeitos verificados pela Fiscalização na execução dos serviços; </w:t>
      </w:r>
    </w:p>
    <w:p>
      <w:pPr>
        <w:pStyle w:val="72"/>
        <w:numPr>
          <w:ilvl w:val="0"/>
          <w:numId w:val="0"/>
        </w:numPr>
        <w:spacing w:before="0" w:after="120"/>
        <w:rPr>
          <w:rFonts w:cs="Arial"/>
          <w:b w:val="0"/>
          <w:bCs/>
          <w:sz w:val="24"/>
        </w:rPr>
      </w:pPr>
      <w:r>
        <w:rPr>
          <w:rFonts w:cs="Arial"/>
          <w:sz w:val="24"/>
        </w:rPr>
        <w:t>9.</w:t>
      </w:r>
      <w:r>
        <w:rPr>
          <w:rFonts w:cs="Arial"/>
          <w:b w:val="0"/>
          <w:bCs/>
          <w:sz w:val="24"/>
        </w:rPr>
        <w:t>35. Cumprir todas as disposições legais pertinentes à saúde e segurança do trabalho as quais estão sujeitos contratos de trabalho regidos pela CLT, independente do seu quadro de pessoal enquadrar-se nesta situação;</w:t>
      </w:r>
    </w:p>
    <w:p>
      <w:pPr>
        <w:pStyle w:val="72"/>
        <w:numPr>
          <w:ilvl w:val="0"/>
          <w:numId w:val="0"/>
        </w:numPr>
        <w:spacing w:before="0" w:after="120"/>
        <w:rPr>
          <w:rFonts w:cs="Arial"/>
          <w:b w:val="0"/>
          <w:bCs/>
          <w:sz w:val="24"/>
        </w:rPr>
      </w:pPr>
      <w:r>
        <w:rPr>
          <w:rFonts w:cs="Arial"/>
          <w:sz w:val="24"/>
        </w:rPr>
        <w:t>9.</w:t>
      </w:r>
      <w:r>
        <w:rPr>
          <w:rFonts w:cs="Arial"/>
          <w:b w:val="0"/>
          <w:bCs/>
          <w:sz w:val="24"/>
        </w:rPr>
        <w:t>36. Nomear encarregado responsável pelos serviços com recurso de comunicação (celular, intercomunicadores ou outros), com a missão de garantir o bom andamento destes, permanecendo no local do trabalho, em tempo integral,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p>
    <w:p>
      <w:pPr>
        <w:pStyle w:val="72"/>
        <w:numPr>
          <w:ilvl w:val="0"/>
          <w:numId w:val="0"/>
        </w:numPr>
        <w:spacing w:before="0" w:after="120"/>
        <w:rPr>
          <w:rFonts w:cs="Arial"/>
          <w:b w:val="0"/>
          <w:bCs/>
          <w:sz w:val="24"/>
        </w:rPr>
      </w:pPr>
      <w:r>
        <w:rPr>
          <w:rFonts w:cs="Arial"/>
          <w:sz w:val="24"/>
        </w:rPr>
        <w:t>9.</w:t>
      </w:r>
      <w:r>
        <w:rPr>
          <w:rFonts w:cs="Arial"/>
          <w:b w:val="0"/>
          <w:bCs/>
          <w:sz w:val="24"/>
        </w:rPr>
        <w:t xml:space="preserve">37. Assumir todas as responsabilidades e tomar as medidas necessárias ao atendimento dos seus empregados, acidentados ou com mal súbito, por meio de seus encarregados; </w:t>
      </w:r>
    </w:p>
    <w:p>
      <w:pPr>
        <w:pStyle w:val="72"/>
        <w:numPr>
          <w:ilvl w:val="0"/>
          <w:numId w:val="0"/>
        </w:numPr>
        <w:spacing w:before="0" w:after="120"/>
        <w:rPr>
          <w:rFonts w:cs="Arial"/>
          <w:b w:val="0"/>
          <w:bCs/>
          <w:sz w:val="24"/>
        </w:rPr>
      </w:pPr>
      <w:r>
        <w:rPr>
          <w:rFonts w:cs="Arial"/>
          <w:sz w:val="24"/>
        </w:rPr>
        <w:t>9.</w:t>
      </w:r>
      <w:r>
        <w:rPr>
          <w:rFonts w:cs="Arial"/>
          <w:b w:val="0"/>
          <w:bCs/>
          <w:sz w:val="24"/>
        </w:rPr>
        <w:t>38. Manter, durante toda a execução do Contrato, todas as condições de habilitação e qualificação exigidas na licitação;</w:t>
      </w:r>
    </w:p>
    <w:p>
      <w:pPr>
        <w:pStyle w:val="72"/>
        <w:numPr>
          <w:ilvl w:val="0"/>
          <w:numId w:val="0"/>
        </w:numPr>
        <w:spacing w:before="0" w:after="120"/>
        <w:rPr>
          <w:rFonts w:cs="Arial"/>
          <w:b w:val="0"/>
          <w:bCs/>
          <w:sz w:val="24"/>
        </w:rPr>
      </w:pPr>
      <w:r>
        <w:rPr>
          <w:rFonts w:cs="Arial"/>
          <w:sz w:val="24"/>
        </w:rPr>
        <w:t>9.</w:t>
      </w:r>
      <w:r>
        <w:rPr>
          <w:rFonts w:cs="Arial"/>
          <w:b w:val="0"/>
          <w:bCs/>
          <w:sz w:val="24"/>
        </w:rPr>
        <w:t>39. Demonstrar o vínculo empregatício com todos os profissionais por ela contratados, mediante cópia da Carteira de Trabalho e Previdência Social (CTPS) ou contrato de prestação de serviços;</w:t>
      </w:r>
    </w:p>
    <w:p>
      <w:pPr>
        <w:pStyle w:val="72"/>
        <w:numPr>
          <w:ilvl w:val="0"/>
          <w:numId w:val="0"/>
        </w:numPr>
        <w:spacing w:before="0" w:after="120"/>
        <w:rPr>
          <w:rFonts w:cs="Arial"/>
          <w:b w:val="0"/>
          <w:bCs/>
          <w:sz w:val="24"/>
        </w:rPr>
      </w:pPr>
      <w:r>
        <w:rPr>
          <w:rFonts w:cs="Arial"/>
          <w:sz w:val="24"/>
        </w:rPr>
        <w:t>9.</w:t>
      </w:r>
      <w:r>
        <w:rPr>
          <w:rFonts w:cs="Arial"/>
          <w:b w:val="0"/>
          <w:bCs/>
          <w:sz w:val="24"/>
        </w:rPr>
        <w:t>40. Prestar os serviços dentro dos parâmetros e rotinas estabelecidos, fornecendo os equipamentos, ferramentas e utensílios em quantidade, qualidade e tecnologia adequadas, com a observância às recomendações aceitas pela boa técnica, normas e legislação;</w:t>
      </w:r>
    </w:p>
    <w:p>
      <w:pPr>
        <w:pStyle w:val="72"/>
        <w:numPr>
          <w:ilvl w:val="0"/>
          <w:numId w:val="0"/>
        </w:numPr>
        <w:spacing w:before="0" w:after="120"/>
        <w:rPr>
          <w:rFonts w:cs="Arial"/>
          <w:b w:val="0"/>
          <w:bCs/>
          <w:sz w:val="24"/>
        </w:rPr>
      </w:pPr>
      <w:r>
        <w:rPr>
          <w:rFonts w:cs="Arial"/>
          <w:sz w:val="24"/>
        </w:rPr>
        <w:t>9.</w:t>
      </w:r>
      <w:r>
        <w:rPr>
          <w:rFonts w:cs="Arial"/>
          <w:b w:val="0"/>
          <w:bCs/>
          <w:sz w:val="24"/>
        </w:rPr>
        <w:t>41. Prestar os serviços dentro dos parâmetros e rotinas estabelecidos, fornecendo todos os materiais, inclusive sacos plásticos para em caso de rompimento do saco a ser coletado o terceirizado efetuar o acondicionamento de detritos, equipamentos, ferramentas e utensílios em quantidade e em qualidade, com tecnologia adequada, com a observância das recomendações aceitas pela boa técnica, normas e legislação;</w:t>
      </w:r>
    </w:p>
    <w:p>
      <w:pPr>
        <w:pStyle w:val="72"/>
        <w:numPr>
          <w:ilvl w:val="0"/>
          <w:numId w:val="0"/>
        </w:numPr>
        <w:spacing w:before="0" w:after="120"/>
        <w:rPr>
          <w:rFonts w:cs="Arial"/>
          <w:b w:val="0"/>
          <w:bCs/>
          <w:sz w:val="24"/>
        </w:rPr>
      </w:pPr>
      <w:r>
        <w:rPr>
          <w:rFonts w:cs="Arial"/>
          <w:sz w:val="24"/>
        </w:rPr>
        <w:t>9.</w:t>
      </w:r>
      <w:r>
        <w:rPr>
          <w:rFonts w:cs="Arial"/>
          <w:b w:val="0"/>
          <w:bCs/>
          <w:sz w:val="24"/>
        </w:rPr>
        <w:t>42. Executar os serviços em horários definidos por cada Secretaria Municipal Participante;</w:t>
      </w:r>
    </w:p>
    <w:p>
      <w:pPr>
        <w:pStyle w:val="72"/>
        <w:numPr>
          <w:ilvl w:val="0"/>
          <w:numId w:val="0"/>
        </w:numPr>
        <w:spacing w:before="0" w:after="120"/>
        <w:rPr>
          <w:rFonts w:cs="Arial"/>
          <w:b w:val="0"/>
          <w:bCs/>
          <w:sz w:val="24"/>
        </w:rPr>
      </w:pPr>
      <w:r>
        <w:rPr>
          <w:rFonts w:cs="Arial"/>
          <w:b w:val="0"/>
          <w:bCs/>
          <w:sz w:val="24"/>
        </w:rPr>
        <w:t xml:space="preserve"> </w:t>
      </w:r>
      <w:r>
        <w:rPr>
          <w:rFonts w:cs="Arial"/>
          <w:sz w:val="24"/>
        </w:rPr>
        <w:t>9.</w:t>
      </w:r>
      <w:r>
        <w:rPr>
          <w:rFonts w:cs="Arial"/>
          <w:b w:val="0"/>
          <w:bCs/>
          <w:sz w:val="24"/>
        </w:rPr>
        <w:t>43. Observar a conduta adequada na utilização dos materiais, equipamentos, ferramentas e utensílios, objetivando a correta execução dos serviços;</w:t>
      </w:r>
    </w:p>
    <w:p>
      <w:pPr>
        <w:pStyle w:val="72"/>
        <w:numPr>
          <w:ilvl w:val="0"/>
          <w:numId w:val="0"/>
        </w:numPr>
        <w:spacing w:before="0" w:after="120"/>
        <w:rPr>
          <w:rFonts w:cs="Arial"/>
          <w:b w:val="0"/>
          <w:bCs/>
          <w:sz w:val="24"/>
        </w:rPr>
      </w:pPr>
      <w:r>
        <w:rPr>
          <w:rFonts w:cs="Arial"/>
          <w:sz w:val="24"/>
        </w:rPr>
        <w:t>9.</w:t>
      </w:r>
      <w:r>
        <w:rPr>
          <w:rFonts w:cs="Arial"/>
          <w:b w:val="0"/>
          <w:bCs/>
          <w:sz w:val="24"/>
        </w:rPr>
        <w:t>44. 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pStyle w:val="72"/>
        <w:numPr>
          <w:ilvl w:val="0"/>
          <w:numId w:val="0"/>
        </w:numPr>
        <w:spacing w:before="0" w:after="120"/>
        <w:rPr>
          <w:rFonts w:cs="Arial"/>
          <w:b w:val="0"/>
          <w:bCs/>
          <w:sz w:val="24"/>
        </w:rPr>
      </w:pPr>
      <w:r>
        <w:rPr>
          <w:rFonts w:cs="Arial"/>
          <w:sz w:val="24"/>
        </w:rPr>
        <w:t>9.</w:t>
      </w:r>
      <w:r>
        <w:rPr>
          <w:rFonts w:cs="Arial"/>
          <w:b w:val="0"/>
          <w:bCs/>
          <w:sz w:val="24"/>
        </w:rPr>
        <w:t>45. 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pStyle w:val="72"/>
        <w:numPr>
          <w:ilvl w:val="0"/>
          <w:numId w:val="0"/>
        </w:numPr>
        <w:spacing w:before="0" w:after="120"/>
        <w:rPr>
          <w:rFonts w:cs="Arial"/>
          <w:b w:val="0"/>
          <w:bCs/>
          <w:sz w:val="24"/>
        </w:rPr>
      </w:pPr>
      <w:r>
        <w:rPr>
          <w:rFonts w:cs="Arial"/>
          <w:sz w:val="24"/>
        </w:rPr>
        <w:t>9.</w:t>
      </w:r>
      <w:r>
        <w:rPr>
          <w:rFonts w:cs="Arial"/>
          <w:b w:val="0"/>
          <w:bCs/>
          <w:sz w:val="24"/>
        </w:rPr>
        <w:t>46. Vedar a utilização, na execução dos serviços, de empregado que seja família de agente público ocupante de cargo em comissão ou função de confiança no órgão contratante, nos termos do artigo 7° do Decreto n° 7.203, de 2010;</w:t>
      </w:r>
    </w:p>
    <w:p>
      <w:pPr>
        <w:pStyle w:val="72"/>
        <w:numPr>
          <w:ilvl w:val="0"/>
          <w:numId w:val="0"/>
        </w:numPr>
        <w:spacing w:before="0" w:after="120"/>
        <w:rPr>
          <w:rFonts w:cs="Arial"/>
          <w:b w:val="0"/>
          <w:bCs/>
          <w:sz w:val="24"/>
        </w:rPr>
      </w:pPr>
      <w:r>
        <w:rPr>
          <w:rFonts w:cs="Arial"/>
          <w:sz w:val="24"/>
        </w:rPr>
        <w:t>9.</w:t>
      </w:r>
      <w:r>
        <w:rPr>
          <w:rFonts w:cs="Arial"/>
          <w:b w:val="0"/>
          <w:bCs/>
          <w:sz w:val="24"/>
        </w:rPr>
        <w:t>47. Permitir a todas as Secretarias Municipais, por intermédio dos setores fiscalizadores, o acesso diário ao controle de frequência;</w:t>
      </w:r>
    </w:p>
    <w:p>
      <w:pPr>
        <w:pStyle w:val="72"/>
        <w:numPr>
          <w:ilvl w:val="0"/>
          <w:numId w:val="0"/>
        </w:numPr>
        <w:spacing w:before="0" w:after="120"/>
        <w:rPr>
          <w:rFonts w:cs="Arial"/>
          <w:b w:val="0"/>
          <w:bCs/>
          <w:sz w:val="24"/>
        </w:rPr>
      </w:pPr>
      <w:r>
        <w:rPr>
          <w:rFonts w:cs="Arial"/>
          <w:sz w:val="24"/>
        </w:rPr>
        <w:t>9.</w:t>
      </w:r>
      <w:r>
        <w:rPr>
          <w:rFonts w:cs="Arial"/>
          <w:b w:val="0"/>
          <w:bCs/>
          <w:sz w:val="24"/>
        </w:rPr>
        <w:t>48. É vetado aos funcionários da LICITANTE VENCEDORA permitir acesso de terceiros no interior dos setores das diversas Secretarias Municipais sem autorização;</w:t>
      </w:r>
    </w:p>
    <w:p>
      <w:pPr>
        <w:pStyle w:val="72"/>
        <w:numPr>
          <w:ilvl w:val="0"/>
          <w:numId w:val="0"/>
        </w:numPr>
        <w:spacing w:before="0" w:after="120"/>
        <w:rPr>
          <w:rFonts w:cs="Arial"/>
          <w:b w:val="0"/>
          <w:bCs/>
          <w:sz w:val="24"/>
        </w:rPr>
      </w:pPr>
      <w:r>
        <w:rPr>
          <w:rFonts w:cs="Arial"/>
          <w:sz w:val="24"/>
        </w:rPr>
        <w:t>9.</w:t>
      </w:r>
      <w:r>
        <w:rPr>
          <w:rFonts w:cs="Arial"/>
          <w:b w:val="0"/>
          <w:bCs/>
          <w:sz w:val="24"/>
        </w:rPr>
        <w:t>49. O encarregado terá a obrigação de reportar-se, quando houver necessidade, ao responsável pelo acompanhamento dos serviços de cada Secretaria Municipal participante, e tomar as providências pertinentes para que sejam corrigidas todas as falhas detectadas;</w:t>
      </w:r>
    </w:p>
    <w:p>
      <w:pPr>
        <w:pStyle w:val="72"/>
        <w:numPr>
          <w:ilvl w:val="0"/>
          <w:numId w:val="0"/>
        </w:numPr>
        <w:spacing w:before="0" w:after="120"/>
        <w:rPr>
          <w:rFonts w:cs="Arial"/>
          <w:b w:val="0"/>
          <w:bCs/>
          <w:sz w:val="24"/>
        </w:rPr>
      </w:pPr>
      <w:r>
        <w:rPr>
          <w:rFonts w:cs="Arial"/>
          <w:sz w:val="24"/>
        </w:rPr>
        <w:t>9.</w:t>
      </w:r>
      <w:r>
        <w:rPr>
          <w:rFonts w:cs="Arial"/>
          <w:b w:val="0"/>
          <w:bCs/>
          <w:sz w:val="24"/>
        </w:rPr>
        <w:t>50. 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pStyle w:val="72"/>
        <w:numPr>
          <w:ilvl w:val="0"/>
          <w:numId w:val="0"/>
        </w:numPr>
        <w:spacing w:before="0" w:after="120"/>
        <w:rPr>
          <w:rFonts w:cs="Arial"/>
          <w:b w:val="0"/>
          <w:bCs/>
          <w:sz w:val="24"/>
        </w:rPr>
      </w:pPr>
      <w:r>
        <w:rPr>
          <w:rFonts w:cs="Arial"/>
          <w:sz w:val="24"/>
        </w:rPr>
        <w:t>9.</w:t>
      </w:r>
      <w:r>
        <w:rPr>
          <w:rFonts w:cs="Arial"/>
          <w:b w:val="0"/>
          <w:bCs/>
          <w:sz w:val="24"/>
        </w:rPr>
        <w:t>51. 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pStyle w:val="72"/>
        <w:numPr>
          <w:ilvl w:val="0"/>
          <w:numId w:val="0"/>
        </w:numPr>
        <w:spacing w:before="0" w:after="120"/>
        <w:rPr>
          <w:rFonts w:cs="Arial"/>
          <w:b w:val="0"/>
          <w:bCs/>
          <w:sz w:val="24"/>
        </w:rPr>
      </w:pPr>
      <w:r>
        <w:rPr>
          <w:rFonts w:cs="Arial"/>
          <w:sz w:val="24"/>
        </w:rPr>
        <w:t>9.</w:t>
      </w:r>
      <w:r>
        <w:rPr>
          <w:rFonts w:cs="Arial"/>
          <w:b w:val="0"/>
          <w:bCs/>
          <w:sz w:val="24"/>
        </w:rPr>
        <w:t>52.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pStyle w:val="72"/>
        <w:numPr>
          <w:ilvl w:val="0"/>
          <w:numId w:val="0"/>
        </w:numPr>
        <w:spacing w:before="0" w:after="120"/>
        <w:rPr>
          <w:rFonts w:cs="Arial"/>
          <w:b w:val="0"/>
          <w:bCs/>
          <w:sz w:val="24"/>
        </w:rPr>
      </w:pPr>
      <w:r>
        <w:rPr>
          <w:rFonts w:cs="Arial"/>
          <w:sz w:val="24"/>
        </w:rPr>
        <w:t>9.</w:t>
      </w:r>
      <w:r>
        <w:rPr>
          <w:rFonts w:cs="Arial"/>
          <w:b w:val="0"/>
          <w:bCs/>
          <w:sz w:val="24"/>
        </w:rPr>
        <w:t>53. Refazer, às suas expensas, os serviços executados em desacordo com o estabelecido;</w:t>
      </w:r>
    </w:p>
    <w:p>
      <w:pPr>
        <w:pStyle w:val="72"/>
        <w:numPr>
          <w:ilvl w:val="0"/>
          <w:numId w:val="0"/>
        </w:numPr>
        <w:spacing w:before="0" w:after="120"/>
        <w:rPr>
          <w:rFonts w:cs="Arial"/>
          <w:b w:val="0"/>
          <w:bCs/>
          <w:sz w:val="24"/>
        </w:rPr>
      </w:pPr>
      <w:r>
        <w:rPr>
          <w:rFonts w:cs="Arial"/>
          <w:sz w:val="24"/>
        </w:rPr>
        <w:t>9.</w:t>
      </w:r>
      <w:r>
        <w:rPr>
          <w:rFonts w:cs="Arial"/>
          <w:b w:val="0"/>
          <w:bCs/>
          <w:sz w:val="24"/>
        </w:rPr>
        <w:t>54. A fornecer total acesso às máquinas que serão empregadas na prestação de serviços a fim de que a Prefeitura Municipal possa instalar o rastreador SATELITAL sob expensa da contratada, o qual servirá como forma de controle quanto a utilização dos maquinários, e deverá ser integrado na mesma plataforma da frota municipal;</w:t>
      </w:r>
    </w:p>
    <w:p>
      <w:pPr>
        <w:pStyle w:val="72"/>
        <w:numPr>
          <w:ilvl w:val="0"/>
          <w:numId w:val="0"/>
        </w:numPr>
        <w:spacing w:before="0" w:after="120"/>
        <w:rPr>
          <w:rFonts w:cs="Arial"/>
          <w:b w:val="0"/>
          <w:bCs/>
          <w:sz w:val="24"/>
        </w:rPr>
      </w:pPr>
      <w:r>
        <w:rPr>
          <w:rFonts w:cs="Arial"/>
          <w:sz w:val="24"/>
        </w:rPr>
        <w:t>9.</w:t>
      </w:r>
      <w:r>
        <w:rPr>
          <w:rFonts w:cs="Arial"/>
          <w:b w:val="0"/>
          <w:bCs/>
          <w:sz w:val="24"/>
        </w:rPr>
        <w:t>55. Fornecer a lista de todos os veículos que serão empregados na prestação dos serviços à Secretaria de Agricultura e Meio Ambiente, a qual deverá ser repassada ao fiscal de contratos, no momento da assinatura do Contrato</w:t>
      </w:r>
    </w:p>
    <w:p>
      <w:pPr>
        <w:pStyle w:val="72"/>
        <w:numPr>
          <w:ilvl w:val="0"/>
          <w:numId w:val="0"/>
        </w:numPr>
        <w:spacing w:before="0" w:after="120"/>
        <w:rPr>
          <w:rFonts w:cs="Arial"/>
          <w:b w:val="0"/>
          <w:bCs/>
          <w:sz w:val="24"/>
        </w:rPr>
      </w:pPr>
      <w:r>
        <w:rPr>
          <w:rFonts w:cs="Arial"/>
          <w:sz w:val="24"/>
        </w:rPr>
        <w:t>9.</w:t>
      </w:r>
      <w:r>
        <w:rPr>
          <w:rFonts w:cs="Arial"/>
          <w:b w:val="0"/>
          <w:bCs/>
          <w:sz w:val="24"/>
        </w:rPr>
        <w:t>56.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pStyle w:val="72"/>
        <w:numPr>
          <w:ilvl w:val="0"/>
          <w:numId w:val="0"/>
        </w:numPr>
        <w:spacing w:before="0" w:after="120"/>
        <w:rPr>
          <w:rFonts w:cs="Arial"/>
          <w:b w:val="0"/>
          <w:bCs/>
          <w:sz w:val="24"/>
        </w:rPr>
      </w:pPr>
    </w:p>
    <w:p>
      <w:pPr>
        <w:pStyle w:val="72"/>
        <w:numPr>
          <w:ilvl w:val="0"/>
          <w:numId w:val="0"/>
        </w:numPr>
        <w:spacing w:before="0" w:after="120"/>
      </w:pPr>
      <w:r>
        <w:rPr>
          <w:rFonts w:cs="Arial"/>
          <w:sz w:val="24"/>
        </w:rPr>
        <w:t>9.2 DAS OBRIGAÇÕES DA CONTRATANTE.</w:t>
      </w:r>
    </w:p>
    <w:p>
      <w:pPr>
        <w:ind w:right="38" w:rightChars="16"/>
        <w:jc w:val="both"/>
        <w:rPr>
          <w:rFonts w:ascii="Arial" w:hAnsi="Arial" w:cs="Arial"/>
          <w:szCs w:val="24"/>
        </w:rPr>
      </w:pPr>
      <w:r>
        <w:rPr>
          <w:rFonts w:ascii="Arial" w:hAnsi="Arial" w:eastAsia="Calibri" w:cs="Arial"/>
          <w:b/>
        </w:rPr>
        <w:t>9.1.</w:t>
      </w:r>
      <w:r>
        <w:rPr>
          <w:rFonts w:ascii="Arial" w:hAnsi="Arial" w:eastAsia="Calibri" w:cs="Arial"/>
        </w:rPr>
        <w:t xml:space="preserve"> </w:t>
      </w:r>
      <w:r>
        <w:rPr>
          <w:rFonts w:ascii="Arial" w:hAnsi="Arial" w:cs="Arial"/>
          <w:szCs w:val="24"/>
        </w:rPr>
        <w:t xml:space="preserve"> Execução dos serviços; </w:t>
      </w:r>
    </w:p>
    <w:p>
      <w:pPr>
        <w:ind w:right="38" w:rightChars="16"/>
        <w:jc w:val="both"/>
        <w:rPr>
          <w:rFonts w:ascii="Arial" w:hAnsi="Arial" w:cs="Arial"/>
          <w:szCs w:val="24"/>
        </w:rPr>
      </w:pPr>
      <w:r>
        <w:rPr>
          <w:rFonts w:ascii="Arial" w:hAnsi="Arial" w:cs="Arial"/>
          <w:b/>
          <w:bCs/>
          <w:szCs w:val="24"/>
        </w:rPr>
        <w:t>9.2.</w:t>
      </w:r>
      <w:r>
        <w:rPr>
          <w:rFonts w:ascii="Arial" w:hAnsi="Arial" w:cs="Arial"/>
          <w:szCs w:val="24"/>
        </w:rPr>
        <w:t xml:space="preserve"> Efetuar os pagamentos devidos nas condições estabelecidas;</w:t>
      </w:r>
    </w:p>
    <w:p>
      <w:pPr>
        <w:ind w:right="38" w:rightChars="16"/>
        <w:jc w:val="both"/>
        <w:rPr>
          <w:rFonts w:ascii="Arial" w:hAnsi="Arial" w:cs="Arial"/>
          <w:szCs w:val="24"/>
        </w:rPr>
      </w:pPr>
      <w:r>
        <w:rPr>
          <w:rFonts w:ascii="Arial" w:hAnsi="Arial" w:cs="Arial"/>
          <w:b/>
          <w:szCs w:val="24"/>
        </w:rPr>
        <w:t>9.3.</w:t>
      </w:r>
      <w:r>
        <w:rPr>
          <w:rFonts w:ascii="Arial" w:hAnsi="Arial" w:cs="Arial"/>
          <w:szCs w:val="24"/>
        </w:rPr>
        <w:t xml:space="preserve"> Proporcionar todas as facilidades visando à boa execução dos serviços;</w:t>
      </w:r>
    </w:p>
    <w:p>
      <w:pPr>
        <w:ind w:right="38" w:rightChars="16"/>
        <w:jc w:val="both"/>
        <w:rPr>
          <w:rFonts w:ascii="Arial" w:hAnsi="Arial" w:cs="Arial"/>
          <w:szCs w:val="24"/>
        </w:rPr>
      </w:pPr>
      <w:r>
        <w:rPr>
          <w:rFonts w:ascii="Arial" w:hAnsi="Arial" w:cs="Arial"/>
          <w:b/>
          <w:szCs w:val="24"/>
        </w:rPr>
        <w:t xml:space="preserve">9.4 </w:t>
      </w:r>
      <w:r>
        <w:rPr>
          <w:rFonts w:ascii="Arial" w:hAnsi="Arial" w:cs="Arial"/>
          <w:szCs w:val="24"/>
        </w:rPr>
        <w:t>Permitir livre acesso dos funcionários credenciados pela CONTRATADA aos locais de execução dos serviços;</w:t>
      </w:r>
    </w:p>
    <w:p>
      <w:pPr>
        <w:ind w:right="38" w:rightChars="16"/>
        <w:jc w:val="both"/>
        <w:rPr>
          <w:rFonts w:ascii="Arial" w:hAnsi="Arial" w:cs="Arial"/>
          <w:szCs w:val="24"/>
        </w:rPr>
      </w:pPr>
      <w:r>
        <w:rPr>
          <w:rFonts w:ascii="Arial" w:hAnsi="Arial" w:cs="Arial"/>
          <w:b/>
          <w:szCs w:val="24"/>
        </w:rPr>
        <w:t>9.5.</w:t>
      </w:r>
      <w:r>
        <w:rPr>
          <w:rFonts w:ascii="Arial" w:hAnsi="Arial" w:cs="Arial"/>
          <w:szCs w:val="24"/>
        </w:rPr>
        <w:t xml:space="preserve"> A Contratante manterá 01 (um) servidor fiscal para monitorar os serviços executados pela Contratada.</w:t>
      </w:r>
    </w:p>
    <w:p>
      <w:pPr>
        <w:jc w:val="both"/>
        <w:rPr>
          <w:rFonts w:ascii="Arial" w:hAnsi="Arial" w:eastAsia="Calibri" w:cs="Arial"/>
        </w:rPr>
      </w:pPr>
    </w:p>
    <w:p>
      <w:pPr>
        <w:jc w:val="both"/>
        <w:rPr>
          <w:rFonts w:ascii="Arial" w:hAnsi="Arial" w:eastAsia="Calibri" w:cs="Arial"/>
        </w:rPr>
      </w:pPr>
    </w:p>
    <w:p>
      <w:pPr>
        <w:ind w:right="38" w:rightChars="16"/>
        <w:jc w:val="both"/>
        <w:rPr>
          <w:rFonts w:ascii="Arial" w:hAnsi="Arial" w:cs="Arial"/>
          <w:b/>
          <w:szCs w:val="24"/>
        </w:rPr>
      </w:pPr>
      <w:r>
        <w:rPr>
          <w:rFonts w:ascii="Arial" w:hAnsi="Arial" w:cs="Arial"/>
          <w:b/>
          <w:bCs/>
        </w:rPr>
        <w:t xml:space="preserve">CLÁUSULA DÉCIMA – </w:t>
      </w:r>
      <w:r>
        <w:rPr>
          <w:rFonts w:ascii="Arial" w:hAnsi="Arial" w:cs="Arial"/>
          <w:b/>
          <w:szCs w:val="24"/>
        </w:rPr>
        <w:t>DO SERVIÇO DE COLETA SELETIVA DOS MATERIAIS RECICLÁVEIS</w:t>
      </w:r>
    </w:p>
    <w:p>
      <w:pPr>
        <w:spacing w:after="120"/>
        <w:jc w:val="both"/>
        <w:rPr>
          <w:rFonts w:ascii="Arial" w:hAnsi="Arial" w:cs="Arial"/>
          <w:bCs/>
        </w:rPr>
      </w:pPr>
      <w:r>
        <w:rPr>
          <w:rFonts w:ascii="Arial" w:hAnsi="Arial" w:cs="Arial"/>
          <w:b/>
          <w:bCs/>
        </w:rPr>
        <w:t>10.1. a)</w:t>
      </w:r>
      <w:r>
        <w:rPr>
          <w:rFonts w:ascii="Arial" w:hAnsi="Arial" w:cs="Arial"/>
        </w:rPr>
        <w:t xml:space="preserve"> </w:t>
      </w:r>
      <w:r>
        <w:rPr>
          <w:rFonts w:ascii="Arial" w:hAnsi="Arial" w:cs="Arial"/>
          <w:bCs/>
        </w:rPr>
        <w:t xml:space="preserve">Os serviços deverão ser executados por 08 (oito) caminhões coletores, compactadores com capacidade de carga de 15 m³ (quinze metros cúbicos), dentro dos padrões técnicos estabelecidos por lei, mantendo um de reserva para não ter prejuízos para os munícipes, sendo: </w:t>
      </w:r>
    </w:p>
    <w:p>
      <w:pPr>
        <w:spacing w:after="120"/>
        <w:jc w:val="both"/>
        <w:rPr>
          <w:rFonts w:ascii="Arial" w:hAnsi="Arial" w:cs="Arial"/>
          <w:bCs/>
        </w:rPr>
      </w:pPr>
      <w:r>
        <w:rPr>
          <w:rFonts w:ascii="Arial" w:hAnsi="Arial" w:cs="Arial"/>
          <w:b/>
        </w:rPr>
        <w:t>b)</w:t>
      </w:r>
      <w:r>
        <w:rPr>
          <w:rFonts w:ascii="Arial" w:hAnsi="Arial" w:cs="Arial"/>
          <w:bCs/>
        </w:rPr>
        <w:t xml:space="preserve"> 7 (sete) veículos caminhões com carroceria para coleta de lixo domiciliar, acoplado de caixa compactadora de lixo, de no mínimo de 15m³.</w:t>
      </w:r>
    </w:p>
    <w:p>
      <w:pPr>
        <w:spacing w:after="120"/>
        <w:jc w:val="both"/>
        <w:rPr>
          <w:rFonts w:ascii="Arial" w:hAnsi="Arial" w:cs="Arial"/>
          <w:bCs/>
        </w:rPr>
      </w:pPr>
      <w:r>
        <w:rPr>
          <w:rFonts w:ascii="Arial" w:hAnsi="Arial" w:cs="Arial"/>
          <w:b/>
        </w:rPr>
        <w:t>c)</w:t>
      </w:r>
      <w:r>
        <w:rPr>
          <w:rFonts w:ascii="Arial" w:hAnsi="Arial" w:cs="Arial"/>
          <w:bCs/>
        </w:rPr>
        <w:t xml:space="preserve"> 1 (um) veículo caminhão reserva com carroceria para coleta de lixo domiciliar, acoplado de caixa compactadora de lixo, de no mínimo de 15m³.</w:t>
      </w:r>
    </w:p>
    <w:p>
      <w:pPr>
        <w:spacing w:after="120"/>
        <w:jc w:val="both"/>
        <w:rPr>
          <w:rFonts w:ascii="Arial" w:hAnsi="Arial" w:cs="Arial"/>
          <w:bCs/>
        </w:rPr>
      </w:pPr>
      <w:r>
        <w:rPr>
          <w:rFonts w:ascii="Arial" w:hAnsi="Arial" w:cs="Arial"/>
          <w:b/>
        </w:rPr>
        <w:t>d)</w:t>
      </w:r>
      <w:r>
        <w:rPr>
          <w:rFonts w:ascii="Arial" w:hAnsi="Arial" w:cs="Arial"/>
          <w:bCs/>
        </w:rPr>
        <w:t xml:space="preserve"> A coleta será realizada em dias alternados, 03 vezes por semana, ficando a contratada obrigada a efetuar o serviço mesmo em dia de feriados civis ou religiosos exceto aos domingos. </w:t>
      </w:r>
    </w:p>
    <w:p>
      <w:pPr>
        <w:spacing w:after="120"/>
        <w:jc w:val="both"/>
        <w:rPr>
          <w:rFonts w:ascii="Arial" w:hAnsi="Arial" w:cs="Arial"/>
          <w:bCs/>
        </w:rPr>
      </w:pPr>
      <w:r>
        <w:rPr>
          <w:rFonts w:ascii="Arial" w:hAnsi="Arial" w:cs="Arial"/>
          <w:b/>
        </w:rPr>
        <w:t>e)</w:t>
      </w:r>
      <w:r>
        <w:rPr>
          <w:rFonts w:ascii="Arial" w:hAnsi="Arial" w:cs="Arial"/>
          <w:bCs/>
        </w:rPr>
        <w:t xml:space="preserve">  A coleta deverá ser realizada apenas nos horários abaixo: </w:t>
      </w:r>
    </w:p>
    <w:p>
      <w:pPr>
        <w:spacing w:after="120"/>
        <w:jc w:val="both"/>
        <w:rPr>
          <w:rFonts w:ascii="Arial" w:hAnsi="Arial" w:cs="Arial"/>
          <w:bCs/>
        </w:rPr>
      </w:pPr>
      <w:r>
        <w:rPr>
          <w:rFonts w:ascii="Arial" w:hAnsi="Arial" w:cs="Arial"/>
          <w:bCs/>
        </w:rPr>
        <w:t xml:space="preserve">- Matutino início 04:00 às 10:00 </w:t>
      </w:r>
    </w:p>
    <w:p>
      <w:pPr>
        <w:spacing w:after="120"/>
        <w:jc w:val="both"/>
        <w:rPr>
          <w:rFonts w:ascii="Arial" w:hAnsi="Arial" w:cs="Arial"/>
          <w:bCs/>
        </w:rPr>
      </w:pPr>
      <w:r>
        <w:rPr>
          <w:rFonts w:ascii="Arial" w:hAnsi="Arial" w:cs="Arial"/>
          <w:bCs/>
        </w:rPr>
        <w:t>- Vespertino início 16:00 às 23:00.</w:t>
      </w:r>
    </w:p>
    <w:p>
      <w:pPr>
        <w:spacing w:after="120"/>
        <w:jc w:val="both"/>
        <w:rPr>
          <w:rFonts w:ascii="Arial" w:hAnsi="Arial" w:cs="Arial"/>
          <w:bCs/>
        </w:rPr>
      </w:pPr>
      <w:r>
        <w:rPr>
          <w:rFonts w:ascii="Arial" w:hAnsi="Arial" w:cs="Arial"/>
          <w:bCs/>
        </w:rPr>
        <w:t>- Noturno início 00:00 às 6:00.</w:t>
      </w:r>
    </w:p>
    <w:p>
      <w:pPr>
        <w:spacing w:after="120"/>
        <w:jc w:val="both"/>
        <w:rPr>
          <w:rFonts w:ascii="Arial" w:hAnsi="Arial" w:cs="Arial"/>
          <w:bCs/>
        </w:rPr>
      </w:pPr>
      <w:r>
        <w:rPr>
          <w:rFonts w:ascii="Arial" w:hAnsi="Arial" w:cs="Arial"/>
          <w:b/>
        </w:rPr>
        <w:t xml:space="preserve">f) </w:t>
      </w:r>
      <w:r>
        <w:rPr>
          <w:rFonts w:ascii="Arial" w:hAnsi="Arial" w:cs="Arial"/>
          <w:bCs/>
        </w:rPr>
        <w:t>Os resíduos deverão acondicionados para coleta em recipientes adequados, preferencialmente em sacos plásticos, sendo que não serão coletados resíduos a granel (espalhados), somente aqueles que estiverem devidamente acondicionados.</w:t>
      </w:r>
    </w:p>
    <w:p>
      <w:pPr>
        <w:numPr>
          <w:ilvl w:val="0"/>
          <w:numId w:val="9"/>
        </w:numPr>
        <w:spacing w:after="120"/>
        <w:ind w:left="0" w:firstLine="0"/>
        <w:jc w:val="both"/>
        <w:rPr>
          <w:rFonts w:ascii="Arial" w:hAnsi="Arial" w:cs="Arial"/>
          <w:bCs/>
        </w:rPr>
      </w:pPr>
      <w:r>
        <w:rPr>
          <w:rFonts w:ascii="Arial" w:hAnsi="Arial" w:cs="Arial"/>
          <w:bCs/>
        </w:rPr>
        <w:t>Todas as carrocerias dos veículos caminhões deverão ser fechadas e conter vedação eficiente, para evitar despejo de resíduos sólidos e líquidos (chorume) nas vias públicas, dotadas de sistema de descarga automática, sem necessidade de mão-de-obra para seu esvaziamento, dotado de suporte para pá e vassoura que constituem equipamentos obrigatórios, e com sistema de retenção de chorume com dispositivo de descarga.</w:t>
      </w:r>
    </w:p>
    <w:p>
      <w:pPr>
        <w:numPr>
          <w:ilvl w:val="0"/>
          <w:numId w:val="9"/>
        </w:numPr>
        <w:spacing w:after="120"/>
        <w:ind w:left="0" w:firstLine="0"/>
        <w:jc w:val="both"/>
        <w:rPr>
          <w:rFonts w:ascii="Arial" w:hAnsi="Arial" w:cs="Arial"/>
          <w:bCs/>
        </w:rPr>
      </w:pPr>
      <w:r>
        <w:rPr>
          <w:rFonts w:ascii="Arial" w:hAnsi="Arial" w:cs="Arial"/>
          <w:bCs/>
        </w:rPr>
        <w:t xml:space="preserve">Cada equipe para execução da coleta de resíduos sólidos domiciliares será constituída de no mínimo: </w:t>
      </w:r>
    </w:p>
    <w:p>
      <w:pPr>
        <w:spacing w:after="120"/>
        <w:jc w:val="both"/>
        <w:rPr>
          <w:rFonts w:ascii="Arial" w:hAnsi="Arial" w:cs="Arial"/>
          <w:bCs/>
        </w:rPr>
      </w:pPr>
      <w:r>
        <w:rPr>
          <w:rFonts w:ascii="Arial" w:hAnsi="Arial" w:cs="Arial"/>
          <w:bCs/>
        </w:rPr>
        <w:t xml:space="preserve">-01 (um) motorista com carteira de habilitação profissional; </w:t>
      </w:r>
    </w:p>
    <w:p>
      <w:pPr>
        <w:spacing w:after="120"/>
        <w:jc w:val="both"/>
        <w:rPr>
          <w:rFonts w:ascii="Arial" w:hAnsi="Arial" w:cs="Arial"/>
          <w:bCs/>
        </w:rPr>
      </w:pPr>
      <w:r>
        <w:rPr>
          <w:rFonts w:ascii="Arial" w:hAnsi="Arial" w:cs="Arial"/>
          <w:bCs/>
        </w:rPr>
        <w:t xml:space="preserve">- 04 (quatro) coletores; </w:t>
      </w:r>
    </w:p>
    <w:p>
      <w:pPr>
        <w:numPr>
          <w:ilvl w:val="0"/>
          <w:numId w:val="9"/>
        </w:numPr>
        <w:spacing w:after="120"/>
        <w:ind w:left="0" w:firstLine="0"/>
        <w:jc w:val="both"/>
        <w:rPr>
          <w:rFonts w:ascii="Arial" w:hAnsi="Arial" w:cs="Arial"/>
          <w:bCs/>
        </w:rPr>
      </w:pPr>
      <w:r>
        <w:rPr>
          <w:rFonts w:ascii="Arial" w:hAnsi="Arial" w:cs="Arial"/>
          <w:bCs/>
        </w:rPr>
        <w:t xml:space="preserve">A Contratada será responsável por disponibilizar quantas pessoas forem necessárias para execução do serviço conforme planejamento. </w:t>
      </w:r>
    </w:p>
    <w:p>
      <w:pPr>
        <w:numPr>
          <w:ilvl w:val="0"/>
          <w:numId w:val="20"/>
        </w:numPr>
        <w:spacing w:after="120"/>
        <w:jc w:val="both"/>
        <w:rPr>
          <w:rFonts w:ascii="Arial" w:hAnsi="Arial" w:cs="Arial"/>
          <w:bCs/>
        </w:rPr>
      </w:pPr>
      <w:r>
        <w:rPr>
          <w:rFonts w:ascii="Arial" w:hAnsi="Arial" w:cs="Arial"/>
          <w:bCs/>
        </w:rPr>
        <w:t xml:space="preserve">Serão disponibilizadas para a execução dos serviços de acordo com o levantamento da Secretaria, 11 (onze) equipes para a execução dos serviços, distribuídos estes </w:t>
      </w:r>
    </w:p>
    <w:p>
      <w:pPr>
        <w:spacing w:after="120"/>
        <w:jc w:val="both"/>
        <w:rPr>
          <w:rFonts w:ascii="Arial" w:hAnsi="Arial" w:cs="Arial"/>
          <w:bCs/>
        </w:rPr>
      </w:pPr>
      <w:r>
        <w:rPr>
          <w:rFonts w:ascii="Arial" w:hAnsi="Arial" w:cs="Arial"/>
          <w:bCs/>
        </w:rPr>
        <w:t xml:space="preserve">- 04 (quatro) equipes no período matutino, </w:t>
      </w:r>
    </w:p>
    <w:p>
      <w:pPr>
        <w:spacing w:after="120"/>
        <w:jc w:val="both"/>
        <w:rPr>
          <w:rFonts w:ascii="Arial" w:hAnsi="Arial" w:cs="Arial"/>
          <w:bCs/>
        </w:rPr>
      </w:pPr>
      <w:r>
        <w:rPr>
          <w:rFonts w:ascii="Arial" w:hAnsi="Arial" w:cs="Arial"/>
          <w:bCs/>
        </w:rPr>
        <w:t xml:space="preserve">- 04 (quatro) equipes no período vespertino </w:t>
      </w:r>
    </w:p>
    <w:p>
      <w:pPr>
        <w:spacing w:after="120"/>
        <w:jc w:val="both"/>
        <w:rPr>
          <w:rFonts w:ascii="Arial" w:hAnsi="Arial" w:cs="Arial"/>
          <w:bCs/>
        </w:rPr>
      </w:pPr>
      <w:r>
        <w:rPr>
          <w:rFonts w:ascii="Arial" w:hAnsi="Arial" w:cs="Arial"/>
          <w:bCs/>
        </w:rPr>
        <w:t>- 03 (três) equipes no período noturno.</w:t>
      </w:r>
    </w:p>
    <w:p>
      <w:pPr>
        <w:spacing w:after="120"/>
        <w:jc w:val="both"/>
        <w:rPr>
          <w:rFonts w:ascii="Arial" w:hAnsi="Arial" w:cs="Arial"/>
          <w:bCs/>
        </w:rPr>
      </w:pPr>
      <w:r>
        <w:rPr>
          <w:rFonts w:ascii="Arial" w:hAnsi="Arial" w:cs="Arial"/>
          <w:b/>
        </w:rPr>
        <w:t>k)</w:t>
      </w:r>
      <w:r>
        <w:rPr>
          <w:rFonts w:ascii="Arial" w:hAnsi="Arial" w:cs="Arial"/>
          <w:bCs/>
        </w:rPr>
        <w:t xml:space="preserve"> Será terminantemente proibido aos empregados da Contratada realizar catação ou triagem de resíduos nos veículos, ingerirem alimentos e bebidas alcoólicas em serviço e/ou pedirem gratificação de qualquer espécie.</w:t>
      </w:r>
    </w:p>
    <w:tbl>
      <w:tblPr>
        <w:tblStyle w:val="12"/>
        <w:tblpPr w:leftFromText="180" w:rightFromText="180" w:vertAnchor="text" w:horzAnchor="page" w:tblpX="1380" w:tblpY="983"/>
        <w:tblOverlap w:val="never"/>
        <w:tblW w:w="97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12"/>
        <w:gridCol w:w="1587"/>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blHeader/>
        </w:trPr>
        <w:tc>
          <w:tcPr>
            <w:tcW w:w="6612" w:type="dxa"/>
            <w:tcBorders>
              <w:top w:val="single" w:color="000000" w:sz="4" w:space="0"/>
              <w:left w:val="single" w:color="000000" w:sz="4" w:space="0"/>
              <w:bottom w:val="single" w:color="000000" w:sz="4" w:space="0"/>
              <w:right w:val="single" w:color="000000" w:sz="4" w:space="0"/>
              <w:tl2br w:val="nil"/>
              <w:tr2bl w:val="nil"/>
            </w:tcBorders>
            <w:shd w:val="clear" w:color="auto" w:fill="FDE9D9"/>
            <w:vAlign w:val="center"/>
          </w:tcPr>
          <w:p>
            <w:pPr>
              <w:pStyle w:val="72"/>
              <w:numPr>
                <w:ilvl w:val="0"/>
                <w:numId w:val="0"/>
              </w:numPr>
              <w:spacing w:before="0" w:after="120"/>
              <w:ind w:right="240" w:rightChars="100"/>
              <w:rPr>
                <w:rFonts w:ascii="Calibri" w:hAnsi="Calibri" w:cs="Calibri"/>
              </w:rPr>
            </w:pPr>
            <w:r>
              <w:rPr>
                <w:rFonts w:ascii="Calibri" w:hAnsi="Calibri" w:cs="Calibri"/>
              </w:rPr>
              <w:t>BAIRROS</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FDE9D9"/>
            <w:vAlign w:val="center"/>
          </w:tcPr>
          <w:p>
            <w:pPr>
              <w:pStyle w:val="72"/>
              <w:numPr>
                <w:ilvl w:val="0"/>
                <w:numId w:val="0"/>
              </w:numPr>
              <w:spacing w:before="0" w:after="120"/>
              <w:ind w:right="240" w:rightChars="100"/>
              <w:rPr>
                <w:rFonts w:ascii="Calibri" w:hAnsi="Calibri" w:cs="Calibri"/>
              </w:rPr>
            </w:pPr>
            <w:r>
              <w:rPr>
                <w:rFonts w:ascii="Calibri" w:hAnsi="Calibri" w:cs="Calibri"/>
              </w:rPr>
              <w:t>TURNO</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FDE9D9"/>
            <w:vAlign w:val="center"/>
          </w:tcPr>
          <w:p>
            <w:pPr>
              <w:pStyle w:val="72"/>
              <w:numPr>
                <w:ilvl w:val="0"/>
                <w:numId w:val="0"/>
              </w:numPr>
              <w:spacing w:before="0" w:after="120"/>
              <w:ind w:right="240" w:rightChars="100"/>
              <w:rPr>
                <w:rFonts w:ascii="Calibri" w:hAnsi="Calibri" w:cs="Calibri"/>
              </w:rPr>
            </w:pPr>
            <w:r>
              <w:rPr>
                <w:rFonts w:ascii="Calibri" w:hAnsi="Calibri" w:cs="Calibri"/>
              </w:rPr>
              <w:t>FREQUÊNCIA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661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Centro (primavera I)</w:t>
            </w:r>
          </w:p>
        </w:tc>
        <w:tc>
          <w:tcPr>
            <w:tcW w:w="158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NOTURNO</w:t>
            </w:r>
          </w:p>
        </w:tc>
        <w:tc>
          <w:tcPr>
            <w:tcW w:w="15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DIARIO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661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Primavera II; Parque das Águas; Bairro Vitória I, II; Villa Venetto; Villa Padova; Villa Romana; Jardim Bela Vista; Jardim Florença; Jardim Itália; Jardim Riva I, II; Jardim Veneza; Jardim Milano</w:t>
            </w:r>
          </w:p>
        </w:tc>
        <w:tc>
          <w:tcPr>
            <w:tcW w:w="158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NOTURNO</w:t>
            </w:r>
          </w:p>
        </w:tc>
        <w:tc>
          <w:tcPr>
            <w:tcW w:w="15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3 VEZES POR SEMANA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661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Chácara Nova Esperança; Primavera III; Reserva da Mata; Jardim das Américas I, II, III, IV, V, VI, VII, VIII; Jardim Esperança; Jardim Europa I, II; Bairro Volta Grande; Bairro Belvedere; Bairro Guterres; Bairro Imperial I, II, III; Bairro Buritis I, II, III, IV, V; Bairro Firenze; Bairro Padre Onesto Costa; Bairro Tuiuu</w:t>
            </w:r>
          </w:p>
        </w:tc>
        <w:tc>
          <w:tcPr>
            <w:tcW w:w="158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MATUTINO</w:t>
            </w:r>
          </w:p>
        </w:tc>
        <w:tc>
          <w:tcPr>
            <w:tcW w:w="15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3 VEZES POR SEMANA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3" w:hRule="atLeast"/>
        </w:trPr>
        <w:tc>
          <w:tcPr>
            <w:tcW w:w="661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Bairro Tancredo Neves; Coahbi Jaime Campos; Bairro São Cristovao I, II, III; Bairro Cristo Rei; Bairro Pioneiro; Bairro Planalto; Bairro Serrano; Bairro São Jose; Distrito industrial I, II; Jardim Luciana I, II; Bairro Maringá; Bairro Poncho Verde I, II, III,; Jardim Progresso I, II; Jardim Serra da Flores; Jardim Universitário I, II; Santa Felicidade; Três américas; Vertente das Aguas; Parque Castelândia I, II, III, IV, V, VI; Parque Eldorado; Parque Gnoato; Bairro Santa Clara I, II; Assentamento Novo Progresso; Vila Popular</w:t>
            </w:r>
          </w:p>
        </w:tc>
        <w:tc>
          <w:tcPr>
            <w:tcW w:w="158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VESPERTINO</w:t>
            </w:r>
          </w:p>
        </w:tc>
        <w:tc>
          <w:tcPr>
            <w:tcW w:w="15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72"/>
              <w:numPr>
                <w:ilvl w:val="0"/>
                <w:numId w:val="0"/>
              </w:numPr>
              <w:spacing w:before="0" w:after="120"/>
              <w:ind w:right="240" w:rightChars="100"/>
              <w:rPr>
                <w:rFonts w:ascii="Calibri" w:hAnsi="Calibri" w:cs="Calibri"/>
              </w:rPr>
            </w:pPr>
            <w:r>
              <w:rPr>
                <w:rFonts w:ascii="Calibri" w:hAnsi="Calibri" w:cs="Calibri"/>
              </w:rPr>
              <w:t>3 VEZES POR SEMANA</w:t>
            </w:r>
          </w:p>
        </w:tc>
      </w:tr>
    </w:tbl>
    <w:p>
      <w:pPr>
        <w:spacing w:after="120"/>
        <w:jc w:val="both"/>
        <w:rPr>
          <w:rFonts w:ascii="Arial" w:hAnsi="Arial" w:cs="Arial"/>
          <w:bCs/>
          <w:szCs w:val="24"/>
        </w:rPr>
      </w:pPr>
      <w:r>
        <w:rPr>
          <w:rFonts w:ascii="Arial" w:hAnsi="Arial" w:cs="Arial"/>
          <w:b/>
          <w:szCs w:val="24"/>
        </w:rPr>
        <w:t xml:space="preserve">l) </w:t>
      </w:r>
      <w:r>
        <w:rPr>
          <w:rFonts w:ascii="Arial" w:hAnsi="Arial" w:cs="Arial"/>
          <w:bCs/>
          <w:szCs w:val="24"/>
        </w:rPr>
        <w:t xml:space="preserve"> A frequência e os turnos de coleta a serem atendidos para cada bairro é apresentado a seguir:</w:t>
      </w:r>
    </w:p>
    <w:p>
      <w:pPr>
        <w:pStyle w:val="72"/>
        <w:numPr>
          <w:ilvl w:val="0"/>
          <w:numId w:val="0"/>
        </w:numPr>
        <w:spacing w:before="0" w:after="120"/>
        <w:ind w:right="240" w:rightChars="100"/>
        <w:rPr>
          <w:sz w:val="24"/>
        </w:rPr>
      </w:pPr>
      <w:r>
        <w:rPr>
          <w:sz w:val="24"/>
        </w:rPr>
        <w:t>- De acordo com os levantamentos técnicos realizados pela Prefeitura Municipal serão percorridos diariamente, em média, 1.409,41 km (distâncias produtivas e distâncias improdutivas), conforme apresentado a seguir:</w:t>
      </w:r>
    </w:p>
    <w:tbl>
      <w:tblPr>
        <w:tblStyle w:val="12"/>
        <w:tblW w:w="0" w:type="auto"/>
        <w:tblInd w:w="0" w:type="dxa"/>
        <w:tblLayout w:type="fixed"/>
        <w:tblCellMar>
          <w:top w:w="0" w:type="dxa"/>
          <w:left w:w="70" w:type="dxa"/>
          <w:bottom w:w="0" w:type="dxa"/>
          <w:right w:w="70" w:type="dxa"/>
        </w:tblCellMar>
      </w:tblPr>
      <w:tblGrid>
        <w:gridCol w:w="6339"/>
        <w:gridCol w:w="3309"/>
      </w:tblGrid>
      <w:tr>
        <w:tblPrEx>
          <w:tblCellMar>
            <w:top w:w="0" w:type="dxa"/>
            <w:left w:w="70" w:type="dxa"/>
            <w:bottom w:w="0" w:type="dxa"/>
            <w:right w:w="70" w:type="dxa"/>
          </w:tblCellMar>
        </w:tblPrEx>
        <w:trPr>
          <w:trHeight w:val="397" w:hRule="atLeast"/>
          <w:tblHeader/>
        </w:trPr>
        <w:tc>
          <w:tcPr>
            <w:tcW w:w="6339" w:type="dxa"/>
            <w:tcBorders>
              <w:top w:val="single" w:color="auto" w:sz="4" w:space="0"/>
              <w:left w:val="single" w:color="auto" w:sz="4" w:space="0"/>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18"/>
                <w:szCs w:val="18"/>
              </w:rPr>
            </w:pPr>
            <w:r>
              <w:rPr>
                <w:sz w:val="18"/>
                <w:szCs w:val="18"/>
              </w:rPr>
              <w:t>DISTÂNCIA</w:t>
            </w:r>
          </w:p>
        </w:tc>
        <w:tc>
          <w:tcPr>
            <w:tcW w:w="3309" w:type="dxa"/>
            <w:tcBorders>
              <w:top w:val="single" w:color="auto" w:sz="4" w:space="0"/>
              <w:left w:val="nil"/>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18"/>
                <w:szCs w:val="18"/>
              </w:rPr>
            </w:pPr>
            <w:r>
              <w:rPr>
                <w:sz w:val="18"/>
                <w:szCs w:val="18"/>
              </w:rPr>
              <w:t>KM PERCORRIDOS</w:t>
            </w:r>
          </w:p>
        </w:tc>
      </w:tr>
      <w:tr>
        <w:tblPrEx>
          <w:tblCellMar>
            <w:top w:w="0" w:type="dxa"/>
            <w:left w:w="70" w:type="dxa"/>
            <w:bottom w:w="0" w:type="dxa"/>
            <w:right w:w="70" w:type="dxa"/>
          </w:tblCellMar>
        </w:tblPrEx>
        <w:trPr>
          <w:trHeight w:val="397" w:hRule="atLeast"/>
        </w:trPr>
        <w:tc>
          <w:tcPr>
            <w:tcW w:w="6339" w:type="dxa"/>
            <w:tcBorders>
              <w:top w:val="single" w:color="auto" w:sz="4" w:space="0"/>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semanal produtiva</w:t>
            </w:r>
          </w:p>
        </w:tc>
        <w:tc>
          <w:tcPr>
            <w:tcW w:w="3309" w:type="dxa"/>
            <w:tcBorders>
              <w:top w:val="single" w:color="auto" w:sz="4" w:space="0"/>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3.451,62</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semanal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5.004,85</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diária 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575,27</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diária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834,14</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p>
        </w:tc>
      </w:tr>
      <w:tr>
        <w:tblPrEx>
          <w:tblCellMar>
            <w:top w:w="0" w:type="dxa"/>
            <w:left w:w="70" w:type="dxa"/>
            <w:bottom w:w="0" w:type="dxa"/>
            <w:right w:w="70" w:type="dxa"/>
          </w:tblCellMar>
        </w:tblPrEx>
        <w:trPr>
          <w:trHeight w:val="90"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Distância média diária total</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18"/>
                <w:szCs w:val="18"/>
              </w:rPr>
            </w:pPr>
            <w:r>
              <w:rPr>
                <w:sz w:val="18"/>
                <w:szCs w:val="18"/>
              </w:rPr>
              <w:t>1.409,41</w:t>
            </w:r>
          </w:p>
        </w:tc>
      </w:tr>
    </w:tbl>
    <w:p>
      <w:pPr>
        <w:pStyle w:val="72"/>
        <w:numPr>
          <w:ilvl w:val="0"/>
          <w:numId w:val="0"/>
        </w:numPr>
        <w:spacing w:before="0" w:after="120"/>
        <w:ind w:right="240" w:rightChars="100"/>
        <w:rPr>
          <w:sz w:val="24"/>
        </w:rPr>
      </w:pPr>
    </w:p>
    <w:p>
      <w:pPr>
        <w:pStyle w:val="72"/>
        <w:numPr>
          <w:ilvl w:val="0"/>
          <w:numId w:val="0"/>
        </w:numPr>
        <w:spacing w:before="0" w:after="120"/>
        <w:ind w:right="240" w:rightChars="100"/>
        <w:rPr>
          <w:sz w:val="24"/>
        </w:rPr>
      </w:pPr>
      <w:r>
        <w:rPr>
          <w:sz w:val="24"/>
        </w:rPr>
        <w:t>10.2. DO SERVIÇO DE COLETA SELETIVA DOS MATERIAIS RECICLÁVEIS</w:t>
      </w:r>
    </w:p>
    <w:p>
      <w:pPr>
        <w:pStyle w:val="72"/>
        <w:numPr>
          <w:ilvl w:val="0"/>
          <w:numId w:val="0"/>
        </w:numPr>
        <w:spacing w:before="0" w:after="120"/>
        <w:ind w:right="240" w:rightChars="100"/>
        <w:rPr>
          <w:sz w:val="24"/>
        </w:rPr>
      </w:pPr>
      <w:r>
        <w:rPr>
          <w:sz w:val="24"/>
        </w:rPr>
        <w:t>10.2.1 Da definição do serviço:</w:t>
      </w:r>
    </w:p>
    <w:p>
      <w:pPr>
        <w:pStyle w:val="72"/>
        <w:numPr>
          <w:ilvl w:val="0"/>
          <w:numId w:val="0"/>
        </w:numPr>
        <w:spacing w:before="0" w:after="120"/>
        <w:ind w:right="240" w:rightChars="100"/>
        <w:rPr>
          <w:b w:val="0"/>
          <w:bCs/>
          <w:sz w:val="24"/>
        </w:rPr>
      </w:pPr>
      <w:r>
        <w:rPr>
          <w:sz w:val="24"/>
        </w:rPr>
        <w:t>a)</w:t>
      </w:r>
      <w:r>
        <w:rPr>
          <w:b w:val="0"/>
          <w:bCs/>
          <w:sz w:val="24"/>
        </w:rPr>
        <w:t xml:space="preserve"> Define-se como coleta seletiva a coleta e transporte regular dos materiais recicláveis disponibilizados pelos domicílios, estabelecimentos comerciais, estabelecimentos industriais, em vias ou logradouros públicos ou nos próprios locais de funcionamento dos estabelecimentos no âmbito do Município de Primavera do Leste/MT;</w:t>
      </w:r>
    </w:p>
    <w:p>
      <w:pPr>
        <w:pStyle w:val="72"/>
        <w:numPr>
          <w:ilvl w:val="0"/>
          <w:numId w:val="0"/>
        </w:numPr>
        <w:spacing w:before="0" w:after="120"/>
        <w:ind w:right="240" w:rightChars="100"/>
        <w:rPr>
          <w:b w:val="0"/>
          <w:bCs/>
          <w:sz w:val="24"/>
        </w:rPr>
      </w:pPr>
      <w:r>
        <w:rPr>
          <w:sz w:val="24"/>
        </w:rPr>
        <w:t>b)</w:t>
      </w:r>
      <w:r>
        <w:rPr>
          <w:b w:val="0"/>
          <w:bCs/>
          <w:sz w:val="24"/>
        </w:rPr>
        <w:t xml:space="preserve"> Entende-se como materiais recicláveis todo material que tenha condições de reutilização, reuso ou serem reciclados tais como – papel, papelão, plásticos, vidros, metais ferrosos e não ferrosos, entre outros.</w:t>
      </w:r>
    </w:p>
    <w:p>
      <w:pPr>
        <w:pStyle w:val="72"/>
        <w:numPr>
          <w:ilvl w:val="0"/>
          <w:numId w:val="0"/>
        </w:numPr>
        <w:spacing w:before="0" w:after="120"/>
        <w:ind w:right="240" w:rightChars="100"/>
        <w:rPr>
          <w:sz w:val="24"/>
        </w:rPr>
      </w:pPr>
      <w:r>
        <w:rPr>
          <w:sz w:val="24"/>
        </w:rPr>
        <w:t>10.2.2. Da execução do serviço:</w:t>
      </w:r>
    </w:p>
    <w:p>
      <w:pPr>
        <w:pStyle w:val="72"/>
        <w:numPr>
          <w:ilvl w:val="0"/>
          <w:numId w:val="0"/>
        </w:numPr>
        <w:spacing w:before="0" w:after="120"/>
        <w:ind w:right="240" w:rightChars="100"/>
        <w:rPr>
          <w:b w:val="0"/>
          <w:bCs/>
          <w:sz w:val="24"/>
        </w:rPr>
      </w:pPr>
      <w:r>
        <w:rPr>
          <w:b w:val="0"/>
          <w:bCs/>
          <w:sz w:val="24"/>
        </w:rPr>
        <w:t>a)  A Coleta Seletiva será realizada nas vias e logradouros da cidade de Primavera do Leste/MT, no conceito de coleta porta a porta, devendo ser inicialmente dimensionada para 12 (doze) setores de coleta com frequência de coleta semanal.</w:t>
      </w:r>
    </w:p>
    <w:p>
      <w:pPr>
        <w:pStyle w:val="72"/>
        <w:numPr>
          <w:ilvl w:val="0"/>
          <w:numId w:val="0"/>
        </w:numPr>
        <w:spacing w:before="0" w:after="120"/>
        <w:ind w:right="240" w:rightChars="100"/>
        <w:rPr>
          <w:b w:val="0"/>
          <w:bCs/>
          <w:sz w:val="24"/>
        </w:rPr>
      </w:pPr>
      <w:r>
        <w:rPr>
          <w:b w:val="0"/>
          <w:bCs/>
          <w:sz w:val="24"/>
        </w:rPr>
        <w:t>b) Os serviços deverão ser executados por 03 (três) caminhões coletores, acomodador (caminhão compactador com pressão reduzida para coleta de resíduos recicláveis) com capacidade de carga de 15 m³ (quinze metros cúbicos), dentro dos padrões técnicos estabelecidos por lei, mantendo um de reserva para não ter prejuízos para os munícipes, sendo:</w:t>
      </w:r>
    </w:p>
    <w:p>
      <w:pPr>
        <w:pStyle w:val="72"/>
        <w:numPr>
          <w:ilvl w:val="0"/>
          <w:numId w:val="0"/>
        </w:numPr>
        <w:spacing w:before="0" w:after="120"/>
        <w:ind w:right="240" w:rightChars="100"/>
        <w:rPr>
          <w:b w:val="0"/>
          <w:bCs/>
          <w:sz w:val="24"/>
        </w:rPr>
      </w:pPr>
      <w:r>
        <w:rPr>
          <w:b w:val="0"/>
          <w:bCs/>
          <w:sz w:val="24"/>
        </w:rPr>
        <w:t>- 2 (dois) caminhões coletores, acomodador (caminhão compactador com pressão reduzida para coleta de resíduos recicláveis) com capacidade de carga de 15 m³ (quinze metros cúbicos).</w:t>
      </w:r>
    </w:p>
    <w:p>
      <w:pPr>
        <w:pStyle w:val="72"/>
        <w:numPr>
          <w:ilvl w:val="0"/>
          <w:numId w:val="0"/>
        </w:numPr>
        <w:spacing w:before="0" w:after="120"/>
        <w:ind w:right="240" w:rightChars="100"/>
        <w:rPr>
          <w:b w:val="0"/>
          <w:bCs/>
          <w:sz w:val="24"/>
        </w:rPr>
      </w:pPr>
      <w:r>
        <w:rPr>
          <w:b w:val="0"/>
          <w:bCs/>
          <w:sz w:val="24"/>
        </w:rPr>
        <w:t>- 1 (um) caminhão coletor reserva, acomodador (caminhão compactador com pressão reduzida para coleta de resíduos recicláveis) com capacidade de carga de 15 m³ (quinze metros cúbicos).</w:t>
      </w:r>
    </w:p>
    <w:p>
      <w:pPr>
        <w:pStyle w:val="72"/>
        <w:numPr>
          <w:ilvl w:val="0"/>
          <w:numId w:val="0"/>
        </w:numPr>
        <w:spacing w:before="0" w:after="120"/>
        <w:ind w:right="240" w:rightChars="100"/>
        <w:rPr>
          <w:b w:val="0"/>
          <w:bCs/>
          <w:sz w:val="24"/>
        </w:rPr>
      </w:pPr>
      <w:r>
        <w:rPr>
          <w:b w:val="0"/>
          <w:bCs/>
          <w:sz w:val="24"/>
        </w:rPr>
        <w:t>c)  A coleta deverá ser implantada gradativamente, iniciando-se imediatamente após a emissão da ordem de serviço nos bairros da região central de Primavera do Leste/MT.</w:t>
      </w:r>
    </w:p>
    <w:p>
      <w:pPr>
        <w:pStyle w:val="72"/>
        <w:numPr>
          <w:ilvl w:val="0"/>
          <w:numId w:val="0"/>
        </w:numPr>
        <w:spacing w:before="0" w:after="120"/>
        <w:ind w:right="240" w:rightChars="100"/>
        <w:rPr>
          <w:b w:val="0"/>
          <w:bCs/>
          <w:sz w:val="24"/>
        </w:rPr>
      </w:pPr>
      <w:r>
        <w:rPr>
          <w:b w:val="0"/>
          <w:bCs/>
          <w:sz w:val="24"/>
        </w:rPr>
        <w:t>d) A equipe de coleta deverá ser orientada especificamente para os diferentes tipos de materiais recicláveis, sendo que os materiais recolhidos considerados não recicláveis deverão ser encaminhados ao Aterro Controlado de Primavera do Leste.</w:t>
      </w:r>
    </w:p>
    <w:p>
      <w:pPr>
        <w:pStyle w:val="72"/>
        <w:numPr>
          <w:ilvl w:val="0"/>
          <w:numId w:val="0"/>
        </w:numPr>
        <w:spacing w:before="0" w:after="120"/>
        <w:ind w:right="240" w:rightChars="100"/>
        <w:rPr>
          <w:b w:val="0"/>
          <w:bCs/>
          <w:sz w:val="24"/>
        </w:rPr>
      </w:pPr>
      <w:r>
        <w:rPr>
          <w:b w:val="0"/>
          <w:bCs/>
          <w:sz w:val="24"/>
        </w:rPr>
        <w:t xml:space="preserve"> e) Todo o material coletado deverá ser encaminhado para a cooperativa de materiais recicláveis ou outro local definido pela municipalidade.</w:t>
      </w:r>
    </w:p>
    <w:p>
      <w:pPr>
        <w:pStyle w:val="72"/>
        <w:numPr>
          <w:ilvl w:val="0"/>
          <w:numId w:val="0"/>
        </w:numPr>
        <w:spacing w:before="0" w:after="120"/>
        <w:ind w:right="240" w:rightChars="100"/>
        <w:rPr>
          <w:b w:val="0"/>
          <w:bCs/>
          <w:sz w:val="24"/>
        </w:rPr>
      </w:pPr>
      <w:r>
        <w:rPr>
          <w:b w:val="0"/>
          <w:bCs/>
          <w:sz w:val="24"/>
        </w:rPr>
        <w:t xml:space="preserve"> f) Os rejeitos oriundos da triagem dos resíduos recicláveis deverão ser retirados conforme demanda em caminhões específicos e apropriados para a carga e transporte dos resíduos.</w:t>
      </w:r>
    </w:p>
    <w:p>
      <w:pPr>
        <w:pStyle w:val="72"/>
        <w:numPr>
          <w:ilvl w:val="0"/>
          <w:numId w:val="0"/>
        </w:numPr>
        <w:spacing w:before="0" w:after="120"/>
        <w:ind w:right="240" w:rightChars="100"/>
        <w:rPr>
          <w:b w:val="0"/>
          <w:bCs/>
          <w:sz w:val="24"/>
        </w:rPr>
      </w:pPr>
      <w:r>
        <w:rPr>
          <w:b w:val="0"/>
          <w:bCs/>
          <w:sz w:val="24"/>
        </w:rPr>
        <w:t xml:space="preserve"> g) Os resíduos que eventualmente forem espalhados por rompimento das embalagens deverão ser recolhidos manualmente, deixando o local completamente limpo.</w:t>
      </w:r>
    </w:p>
    <w:p>
      <w:pPr>
        <w:pStyle w:val="72"/>
        <w:numPr>
          <w:ilvl w:val="0"/>
          <w:numId w:val="0"/>
        </w:numPr>
        <w:spacing w:before="0" w:after="120"/>
        <w:ind w:right="240" w:rightChars="100"/>
        <w:rPr>
          <w:b w:val="0"/>
          <w:bCs/>
          <w:sz w:val="24"/>
        </w:rPr>
      </w:pPr>
      <w:r>
        <w:rPr>
          <w:b w:val="0"/>
          <w:bCs/>
          <w:sz w:val="24"/>
        </w:rPr>
        <w:t>h) Cada equipe para execução da coleta de resíduos recicláveis será constituída de no mínimo:</w:t>
      </w:r>
    </w:p>
    <w:p>
      <w:pPr>
        <w:pStyle w:val="72"/>
        <w:numPr>
          <w:ilvl w:val="0"/>
          <w:numId w:val="0"/>
        </w:numPr>
        <w:spacing w:before="0" w:after="120"/>
        <w:ind w:right="240" w:rightChars="100"/>
        <w:rPr>
          <w:b w:val="0"/>
          <w:bCs/>
          <w:sz w:val="24"/>
        </w:rPr>
      </w:pPr>
      <w:r>
        <w:rPr>
          <w:b w:val="0"/>
          <w:bCs/>
          <w:sz w:val="24"/>
        </w:rPr>
        <w:t>- 01 (um) motorista com carteira de habilitação profissional;</w:t>
      </w:r>
    </w:p>
    <w:p>
      <w:pPr>
        <w:pStyle w:val="72"/>
        <w:numPr>
          <w:ilvl w:val="0"/>
          <w:numId w:val="0"/>
        </w:numPr>
        <w:spacing w:before="0" w:after="120"/>
        <w:ind w:right="240" w:rightChars="100"/>
        <w:rPr>
          <w:b w:val="0"/>
          <w:bCs/>
          <w:sz w:val="24"/>
        </w:rPr>
      </w:pPr>
      <w:r>
        <w:rPr>
          <w:b w:val="0"/>
          <w:bCs/>
          <w:sz w:val="24"/>
        </w:rPr>
        <w:t>- 03 (três) coletores;</w:t>
      </w:r>
    </w:p>
    <w:p>
      <w:pPr>
        <w:pStyle w:val="72"/>
        <w:numPr>
          <w:ilvl w:val="0"/>
          <w:numId w:val="0"/>
        </w:numPr>
        <w:spacing w:before="0" w:after="120"/>
        <w:ind w:right="240" w:rightChars="100"/>
        <w:rPr>
          <w:b w:val="0"/>
          <w:bCs/>
          <w:sz w:val="24"/>
        </w:rPr>
      </w:pPr>
      <w:r>
        <w:rPr>
          <w:b w:val="0"/>
          <w:bCs/>
          <w:sz w:val="24"/>
        </w:rPr>
        <w:t xml:space="preserve"> i) Serão disponibilizadas para a execução dos serviços de acordo com o levantamento da Secretaria, 2 (duas) equipes para a execução dos serviços.</w:t>
      </w:r>
    </w:p>
    <w:p>
      <w:pPr>
        <w:pStyle w:val="72"/>
        <w:numPr>
          <w:ilvl w:val="0"/>
          <w:numId w:val="0"/>
        </w:numPr>
        <w:spacing w:before="0" w:after="120"/>
        <w:ind w:right="240" w:rightChars="100"/>
        <w:rPr>
          <w:b w:val="0"/>
          <w:bCs/>
          <w:sz w:val="24"/>
        </w:rPr>
      </w:pPr>
      <w:r>
        <w:rPr>
          <w:b w:val="0"/>
          <w:bCs/>
          <w:sz w:val="24"/>
        </w:rPr>
        <w:t>j) De acordo com os levantamentos técnicos realizados pela Prefeitura Municipal serão percorridos diariamente para a realização do serviço de coleta seletiva, em média,  210,07 km (distâncias produtivas e distâncias improdutivas), conforme apresentado a seguir:</w:t>
      </w:r>
    </w:p>
    <w:tbl>
      <w:tblPr>
        <w:tblStyle w:val="12"/>
        <w:tblW w:w="0" w:type="auto"/>
        <w:tblInd w:w="0" w:type="dxa"/>
        <w:tblLayout w:type="fixed"/>
        <w:tblCellMar>
          <w:top w:w="0" w:type="dxa"/>
          <w:left w:w="70" w:type="dxa"/>
          <w:bottom w:w="0" w:type="dxa"/>
          <w:right w:w="70" w:type="dxa"/>
        </w:tblCellMar>
      </w:tblPr>
      <w:tblGrid>
        <w:gridCol w:w="6339"/>
        <w:gridCol w:w="3309"/>
      </w:tblGrid>
      <w:tr>
        <w:tblPrEx>
          <w:tblCellMar>
            <w:top w:w="0" w:type="dxa"/>
            <w:left w:w="70" w:type="dxa"/>
            <w:bottom w:w="0" w:type="dxa"/>
            <w:right w:w="70" w:type="dxa"/>
          </w:tblCellMar>
        </w:tblPrEx>
        <w:trPr>
          <w:trHeight w:val="397" w:hRule="atLeast"/>
          <w:tblHeader/>
        </w:trPr>
        <w:tc>
          <w:tcPr>
            <w:tcW w:w="6339" w:type="dxa"/>
            <w:tcBorders>
              <w:top w:val="single" w:color="auto" w:sz="4" w:space="0"/>
              <w:left w:val="single" w:color="auto" w:sz="4" w:space="0"/>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24"/>
              </w:rPr>
            </w:pPr>
            <w:r>
              <w:rPr>
                <w:sz w:val="24"/>
              </w:rPr>
              <w:t>DISTÂNCIA</w:t>
            </w:r>
          </w:p>
        </w:tc>
        <w:tc>
          <w:tcPr>
            <w:tcW w:w="3309" w:type="dxa"/>
            <w:tcBorders>
              <w:top w:val="single" w:color="auto" w:sz="4" w:space="0"/>
              <w:left w:val="nil"/>
              <w:bottom w:val="single" w:color="auto" w:sz="4" w:space="0"/>
              <w:right w:val="single" w:color="auto" w:sz="4" w:space="0"/>
              <w:tl2br w:val="nil"/>
              <w:tr2bl w:val="nil"/>
            </w:tcBorders>
            <w:shd w:val="clear" w:color="auto" w:fill="FDE9D9"/>
            <w:vAlign w:val="center"/>
          </w:tcPr>
          <w:p>
            <w:pPr>
              <w:pStyle w:val="72"/>
              <w:numPr>
                <w:ilvl w:val="0"/>
                <w:numId w:val="0"/>
              </w:numPr>
              <w:spacing w:before="0" w:after="120"/>
              <w:ind w:right="240" w:rightChars="100"/>
              <w:rPr>
                <w:sz w:val="24"/>
              </w:rPr>
            </w:pPr>
            <w:r>
              <w:rPr>
                <w:sz w:val="24"/>
              </w:rPr>
              <w:t>KM PERCORRIDOS</w:t>
            </w:r>
          </w:p>
        </w:tc>
      </w:tr>
      <w:tr>
        <w:tblPrEx>
          <w:tblCellMar>
            <w:top w:w="0" w:type="dxa"/>
            <w:left w:w="70" w:type="dxa"/>
            <w:bottom w:w="0" w:type="dxa"/>
            <w:right w:w="70" w:type="dxa"/>
          </w:tblCellMar>
        </w:tblPrEx>
        <w:trPr>
          <w:trHeight w:val="397" w:hRule="atLeast"/>
        </w:trPr>
        <w:tc>
          <w:tcPr>
            <w:tcW w:w="6339" w:type="dxa"/>
            <w:tcBorders>
              <w:top w:val="single" w:color="auto" w:sz="4" w:space="0"/>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semanal produtiva</w:t>
            </w:r>
          </w:p>
        </w:tc>
        <w:tc>
          <w:tcPr>
            <w:tcW w:w="3309" w:type="dxa"/>
            <w:tcBorders>
              <w:top w:val="single" w:color="auto" w:sz="4" w:space="0"/>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686,89</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semanal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573,55</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diária 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114,48</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diária improdutiva</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95,59</w:t>
            </w: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p>
        </w:tc>
      </w:tr>
      <w:tr>
        <w:tblPrEx>
          <w:tblCellMar>
            <w:top w:w="0" w:type="dxa"/>
            <w:left w:w="70" w:type="dxa"/>
            <w:bottom w:w="0" w:type="dxa"/>
            <w:right w:w="70" w:type="dxa"/>
          </w:tblCellMar>
        </w:tblPrEx>
        <w:trPr>
          <w:trHeight w:val="397" w:hRule="atLeast"/>
        </w:trPr>
        <w:tc>
          <w:tcPr>
            <w:tcW w:w="6339" w:type="dxa"/>
            <w:tcBorders>
              <w:top w:val="nil"/>
              <w:left w:val="single" w:color="auto" w:sz="4" w:space="0"/>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Distância média diária total</w:t>
            </w:r>
          </w:p>
        </w:tc>
        <w:tc>
          <w:tcPr>
            <w:tcW w:w="3309" w:type="dxa"/>
            <w:tcBorders>
              <w:top w:val="nil"/>
              <w:left w:val="nil"/>
              <w:bottom w:val="single" w:color="auto" w:sz="4" w:space="0"/>
              <w:right w:val="single" w:color="auto" w:sz="4" w:space="0"/>
              <w:tl2br w:val="nil"/>
              <w:tr2bl w:val="nil"/>
            </w:tcBorders>
            <w:vAlign w:val="center"/>
          </w:tcPr>
          <w:p>
            <w:pPr>
              <w:pStyle w:val="72"/>
              <w:numPr>
                <w:ilvl w:val="0"/>
                <w:numId w:val="0"/>
              </w:numPr>
              <w:spacing w:before="0" w:after="120"/>
              <w:ind w:right="240" w:rightChars="100"/>
              <w:rPr>
                <w:sz w:val="24"/>
              </w:rPr>
            </w:pPr>
            <w:r>
              <w:rPr>
                <w:sz w:val="24"/>
              </w:rPr>
              <w:t>210,07</w:t>
            </w:r>
          </w:p>
        </w:tc>
      </w:tr>
    </w:tbl>
    <w:p>
      <w:pPr>
        <w:pStyle w:val="72"/>
        <w:numPr>
          <w:ilvl w:val="0"/>
          <w:numId w:val="0"/>
        </w:numPr>
        <w:spacing w:before="0" w:after="120"/>
        <w:ind w:right="240" w:rightChars="100"/>
        <w:rPr>
          <w:sz w:val="24"/>
        </w:rPr>
      </w:pPr>
    </w:p>
    <w:p>
      <w:pPr>
        <w:pStyle w:val="72"/>
        <w:numPr>
          <w:ilvl w:val="0"/>
          <w:numId w:val="0"/>
        </w:numPr>
        <w:spacing w:before="0" w:after="120"/>
        <w:ind w:right="240" w:rightChars="100"/>
        <w:rPr>
          <w:sz w:val="24"/>
        </w:rPr>
      </w:pPr>
      <w:r>
        <w:rPr>
          <w:sz w:val="24"/>
        </w:rPr>
        <w:t>10.3. DO SERVIÇO DE COLETA, TRANSPORTE E DESTINAÇÃO FINAL AMBIENTALMENTE ADEQUADA DOS RESÍDUOS DA CONSTRUÇÃO CIVIL GERADOS PELA MUNICIPALIDADE</w:t>
      </w:r>
    </w:p>
    <w:p>
      <w:pPr>
        <w:pStyle w:val="72"/>
        <w:numPr>
          <w:ilvl w:val="0"/>
          <w:numId w:val="0"/>
        </w:numPr>
        <w:spacing w:before="0" w:after="120"/>
        <w:ind w:right="240" w:rightChars="100"/>
        <w:rPr>
          <w:b w:val="0"/>
          <w:bCs/>
          <w:sz w:val="24"/>
        </w:rPr>
      </w:pPr>
      <w:r>
        <w:rPr>
          <w:sz w:val="24"/>
        </w:rPr>
        <w:t>10.3.1.Da definição do serviço:</w:t>
      </w:r>
    </w:p>
    <w:p>
      <w:pPr>
        <w:pStyle w:val="72"/>
        <w:numPr>
          <w:ilvl w:val="0"/>
          <w:numId w:val="0"/>
        </w:numPr>
        <w:spacing w:before="0" w:after="120"/>
        <w:ind w:right="240" w:rightChars="100"/>
        <w:rPr>
          <w:b w:val="0"/>
          <w:bCs/>
          <w:sz w:val="24"/>
        </w:rPr>
      </w:pPr>
      <w:r>
        <w:rPr>
          <w:b w:val="0"/>
          <w:bCs/>
          <w:sz w:val="24"/>
        </w:rPr>
        <w:t>a) Resíduos da construção civil são definidos como àqueles provenientes de construções, reformas, reparos e demolições de obras de construção civil, e os resultantes da preparação e da escavação de terrenos, tais como: tijolos, blocos cerâmicos, concreto em geral, solos, rochas, metais, resinas, colas, tintas, madeiras e compensados, forros, argamassa, gesso, telhas, pavimento asfáltico, vidros, plásticos, tubulações, fiação elétrica etc.</w:t>
      </w:r>
    </w:p>
    <w:p>
      <w:pPr>
        <w:pStyle w:val="72"/>
        <w:numPr>
          <w:ilvl w:val="0"/>
          <w:numId w:val="0"/>
        </w:numPr>
        <w:spacing w:before="0" w:after="120"/>
        <w:ind w:right="240" w:rightChars="100"/>
        <w:rPr>
          <w:b w:val="0"/>
          <w:bCs/>
          <w:sz w:val="24"/>
        </w:rPr>
      </w:pPr>
      <w:r>
        <w:rPr>
          <w:b w:val="0"/>
          <w:bCs/>
          <w:sz w:val="24"/>
        </w:rPr>
        <w:t>b) O presente serviço refere-se a coleta, transporte e destinação final aos resíduos da construção civil provenientes de obras e reformas realizadas pela municipalidade de Primavera do Leste/MT, ou seja, dos órgãos e entidades municipais.</w:t>
      </w:r>
    </w:p>
    <w:p>
      <w:pPr>
        <w:pStyle w:val="72"/>
        <w:numPr>
          <w:ilvl w:val="0"/>
          <w:numId w:val="0"/>
        </w:numPr>
        <w:spacing w:before="0" w:after="120"/>
        <w:ind w:right="240" w:rightChars="100"/>
        <w:rPr>
          <w:b w:val="0"/>
          <w:bCs/>
          <w:sz w:val="24"/>
        </w:rPr>
      </w:pPr>
      <w:r>
        <w:rPr>
          <w:b w:val="0"/>
          <w:bCs/>
          <w:sz w:val="24"/>
        </w:rPr>
        <w:t>c) Define-se como coleta, transporte dos resíduos da construção civil a disponibilização caixas brook de volume equivalente a 5 m³ (conforme demanda) e o transporte dos resíduos até destinação final ambientalmente adequada.</w:t>
      </w:r>
    </w:p>
    <w:p>
      <w:pPr>
        <w:pStyle w:val="72"/>
        <w:numPr>
          <w:ilvl w:val="0"/>
          <w:numId w:val="0"/>
        </w:numPr>
        <w:spacing w:before="0" w:after="120"/>
        <w:ind w:right="240" w:rightChars="100"/>
        <w:rPr>
          <w:b w:val="0"/>
          <w:bCs/>
          <w:sz w:val="24"/>
        </w:rPr>
      </w:pPr>
      <w:r>
        <w:rPr>
          <w:b w:val="0"/>
          <w:bCs/>
          <w:sz w:val="24"/>
        </w:rPr>
        <w:t xml:space="preserve"> d) A destinação final deverá ocorrer em empreendimento devidamente licenciamento com capacidade de recebimento de resíduos classe II.</w:t>
      </w:r>
    </w:p>
    <w:p>
      <w:pPr>
        <w:pStyle w:val="72"/>
        <w:numPr>
          <w:ilvl w:val="0"/>
          <w:numId w:val="0"/>
        </w:numPr>
        <w:spacing w:before="0" w:after="120"/>
        <w:ind w:right="240" w:rightChars="100"/>
        <w:rPr>
          <w:b w:val="0"/>
          <w:bCs/>
          <w:sz w:val="24"/>
        </w:rPr>
      </w:pPr>
      <w:r>
        <w:rPr>
          <w:sz w:val="24"/>
        </w:rPr>
        <w:t>10.3.2.</w:t>
      </w:r>
      <w:r>
        <w:rPr>
          <w:b w:val="0"/>
          <w:bCs/>
          <w:sz w:val="24"/>
        </w:rPr>
        <w:t xml:space="preserve"> </w:t>
      </w:r>
      <w:r>
        <w:rPr>
          <w:sz w:val="24"/>
        </w:rPr>
        <w:t>Da execução do serviço:</w:t>
      </w:r>
    </w:p>
    <w:p>
      <w:pPr>
        <w:pStyle w:val="72"/>
        <w:numPr>
          <w:ilvl w:val="0"/>
          <w:numId w:val="0"/>
        </w:numPr>
        <w:spacing w:before="0" w:after="120"/>
        <w:ind w:right="240" w:rightChars="100"/>
        <w:rPr>
          <w:b w:val="0"/>
          <w:bCs/>
          <w:sz w:val="24"/>
        </w:rPr>
      </w:pPr>
      <w:r>
        <w:rPr>
          <w:b w:val="0"/>
          <w:bCs/>
          <w:sz w:val="24"/>
        </w:rPr>
        <w:t>a) A CONTRATADA executará semanalmente, conforme a demanda, a coleta, o transporte e a destinação final ambientalmente adequada dos resíduos da construção civil gerados pela municipalidade em suas obras.</w:t>
      </w:r>
    </w:p>
    <w:p>
      <w:pPr>
        <w:pStyle w:val="72"/>
        <w:numPr>
          <w:ilvl w:val="0"/>
          <w:numId w:val="0"/>
        </w:numPr>
        <w:spacing w:before="0" w:after="120"/>
        <w:ind w:right="240" w:rightChars="100"/>
        <w:rPr>
          <w:b w:val="0"/>
          <w:bCs/>
          <w:sz w:val="24"/>
        </w:rPr>
      </w:pPr>
      <w:r>
        <w:rPr>
          <w:b w:val="0"/>
          <w:bCs/>
          <w:sz w:val="24"/>
        </w:rPr>
        <w:t>b) O serviço deverá ser executo por meio da utilização de um caminhão equipado com carroceria tipo poliguindaste específica para este fim.</w:t>
      </w:r>
    </w:p>
    <w:p>
      <w:pPr>
        <w:pStyle w:val="72"/>
        <w:numPr>
          <w:ilvl w:val="0"/>
          <w:numId w:val="0"/>
        </w:numPr>
        <w:spacing w:before="0" w:after="120"/>
        <w:ind w:right="240" w:rightChars="100"/>
        <w:rPr>
          <w:b w:val="0"/>
          <w:bCs/>
          <w:sz w:val="24"/>
        </w:rPr>
      </w:pPr>
      <w:r>
        <w:rPr>
          <w:b w:val="0"/>
          <w:bCs/>
          <w:sz w:val="24"/>
          <w:lang w:eastAsia="en-US"/>
        </w:rPr>
        <w:t xml:space="preserve">c) </w:t>
      </w:r>
      <w:r>
        <w:rPr>
          <w:b w:val="0"/>
          <w:bCs/>
          <w:sz w:val="24"/>
        </w:rPr>
        <w:t>A partir da solicitação da CONTRATANTE, a CONTRATADA deverá disponibilizar caixas brook para o armazenamento temporário dos resíduos da construção civil nos locais definidos e realizar a substituição conforme demanda.</w:t>
      </w:r>
    </w:p>
    <w:p>
      <w:pPr>
        <w:pStyle w:val="72"/>
        <w:numPr>
          <w:ilvl w:val="0"/>
          <w:numId w:val="0"/>
        </w:numPr>
        <w:spacing w:before="0" w:after="120"/>
        <w:ind w:right="240" w:rightChars="100"/>
        <w:rPr>
          <w:b w:val="0"/>
          <w:bCs/>
          <w:sz w:val="24"/>
        </w:rPr>
      </w:pPr>
      <w:r>
        <w:rPr>
          <w:b w:val="0"/>
          <w:bCs/>
          <w:sz w:val="24"/>
          <w:lang w:eastAsia="en-US"/>
        </w:rPr>
        <w:t xml:space="preserve">d)  </w:t>
      </w:r>
      <w:r>
        <w:rPr>
          <w:b w:val="0"/>
          <w:bCs/>
          <w:sz w:val="24"/>
        </w:rPr>
        <w:t>A coleta deverá ser realizada de segunda à sexta-feira nos seguintes horários:</w:t>
      </w:r>
    </w:p>
    <w:p>
      <w:pPr>
        <w:pStyle w:val="72"/>
        <w:numPr>
          <w:ilvl w:val="0"/>
          <w:numId w:val="0"/>
        </w:numPr>
        <w:spacing w:before="0" w:after="120"/>
        <w:ind w:right="240" w:rightChars="100"/>
        <w:rPr>
          <w:b w:val="0"/>
          <w:bCs/>
          <w:sz w:val="24"/>
        </w:rPr>
      </w:pPr>
      <w:r>
        <w:rPr>
          <w:b w:val="0"/>
          <w:bCs/>
          <w:sz w:val="24"/>
        </w:rPr>
        <w:t>- Matutino: início 07:30 às 11:30</w:t>
      </w:r>
    </w:p>
    <w:p>
      <w:pPr>
        <w:pStyle w:val="72"/>
        <w:numPr>
          <w:ilvl w:val="0"/>
          <w:numId w:val="0"/>
        </w:numPr>
        <w:spacing w:before="0" w:after="120"/>
        <w:ind w:right="240" w:rightChars="100"/>
        <w:rPr>
          <w:b w:val="0"/>
          <w:bCs/>
          <w:sz w:val="24"/>
        </w:rPr>
      </w:pPr>
      <w:r>
        <w:rPr>
          <w:b w:val="0"/>
          <w:bCs/>
          <w:sz w:val="24"/>
        </w:rPr>
        <w:t>- Vespertino: início 13:30 às 17:30</w:t>
      </w:r>
    </w:p>
    <w:p>
      <w:pPr>
        <w:pStyle w:val="72"/>
        <w:numPr>
          <w:ilvl w:val="0"/>
          <w:numId w:val="0"/>
        </w:numPr>
        <w:spacing w:before="0" w:after="120"/>
        <w:ind w:right="240" w:rightChars="100"/>
        <w:rPr>
          <w:b w:val="0"/>
          <w:bCs/>
          <w:sz w:val="24"/>
        </w:rPr>
      </w:pPr>
      <w:r>
        <w:rPr>
          <w:b w:val="0"/>
          <w:bCs/>
          <w:sz w:val="24"/>
        </w:rPr>
        <w:t>e) A CONTRATADA deverá ter disponível 04. (quatro) caixas brook de volume equivalente a 5 m³ para utilização nos serviços de armazenamento temporário dos resíduos da construção civil e volumosos.</w:t>
      </w:r>
    </w:p>
    <w:p>
      <w:pPr>
        <w:pStyle w:val="72"/>
        <w:numPr>
          <w:ilvl w:val="0"/>
          <w:numId w:val="0"/>
        </w:numPr>
        <w:spacing w:before="0" w:after="120"/>
        <w:ind w:right="240" w:rightChars="100"/>
        <w:rPr>
          <w:b w:val="0"/>
          <w:bCs/>
          <w:sz w:val="24"/>
        </w:rPr>
      </w:pPr>
      <w:r>
        <w:rPr>
          <w:b w:val="0"/>
          <w:bCs/>
          <w:sz w:val="24"/>
          <w:lang w:eastAsia="en-US"/>
        </w:rPr>
        <w:t xml:space="preserve">f) </w:t>
      </w:r>
      <w:r>
        <w:rPr>
          <w:b w:val="0"/>
          <w:bCs/>
          <w:sz w:val="24"/>
        </w:rPr>
        <w:t>De acordo com estimativas são gerados mensalmente no município, em média, 1.068,70 toneladas de RCC no município de Primavera do Leste/MT e que aproximadamente 8% são geradores pela municipalidade. Ou seja, a empresa CONTRATADA realizará o serviço de coleta, transporte e destinação final de, aproximadamente 85,15 toneladas de RCC por mês.</w:t>
      </w:r>
    </w:p>
    <w:p>
      <w:pPr>
        <w:pStyle w:val="72"/>
        <w:numPr>
          <w:ilvl w:val="0"/>
          <w:numId w:val="0"/>
        </w:numPr>
        <w:spacing w:before="0" w:after="120"/>
        <w:ind w:right="240" w:rightChars="100"/>
        <w:rPr>
          <w:b w:val="0"/>
          <w:bCs/>
          <w:sz w:val="24"/>
        </w:rPr>
      </w:pPr>
      <w:r>
        <w:rPr>
          <w:b w:val="0"/>
          <w:bCs/>
          <w:sz w:val="24"/>
        </w:rPr>
        <w:t xml:space="preserve"> g) A Contratada deverá fornecer 02 (dois) caminhões equipados com carroceria tipo poliguindaste específica para este fim e 04 (quatro) caixas brooks de volume equivalente a 5 m³, sendo:</w:t>
      </w:r>
    </w:p>
    <w:p>
      <w:pPr>
        <w:pStyle w:val="72"/>
        <w:numPr>
          <w:ilvl w:val="0"/>
          <w:numId w:val="0"/>
        </w:numPr>
        <w:spacing w:before="0" w:after="120"/>
        <w:ind w:right="240" w:rightChars="100"/>
        <w:rPr>
          <w:b w:val="0"/>
          <w:bCs/>
          <w:sz w:val="24"/>
        </w:rPr>
      </w:pPr>
      <w:r>
        <w:rPr>
          <w:b w:val="0"/>
          <w:bCs/>
          <w:sz w:val="24"/>
        </w:rPr>
        <w:t>- 01 (um) caminhão equipado com carroceria tipo poliguindaste específica para este fim;</w:t>
      </w:r>
    </w:p>
    <w:p>
      <w:pPr>
        <w:pStyle w:val="72"/>
        <w:numPr>
          <w:ilvl w:val="0"/>
          <w:numId w:val="0"/>
        </w:numPr>
        <w:spacing w:before="0" w:after="120"/>
        <w:ind w:right="240" w:rightChars="100"/>
        <w:rPr>
          <w:b w:val="0"/>
          <w:bCs/>
          <w:sz w:val="24"/>
        </w:rPr>
      </w:pPr>
      <w:r>
        <w:rPr>
          <w:b w:val="0"/>
          <w:bCs/>
          <w:sz w:val="24"/>
        </w:rPr>
        <w:t>- 01 (um) caminhão reserva equipado com carroceria tipo poliguindaste específica para este fim;</w:t>
      </w:r>
    </w:p>
    <w:p>
      <w:pPr>
        <w:pStyle w:val="72"/>
        <w:numPr>
          <w:ilvl w:val="0"/>
          <w:numId w:val="0"/>
        </w:numPr>
        <w:spacing w:before="0" w:after="120"/>
        <w:ind w:right="240" w:rightChars="100"/>
        <w:rPr>
          <w:b w:val="0"/>
          <w:bCs/>
          <w:sz w:val="24"/>
        </w:rPr>
      </w:pPr>
      <w:r>
        <w:rPr>
          <w:b w:val="0"/>
          <w:bCs/>
          <w:sz w:val="24"/>
        </w:rPr>
        <w:t>h) Para execução da coleta, transporte e destinação final de resíduos da construção civil será necessário 01 (um) motorista com carteira de habilitação profissional e 01 (um) coletor que auxiliará no serviço coleta dos RCC;</w:t>
      </w:r>
    </w:p>
    <w:p>
      <w:pPr>
        <w:pStyle w:val="72"/>
        <w:numPr>
          <w:ilvl w:val="0"/>
          <w:numId w:val="0"/>
        </w:numPr>
        <w:spacing w:before="0" w:after="120"/>
        <w:ind w:right="240" w:rightChars="100"/>
        <w:rPr>
          <w:b w:val="0"/>
          <w:bCs/>
          <w:sz w:val="24"/>
        </w:rPr>
      </w:pPr>
      <w:r>
        <w:rPr>
          <w:b w:val="0"/>
          <w:bCs/>
          <w:sz w:val="24"/>
        </w:rPr>
        <w:t>i) Deverão ser considerados para o cálculo do presente serviço técnico as distâncias percorridas para o encaminhamento dos RCC até o local de disposição final ambientalmente adequada.</w:t>
      </w:r>
    </w:p>
    <w:p>
      <w:pPr>
        <w:pStyle w:val="72"/>
        <w:numPr>
          <w:ilvl w:val="0"/>
          <w:numId w:val="0"/>
        </w:numPr>
        <w:spacing w:before="0" w:after="120"/>
        <w:ind w:right="240" w:rightChars="100"/>
        <w:rPr>
          <w:sz w:val="24"/>
        </w:rPr>
      </w:pPr>
      <w:r>
        <w:rPr>
          <w:sz w:val="24"/>
        </w:rPr>
        <w:t>10.4. DO SERVIÇO DE COLETA, TRANSPORTE E DESTINAÇÃO FINAL AMBIENTALMENTE ADEQUADA DOS REJEITOS PROVENIENTES DA SEGREGAÇÃO DOS RESÍDUOS RECICLÁVEIS</w:t>
      </w:r>
    </w:p>
    <w:p>
      <w:pPr>
        <w:pStyle w:val="72"/>
        <w:numPr>
          <w:ilvl w:val="0"/>
          <w:numId w:val="0"/>
        </w:numPr>
        <w:spacing w:before="0" w:after="120"/>
        <w:ind w:right="240" w:rightChars="100"/>
        <w:rPr>
          <w:b w:val="0"/>
          <w:bCs/>
          <w:sz w:val="24"/>
        </w:rPr>
      </w:pPr>
      <w:r>
        <w:rPr>
          <w:sz w:val="24"/>
        </w:rPr>
        <w:t>10.4.1. Da definição do serviço:</w:t>
      </w:r>
    </w:p>
    <w:p>
      <w:pPr>
        <w:pStyle w:val="72"/>
        <w:numPr>
          <w:ilvl w:val="0"/>
          <w:numId w:val="0"/>
        </w:numPr>
        <w:spacing w:before="0" w:after="120"/>
        <w:ind w:right="240" w:rightChars="100"/>
        <w:rPr>
          <w:b w:val="0"/>
          <w:bCs/>
          <w:sz w:val="24"/>
        </w:rPr>
      </w:pPr>
      <w:r>
        <w:rPr>
          <w:b w:val="0"/>
          <w:bCs/>
          <w:sz w:val="24"/>
        </w:rPr>
        <w:t xml:space="preserve"> a) O rejeito proveniente da triagem dos resíduos secos é um tipo específico de descarte, aquele para o qual ainda não existe nenhuma possibilidade de reaproveitamento ou reciclagem.</w:t>
      </w:r>
    </w:p>
    <w:p>
      <w:pPr>
        <w:pStyle w:val="72"/>
        <w:numPr>
          <w:ilvl w:val="0"/>
          <w:numId w:val="0"/>
        </w:numPr>
        <w:spacing w:before="0" w:after="120"/>
        <w:ind w:right="240" w:rightChars="100"/>
        <w:rPr>
          <w:b w:val="0"/>
          <w:bCs/>
          <w:sz w:val="24"/>
        </w:rPr>
      </w:pPr>
      <w:r>
        <w:rPr>
          <w:b w:val="0"/>
          <w:bCs/>
          <w:sz w:val="24"/>
        </w:rPr>
        <w:t xml:space="preserve"> b) Define-se como coleta, transporte dos rejeitos provenientes da segregação dos resíduos recicláveis como a disponibilização caixas brooks de volume equivalente a 5 m³ (conforme demanda) e o transporte dos resíduos até destinação final ambientalmente adequada.</w:t>
      </w:r>
    </w:p>
    <w:p>
      <w:pPr>
        <w:pStyle w:val="72"/>
        <w:numPr>
          <w:ilvl w:val="0"/>
          <w:numId w:val="0"/>
        </w:numPr>
        <w:spacing w:before="0" w:after="120"/>
        <w:ind w:right="240" w:rightChars="100"/>
        <w:rPr>
          <w:b w:val="0"/>
          <w:bCs/>
          <w:sz w:val="24"/>
        </w:rPr>
      </w:pPr>
      <w:r>
        <w:rPr>
          <w:b w:val="0"/>
          <w:bCs/>
          <w:sz w:val="24"/>
        </w:rPr>
        <w:t>c) A destinação final deverá ocorrer em empreendimento devidamente licenciamento com capacidade de recebimento de resíduos classe II-A.</w:t>
      </w:r>
    </w:p>
    <w:p>
      <w:pPr>
        <w:pStyle w:val="72"/>
        <w:numPr>
          <w:ilvl w:val="0"/>
          <w:numId w:val="0"/>
        </w:numPr>
        <w:spacing w:before="0" w:after="120"/>
        <w:ind w:right="240" w:rightChars="100"/>
        <w:rPr>
          <w:sz w:val="24"/>
        </w:rPr>
      </w:pPr>
      <w:r>
        <w:rPr>
          <w:sz w:val="24"/>
        </w:rPr>
        <w:t>10.4.2. Da execução do serviço:</w:t>
      </w:r>
    </w:p>
    <w:p>
      <w:pPr>
        <w:pStyle w:val="72"/>
        <w:numPr>
          <w:ilvl w:val="0"/>
          <w:numId w:val="0"/>
        </w:numPr>
        <w:spacing w:before="0" w:after="120"/>
        <w:ind w:right="240" w:rightChars="100"/>
        <w:rPr>
          <w:b w:val="0"/>
          <w:bCs/>
          <w:sz w:val="24"/>
        </w:rPr>
      </w:pPr>
      <w:r>
        <w:rPr>
          <w:b w:val="0"/>
          <w:bCs/>
          <w:sz w:val="24"/>
        </w:rPr>
        <w:t>a) A CONTRATADA executará semanalmente, conforme a demanda, a coleta, o transporte e a destinação final ambientalmente adequada dos rejeitos provenientes da triagem dos resíduos recicláveis triados.</w:t>
      </w:r>
    </w:p>
    <w:p>
      <w:pPr>
        <w:pStyle w:val="72"/>
        <w:numPr>
          <w:ilvl w:val="0"/>
          <w:numId w:val="0"/>
        </w:numPr>
        <w:spacing w:before="0" w:after="120"/>
        <w:ind w:right="240" w:rightChars="100"/>
        <w:rPr>
          <w:b w:val="0"/>
          <w:bCs/>
          <w:sz w:val="24"/>
        </w:rPr>
      </w:pPr>
      <w:r>
        <w:rPr>
          <w:b w:val="0"/>
          <w:bCs/>
          <w:sz w:val="24"/>
        </w:rPr>
        <w:t xml:space="preserve"> b) O serviço deverá ser executado por meio da utilização de 02 (dois) caminhões equipados com carroceria tipo poliguindaste específica para este fim (poderá ser utilizado o veículo que executará os serviços de coleta dos resíduos da construção civil gerados pela municipalidade).</w:t>
      </w:r>
    </w:p>
    <w:p>
      <w:pPr>
        <w:pStyle w:val="72"/>
        <w:numPr>
          <w:ilvl w:val="0"/>
          <w:numId w:val="0"/>
        </w:numPr>
        <w:spacing w:before="0" w:after="120"/>
        <w:ind w:right="240" w:rightChars="100"/>
        <w:rPr>
          <w:b w:val="0"/>
          <w:bCs/>
          <w:sz w:val="24"/>
        </w:rPr>
      </w:pPr>
      <w:r>
        <w:rPr>
          <w:b w:val="0"/>
          <w:bCs/>
          <w:sz w:val="24"/>
        </w:rPr>
        <w:t xml:space="preserve"> c) A partir da solicitação da CONTRATANTE, a CONTRATADA deverá disponibilizar caixas brook para o armazenamento temporário dos rejeitos provenientes da triagem dos resíduos secos (recicláveis)</w:t>
      </w:r>
    </w:p>
    <w:p>
      <w:pPr>
        <w:pStyle w:val="72"/>
        <w:numPr>
          <w:ilvl w:val="0"/>
          <w:numId w:val="0"/>
        </w:numPr>
        <w:spacing w:before="0" w:after="120"/>
        <w:ind w:right="240" w:rightChars="100"/>
        <w:rPr>
          <w:b w:val="0"/>
          <w:bCs/>
          <w:sz w:val="24"/>
        </w:rPr>
      </w:pPr>
      <w:r>
        <w:rPr>
          <w:b w:val="0"/>
          <w:bCs/>
          <w:sz w:val="24"/>
        </w:rPr>
        <w:t>d)  A coleta deverá ser realizada de segunda à sexta-feira nos seguintes horários:</w:t>
      </w:r>
    </w:p>
    <w:p>
      <w:pPr>
        <w:pStyle w:val="72"/>
        <w:numPr>
          <w:ilvl w:val="0"/>
          <w:numId w:val="0"/>
        </w:numPr>
        <w:spacing w:before="0" w:after="120"/>
        <w:ind w:right="240" w:rightChars="100"/>
        <w:rPr>
          <w:b w:val="0"/>
          <w:bCs/>
          <w:sz w:val="24"/>
        </w:rPr>
      </w:pPr>
      <w:r>
        <w:rPr>
          <w:b w:val="0"/>
          <w:bCs/>
          <w:sz w:val="24"/>
        </w:rPr>
        <w:t>Matutino: início 07:30 às 11:30</w:t>
      </w:r>
    </w:p>
    <w:p>
      <w:pPr>
        <w:pStyle w:val="72"/>
        <w:numPr>
          <w:ilvl w:val="0"/>
          <w:numId w:val="0"/>
        </w:numPr>
        <w:spacing w:before="0" w:after="120"/>
        <w:ind w:right="240" w:rightChars="100"/>
        <w:rPr>
          <w:b w:val="0"/>
          <w:bCs/>
          <w:sz w:val="24"/>
        </w:rPr>
      </w:pPr>
      <w:r>
        <w:rPr>
          <w:b w:val="0"/>
          <w:bCs/>
          <w:sz w:val="24"/>
        </w:rPr>
        <w:t>Vespertino: início 13:30 às 17:30.</w:t>
      </w:r>
    </w:p>
    <w:p>
      <w:pPr>
        <w:pStyle w:val="72"/>
        <w:numPr>
          <w:ilvl w:val="0"/>
          <w:numId w:val="0"/>
        </w:numPr>
        <w:spacing w:before="0" w:after="120"/>
        <w:ind w:right="240" w:rightChars="100"/>
        <w:rPr>
          <w:b w:val="0"/>
          <w:bCs/>
          <w:sz w:val="24"/>
        </w:rPr>
      </w:pPr>
      <w:r>
        <w:rPr>
          <w:b w:val="0"/>
          <w:bCs/>
          <w:sz w:val="24"/>
        </w:rPr>
        <w:t>e)  A CONTRATADA deverá ter disponível 04 (quatro) caixas brook de volume equivalente a 5 m³ para utilização nos serviços de armazenamento temporário dos rejeitos provenientes da triagem dos resíduos secos (recicláveis).</w:t>
      </w:r>
    </w:p>
    <w:p>
      <w:pPr>
        <w:pStyle w:val="72"/>
        <w:numPr>
          <w:ilvl w:val="0"/>
          <w:numId w:val="0"/>
        </w:numPr>
        <w:spacing w:before="0" w:after="120"/>
        <w:ind w:right="240" w:rightChars="100"/>
        <w:rPr>
          <w:b w:val="0"/>
          <w:bCs/>
          <w:sz w:val="24"/>
        </w:rPr>
      </w:pPr>
      <w:r>
        <w:rPr>
          <w:b w:val="0"/>
          <w:bCs/>
          <w:sz w:val="24"/>
        </w:rPr>
        <w:t>f)  De acordo com estimativas são geradas aproximadamente 19,50 toneladas de rejeitos provenientes da triagem dos resíduos recicláveis em Primavera do Leste/MT.</w:t>
      </w:r>
    </w:p>
    <w:p>
      <w:pPr>
        <w:pStyle w:val="72"/>
        <w:numPr>
          <w:ilvl w:val="0"/>
          <w:numId w:val="0"/>
        </w:numPr>
        <w:spacing w:before="0" w:after="120"/>
        <w:ind w:right="240" w:rightChars="100"/>
        <w:rPr>
          <w:b w:val="0"/>
          <w:bCs/>
          <w:sz w:val="24"/>
        </w:rPr>
      </w:pPr>
      <w:r>
        <w:rPr>
          <w:b w:val="0"/>
          <w:bCs/>
          <w:sz w:val="24"/>
        </w:rPr>
        <w:t>g)  A Contratada deverá fornecer 02 (dois) caminhões equipados com carroceria tipo poliguindaste específica para este fim (poderá ser utilizado o veículo que executará os serviços de coleta dos resíduos da construção civil gerados pela municipalidade) e 04 (quatro) caixas brooks de volume equivalente a 5 m³, sendo:</w:t>
      </w:r>
    </w:p>
    <w:p>
      <w:pPr>
        <w:pStyle w:val="72"/>
        <w:numPr>
          <w:ilvl w:val="0"/>
          <w:numId w:val="0"/>
        </w:numPr>
        <w:spacing w:before="0" w:after="120"/>
        <w:ind w:right="240" w:rightChars="100"/>
        <w:rPr>
          <w:b w:val="0"/>
          <w:bCs/>
          <w:sz w:val="24"/>
        </w:rPr>
      </w:pPr>
      <w:r>
        <w:rPr>
          <w:b w:val="0"/>
          <w:bCs/>
          <w:sz w:val="24"/>
        </w:rPr>
        <w:t>- 01 (um) caminhão equipado com carroceria tipo poliguindaste específica para este fim;</w:t>
      </w:r>
    </w:p>
    <w:p>
      <w:pPr>
        <w:pStyle w:val="72"/>
        <w:numPr>
          <w:ilvl w:val="0"/>
          <w:numId w:val="0"/>
        </w:numPr>
        <w:spacing w:before="0" w:after="120"/>
        <w:ind w:right="240" w:rightChars="100"/>
        <w:rPr>
          <w:b w:val="0"/>
          <w:bCs/>
          <w:sz w:val="24"/>
        </w:rPr>
      </w:pPr>
      <w:r>
        <w:rPr>
          <w:b w:val="0"/>
          <w:bCs/>
          <w:sz w:val="24"/>
        </w:rPr>
        <w:t>- 01 (um) caminhão reserva equipado com carroceria tipo poliguindaste específica para este fim;</w:t>
      </w:r>
    </w:p>
    <w:p>
      <w:pPr>
        <w:pStyle w:val="72"/>
        <w:numPr>
          <w:ilvl w:val="0"/>
          <w:numId w:val="0"/>
        </w:numPr>
        <w:spacing w:before="0" w:after="120"/>
        <w:ind w:right="240" w:rightChars="100"/>
        <w:rPr>
          <w:b w:val="0"/>
          <w:bCs/>
          <w:sz w:val="24"/>
        </w:rPr>
      </w:pPr>
      <w:r>
        <w:rPr>
          <w:b w:val="0"/>
          <w:bCs/>
          <w:sz w:val="24"/>
        </w:rPr>
        <w:t>h)  Para execução da coleta, transporte e destinação final de resíduos da construção civil será necessário 01 (um) motorista com carteira de habilitação profissional e 01 (um) coletor que auxiliará no serviço coleta dos rejeitos provenientes da triagem dos resíduos recicláveis (poderá ser utilizado a mão de obra que executará os serviços de coleta dos resíduos da construção civil gerados pela municipalidade);</w:t>
      </w:r>
    </w:p>
    <w:p>
      <w:pPr>
        <w:pStyle w:val="72"/>
        <w:numPr>
          <w:ilvl w:val="0"/>
          <w:numId w:val="0"/>
        </w:numPr>
        <w:spacing w:before="0" w:after="120"/>
        <w:ind w:right="240" w:rightChars="100"/>
        <w:rPr>
          <w:b w:val="0"/>
          <w:bCs/>
          <w:sz w:val="24"/>
        </w:rPr>
      </w:pPr>
      <w:r>
        <w:rPr>
          <w:b w:val="0"/>
          <w:bCs/>
          <w:sz w:val="24"/>
        </w:rPr>
        <w:t>i)  Deverão ser considerados para o cálculo do presente serviço técnico as distâncias percorridas para o encaminhamento dos rejeitos provenientes da triagem dos resíduos secos (recicláveis) até o local de disposição final ambientalmente adequada.</w:t>
      </w:r>
    </w:p>
    <w:p>
      <w:pPr>
        <w:pStyle w:val="72"/>
        <w:numPr>
          <w:ilvl w:val="0"/>
          <w:numId w:val="0"/>
        </w:numPr>
        <w:spacing w:before="0" w:after="120"/>
        <w:ind w:right="240" w:rightChars="100"/>
        <w:rPr>
          <w:sz w:val="24"/>
        </w:rPr>
      </w:pPr>
      <w:r>
        <w:rPr>
          <w:sz w:val="24"/>
        </w:rPr>
        <w:t>10.5. DO SERVIÇO DE IMPLANTAÇÃO E COORDENAÇÃO DA UNIDADE DE TRIAGEM DE PRIMAVERA DO LESTE/MT</w:t>
      </w:r>
    </w:p>
    <w:p>
      <w:pPr>
        <w:pStyle w:val="72"/>
        <w:numPr>
          <w:ilvl w:val="0"/>
          <w:numId w:val="0"/>
        </w:numPr>
        <w:spacing w:before="0" w:after="120"/>
        <w:ind w:right="240" w:rightChars="100"/>
        <w:rPr>
          <w:sz w:val="24"/>
        </w:rPr>
      </w:pPr>
      <w:r>
        <w:rPr>
          <w:sz w:val="24"/>
        </w:rPr>
        <w:t>10.5.1 Da definição do serviço:</w:t>
      </w:r>
    </w:p>
    <w:p>
      <w:pPr>
        <w:pStyle w:val="72"/>
        <w:numPr>
          <w:ilvl w:val="0"/>
          <w:numId w:val="0"/>
        </w:numPr>
        <w:spacing w:before="0" w:after="120"/>
        <w:ind w:right="240" w:rightChars="100"/>
        <w:rPr>
          <w:b w:val="0"/>
          <w:bCs/>
          <w:sz w:val="24"/>
        </w:rPr>
      </w:pPr>
      <w:r>
        <w:rPr>
          <w:b w:val="0"/>
          <w:bCs/>
          <w:sz w:val="24"/>
        </w:rPr>
        <w:t>a) Define-se como operação e manutenção de usina de triagem, o serviço de recepcionar os resíduos domiciliares e/ou da coleta seletiva, para serem selecionados e separados conforme a sua natureza.</w:t>
      </w:r>
    </w:p>
    <w:p>
      <w:pPr>
        <w:pStyle w:val="72"/>
        <w:numPr>
          <w:ilvl w:val="0"/>
          <w:numId w:val="0"/>
        </w:numPr>
        <w:spacing w:before="0" w:after="120"/>
        <w:ind w:right="240" w:rightChars="100"/>
        <w:rPr>
          <w:b w:val="0"/>
          <w:bCs/>
          <w:sz w:val="24"/>
        </w:rPr>
      </w:pPr>
      <w:r>
        <w:rPr>
          <w:b w:val="0"/>
          <w:bCs/>
          <w:sz w:val="24"/>
        </w:rPr>
        <w:t>b) A operação da usina de triagem/reciclagem será feita através de COOPERATIVA, a ser indicada pela Prefeitura Municipal de Primavera do Leste/MT.</w:t>
      </w:r>
    </w:p>
    <w:p>
      <w:pPr>
        <w:pStyle w:val="72"/>
        <w:numPr>
          <w:ilvl w:val="0"/>
          <w:numId w:val="0"/>
        </w:numPr>
        <w:spacing w:before="0" w:after="120"/>
        <w:ind w:right="240" w:rightChars="100"/>
        <w:rPr>
          <w:b w:val="0"/>
          <w:bCs/>
          <w:sz w:val="24"/>
        </w:rPr>
      </w:pPr>
      <w:r>
        <w:rPr>
          <w:b w:val="0"/>
          <w:bCs/>
          <w:sz w:val="24"/>
        </w:rPr>
        <w:t>c) Entende-se como implantação da unidade de triagem a realização dos serviços de apoio técnico na definição dos layouts, dimensionamento preliminar das infraestruturas e demais atividades que auxiliem à Prefeitura Municipal de Primavera do Leste implantar tal unidade.</w:t>
      </w:r>
    </w:p>
    <w:p>
      <w:pPr>
        <w:pStyle w:val="72"/>
        <w:numPr>
          <w:ilvl w:val="0"/>
          <w:numId w:val="0"/>
        </w:numPr>
        <w:spacing w:before="0" w:after="120"/>
        <w:ind w:right="240" w:rightChars="100"/>
        <w:rPr>
          <w:b w:val="0"/>
          <w:bCs/>
          <w:sz w:val="24"/>
        </w:rPr>
      </w:pPr>
      <w:r>
        <w:rPr>
          <w:b w:val="0"/>
          <w:bCs/>
          <w:sz w:val="24"/>
        </w:rPr>
        <w:t xml:space="preserve">d) A coordenação será executada por profissional cedido pela licitante com capacidade de exercer as funções necessárias na Unidade de Triagem de Resíduos. </w:t>
      </w:r>
    </w:p>
    <w:p>
      <w:pPr>
        <w:pStyle w:val="72"/>
        <w:numPr>
          <w:ilvl w:val="0"/>
          <w:numId w:val="0"/>
        </w:numPr>
        <w:spacing w:before="0" w:after="120"/>
        <w:ind w:right="240" w:rightChars="100"/>
        <w:rPr>
          <w:sz w:val="24"/>
        </w:rPr>
      </w:pPr>
      <w:r>
        <w:rPr>
          <w:sz w:val="24"/>
        </w:rPr>
        <w:t>10.5.2. Da execução do serviço:</w:t>
      </w:r>
    </w:p>
    <w:p>
      <w:pPr>
        <w:pStyle w:val="72"/>
        <w:numPr>
          <w:ilvl w:val="0"/>
          <w:numId w:val="0"/>
        </w:numPr>
        <w:spacing w:before="0" w:after="120"/>
        <w:ind w:right="240" w:rightChars="100"/>
        <w:rPr>
          <w:b w:val="0"/>
          <w:bCs/>
          <w:sz w:val="24"/>
        </w:rPr>
      </w:pPr>
      <w:r>
        <w:rPr>
          <w:b w:val="0"/>
          <w:bCs/>
          <w:sz w:val="24"/>
        </w:rPr>
        <w:t>a)  A empresa contratada deverá dispor de profissional habilitado com experiência técnica em implementação e coordenação de Unidade de Triagem de Resíduos e atender as demandas, bem como a realização coordenação futura da unidade.</w:t>
      </w:r>
    </w:p>
    <w:p>
      <w:pPr>
        <w:pStyle w:val="72"/>
        <w:numPr>
          <w:ilvl w:val="0"/>
          <w:numId w:val="0"/>
        </w:numPr>
        <w:spacing w:before="0" w:after="120"/>
        <w:ind w:right="240" w:rightChars="100"/>
        <w:rPr>
          <w:sz w:val="24"/>
        </w:rPr>
      </w:pPr>
      <w:r>
        <w:rPr>
          <w:sz w:val="24"/>
        </w:rPr>
        <w:t>10.6. DAS ESPECIFICAÇÕES GERAIS DOS SERVIÇOS</w:t>
      </w:r>
    </w:p>
    <w:p>
      <w:pPr>
        <w:pStyle w:val="72"/>
        <w:numPr>
          <w:ilvl w:val="0"/>
          <w:numId w:val="0"/>
        </w:numPr>
        <w:spacing w:before="0" w:after="120"/>
        <w:ind w:right="240" w:rightChars="100"/>
        <w:rPr>
          <w:b w:val="0"/>
          <w:bCs/>
          <w:sz w:val="24"/>
        </w:rPr>
      </w:pPr>
      <w:r>
        <w:rPr>
          <w:sz w:val="24"/>
        </w:rPr>
        <w:t>10.6.1.</w:t>
      </w:r>
      <w:r>
        <w:rPr>
          <w:b w:val="0"/>
          <w:bCs/>
          <w:sz w:val="24"/>
        </w:rPr>
        <w:t xml:space="preserve"> Os serviços especificados neste edital serão remunerados pela modalidade de EMPREITADA GLOBAL, devendo a empresa Contratada apresentar proposta com o menor custo total mensal.</w:t>
      </w:r>
    </w:p>
    <w:p>
      <w:pPr>
        <w:pStyle w:val="72"/>
        <w:numPr>
          <w:ilvl w:val="0"/>
          <w:numId w:val="0"/>
        </w:numPr>
        <w:spacing w:before="0" w:after="120"/>
        <w:ind w:right="240" w:rightChars="100"/>
        <w:rPr>
          <w:b w:val="0"/>
          <w:bCs/>
          <w:sz w:val="24"/>
        </w:rPr>
      </w:pPr>
      <w:r>
        <w:rPr>
          <w:sz w:val="24"/>
        </w:rPr>
        <w:t>10.6.2</w:t>
      </w:r>
      <w:r>
        <w:rPr>
          <w:b w:val="0"/>
          <w:bCs/>
          <w:sz w:val="24"/>
        </w:rPr>
        <w:t>. A Contratada deverá atender integralmente as posturas Estaduais e Municipais, sendo de total responsabilidade da Contratada, qualquer ato, atitude ou ação cometida ou tomada pela mesma, diferente neste item estabelecido.</w:t>
      </w:r>
    </w:p>
    <w:p>
      <w:pPr>
        <w:pStyle w:val="72"/>
        <w:numPr>
          <w:ilvl w:val="0"/>
          <w:numId w:val="0"/>
        </w:numPr>
        <w:spacing w:before="0" w:after="120"/>
        <w:ind w:right="240" w:rightChars="100"/>
        <w:rPr>
          <w:b w:val="0"/>
          <w:bCs/>
          <w:sz w:val="24"/>
        </w:rPr>
      </w:pPr>
      <w:r>
        <w:rPr>
          <w:sz w:val="24"/>
        </w:rPr>
        <w:t>10.6.3.</w:t>
      </w:r>
      <w:r>
        <w:rPr>
          <w:b w:val="0"/>
          <w:bCs/>
          <w:sz w:val="24"/>
        </w:rPr>
        <w:t xml:space="preserve"> A emissão da ordem serviço será específica para cada um dos itens apresentados  do presente Termo de Referência.</w:t>
      </w:r>
    </w:p>
    <w:p>
      <w:pPr>
        <w:pStyle w:val="72"/>
        <w:numPr>
          <w:ilvl w:val="0"/>
          <w:numId w:val="0"/>
        </w:numPr>
        <w:spacing w:before="0" w:after="120"/>
        <w:ind w:right="240" w:rightChars="100"/>
        <w:rPr>
          <w:sz w:val="24"/>
        </w:rPr>
      </w:pPr>
      <w:r>
        <w:rPr>
          <w:sz w:val="24"/>
        </w:rPr>
        <w:t>10.7. DOS VEÍCULOS E EQUIPAMENTOS</w:t>
      </w:r>
    </w:p>
    <w:p>
      <w:pPr>
        <w:pStyle w:val="72"/>
        <w:numPr>
          <w:ilvl w:val="0"/>
          <w:numId w:val="0"/>
        </w:numPr>
        <w:spacing w:before="0" w:after="120"/>
        <w:ind w:right="240" w:rightChars="100"/>
        <w:rPr>
          <w:b w:val="0"/>
          <w:bCs/>
          <w:sz w:val="24"/>
        </w:rPr>
      </w:pPr>
      <w:r>
        <w:rPr>
          <w:b w:val="0"/>
          <w:bCs/>
          <w:sz w:val="24"/>
        </w:rPr>
        <w:t>a) Os equipamentos coletores, compactadores, ao longo do contrato, devem apresentar se em ótimas condições de operação e estanques, com ano de fabricação não inferior a 2021, evitando possível vazamento dos líquidos gerados pela compactação.</w:t>
      </w:r>
    </w:p>
    <w:p>
      <w:pPr>
        <w:pStyle w:val="72"/>
        <w:numPr>
          <w:ilvl w:val="0"/>
          <w:numId w:val="0"/>
        </w:numPr>
        <w:spacing w:before="0" w:after="120"/>
        <w:ind w:right="240" w:rightChars="100"/>
        <w:rPr>
          <w:b w:val="0"/>
          <w:bCs/>
          <w:sz w:val="24"/>
        </w:rPr>
      </w:pPr>
      <w:r>
        <w:rPr>
          <w:b w:val="0"/>
          <w:bCs/>
          <w:sz w:val="24"/>
        </w:rPr>
        <w:t>b) O transporte deverá ser efetuado em conformidade as disposições do Código Brasileiro de Trânsito, e qualquer irregularidade serão de inteira responsabilidade do licitante.</w:t>
      </w:r>
    </w:p>
    <w:p>
      <w:pPr>
        <w:pStyle w:val="72"/>
        <w:numPr>
          <w:ilvl w:val="0"/>
          <w:numId w:val="0"/>
        </w:numPr>
        <w:spacing w:before="0" w:after="120"/>
        <w:ind w:right="240" w:rightChars="100"/>
        <w:rPr>
          <w:b w:val="0"/>
          <w:bCs/>
          <w:sz w:val="24"/>
        </w:rPr>
      </w:pPr>
      <w:r>
        <w:rPr>
          <w:b w:val="0"/>
          <w:bCs/>
          <w:sz w:val="24"/>
        </w:rPr>
        <w:t>c) Os Veículos deverão ser mantidos em perfeitas condições de operação, licenciado pelo DETRAN e obedecendo as normas municipais e estaduais, inclusive o veículo reserva.</w:t>
      </w:r>
    </w:p>
    <w:p>
      <w:pPr>
        <w:pStyle w:val="72"/>
        <w:numPr>
          <w:ilvl w:val="0"/>
          <w:numId w:val="0"/>
        </w:numPr>
        <w:spacing w:before="0" w:after="120"/>
        <w:ind w:right="240" w:rightChars="100"/>
        <w:rPr>
          <w:b w:val="0"/>
          <w:bCs/>
          <w:sz w:val="24"/>
        </w:rPr>
      </w:pPr>
      <w:r>
        <w:rPr>
          <w:b w:val="0"/>
          <w:bCs/>
          <w:sz w:val="24"/>
        </w:rPr>
        <w:t>d) Não será permitida a exploração de publicidade nos veículos e equipamentos ou nos uniformes dos empregados envolvidos na execução dos serviços.</w:t>
      </w:r>
    </w:p>
    <w:p>
      <w:pPr>
        <w:pStyle w:val="72"/>
        <w:numPr>
          <w:ilvl w:val="0"/>
          <w:numId w:val="0"/>
        </w:numPr>
        <w:spacing w:before="0" w:after="120"/>
        <w:ind w:right="240" w:rightChars="100"/>
        <w:rPr>
          <w:b w:val="0"/>
          <w:bCs/>
          <w:sz w:val="24"/>
        </w:rPr>
      </w:pPr>
      <w:r>
        <w:rPr>
          <w:b w:val="0"/>
          <w:bCs/>
          <w:sz w:val="24"/>
        </w:rPr>
        <w:t>e) O Município poderá, a qualquer momento, exigir a troca de veículo ou equipamento que não seja adequado às exigências dos serviços.</w:t>
      </w:r>
    </w:p>
    <w:p>
      <w:pPr>
        <w:pStyle w:val="72"/>
        <w:numPr>
          <w:ilvl w:val="0"/>
          <w:numId w:val="0"/>
        </w:numPr>
        <w:spacing w:before="0" w:after="120"/>
        <w:ind w:right="240" w:rightChars="100"/>
        <w:rPr>
          <w:b w:val="0"/>
          <w:bCs/>
          <w:sz w:val="24"/>
        </w:rPr>
      </w:pPr>
      <w:r>
        <w:rPr>
          <w:b w:val="0"/>
          <w:bCs/>
          <w:sz w:val="24"/>
        </w:rPr>
        <w:t>f) A manutenção dos veículos e equipamentos correrá por conta da contratada.</w:t>
      </w:r>
    </w:p>
    <w:p>
      <w:pPr>
        <w:pStyle w:val="72"/>
        <w:numPr>
          <w:ilvl w:val="0"/>
          <w:numId w:val="0"/>
        </w:numPr>
        <w:spacing w:before="0" w:after="120"/>
        <w:ind w:right="240" w:rightChars="100"/>
        <w:rPr>
          <w:b w:val="0"/>
          <w:bCs/>
          <w:sz w:val="24"/>
        </w:rPr>
      </w:pPr>
      <w:r>
        <w:rPr>
          <w:b w:val="0"/>
          <w:bCs/>
          <w:sz w:val="24"/>
        </w:rPr>
        <w:t>g) Os veículos e equipamentos utilizados para cumprir o contrato deverão estar em bom estado de conservação, ficando a empresa contratada com o compromisso de disponibilizar veículo sempre nos dias e horários definidos pela contratante, não se admitindo a não prestação dos serviços por problemas técnicos, mecânicos ou de qualquer outra espécie, ficando a contratada em caso de descumprimento, sujeita as penalidades previstas no Edital.</w:t>
      </w:r>
    </w:p>
    <w:p>
      <w:pPr>
        <w:pStyle w:val="72"/>
        <w:numPr>
          <w:ilvl w:val="0"/>
          <w:numId w:val="0"/>
        </w:numPr>
        <w:spacing w:before="0" w:after="120"/>
        <w:ind w:right="240" w:rightChars="100"/>
        <w:rPr>
          <w:b w:val="0"/>
          <w:bCs/>
          <w:sz w:val="24"/>
        </w:rPr>
      </w:pPr>
      <w:r>
        <w:rPr>
          <w:b w:val="0"/>
          <w:bCs/>
          <w:sz w:val="24"/>
        </w:rPr>
        <w:t>h)  A contratada deverá fornecer veículo próprio para fiscalização dos serviços</w:t>
      </w:r>
    </w:p>
    <w:p>
      <w:pPr>
        <w:pStyle w:val="72"/>
        <w:numPr>
          <w:ilvl w:val="0"/>
          <w:numId w:val="0"/>
        </w:numPr>
        <w:spacing w:before="0" w:after="120"/>
        <w:ind w:right="240" w:rightChars="100"/>
        <w:rPr>
          <w:b w:val="0"/>
          <w:bCs/>
          <w:sz w:val="24"/>
        </w:rPr>
      </w:pPr>
      <w:r>
        <w:rPr>
          <w:b w:val="0"/>
          <w:bCs/>
          <w:sz w:val="24"/>
        </w:rPr>
        <w:t xml:space="preserve"> i) A Contratada deverá manter os veículos em perfeitas condições de funcionamento, estendendo-se também essa obrigatoriedade aos veículos reserva, constituindo obrigação contratual a lavagem das caçambas com solução detergente e manutenção da pintura em perfeito estado de conservação.</w:t>
      </w:r>
    </w:p>
    <w:p>
      <w:pPr>
        <w:pStyle w:val="72"/>
        <w:numPr>
          <w:ilvl w:val="0"/>
          <w:numId w:val="0"/>
        </w:numPr>
        <w:spacing w:before="0" w:after="120"/>
        <w:ind w:right="240" w:rightChars="100"/>
        <w:rPr>
          <w:b w:val="0"/>
          <w:bCs/>
          <w:sz w:val="24"/>
        </w:rPr>
      </w:pPr>
      <w:r>
        <w:rPr>
          <w:b w:val="0"/>
          <w:bCs/>
          <w:sz w:val="24"/>
        </w:rPr>
        <w:t xml:space="preserve"> j) Os veículos a serem utilizados pela Contratada para a realização do serviço deverão estar eis para uso no prazo máximo de 3 (três) dias úteis a contar da emissão do laudo de vistoria.</w:t>
      </w:r>
    </w:p>
    <w:p>
      <w:pPr>
        <w:pStyle w:val="72"/>
        <w:numPr>
          <w:ilvl w:val="0"/>
          <w:numId w:val="0"/>
        </w:numPr>
        <w:spacing w:before="0" w:after="120"/>
        <w:ind w:right="240" w:rightChars="100"/>
        <w:rPr>
          <w:b w:val="0"/>
          <w:bCs/>
          <w:sz w:val="24"/>
        </w:rPr>
      </w:pPr>
      <w:r>
        <w:rPr>
          <w:b w:val="0"/>
          <w:bCs/>
          <w:sz w:val="24"/>
        </w:rPr>
        <w:t xml:space="preserve"> k) Os veículos devem trazer além das placas regulamentadas, os sinalizadores visuais sobre os equipamentos, adequando à legislação específica vigente no país.</w:t>
      </w:r>
    </w:p>
    <w:p>
      <w:pPr>
        <w:pStyle w:val="72"/>
        <w:numPr>
          <w:ilvl w:val="0"/>
          <w:numId w:val="0"/>
        </w:numPr>
        <w:spacing w:before="0" w:after="120"/>
        <w:ind w:right="240" w:rightChars="100"/>
        <w:rPr>
          <w:b w:val="0"/>
          <w:bCs/>
          <w:sz w:val="24"/>
        </w:rPr>
      </w:pPr>
      <w:r>
        <w:rPr>
          <w:b w:val="0"/>
          <w:bCs/>
          <w:sz w:val="24"/>
        </w:rPr>
        <w:t xml:space="preserve"> l) Os veículos utilizados nos serviços deverão respeitar os limites de velocidade estabelecidos em lei, fontes sonoras e emissão de poluentes, e utilizar os equipamentos e instrumentos determinados pelo Código de Trânsito Brasileiro – CTB.</w:t>
      </w:r>
    </w:p>
    <w:p>
      <w:pPr>
        <w:pStyle w:val="72"/>
        <w:numPr>
          <w:ilvl w:val="0"/>
          <w:numId w:val="0"/>
        </w:numPr>
        <w:spacing w:before="0" w:after="120"/>
        <w:ind w:right="240" w:rightChars="100"/>
        <w:rPr>
          <w:b w:val="0"/>
          <w:bCs/>
          <w:sz w:val="24"/>
        </w:rPr>
      </w:pPr>
      <w:r>
        <w:rPr>
          <w:b w:val="0"/>
          <w:bCs/>
          <w:sz w:val="24"/>
        </w:rPr>
        <w:t xml:space="preserve"> m) A Contratante poderá a qualquer momento, exigir a troca dos veículos e equipamentos que não estejam adequados às exigências dos serviços, devidamente justificados.</w:t>
      </w:r>
    </w:p>
    <w:p>
      <w:pPr>
        <w:pStyle w:val="72"/>
        <w:numPr>
          <w:ilvl w:val="0"/>
          <w:numId w:val="0"/>
        </w:numPr>
        <w:spacing w:before="0" w:after="120"/>
        <w:ind w:right="240" w:rightChars="100"/>
        <w:rPr>
          <w:b w:val="0"/>
          <w:bCs/>
          <w:sz w:val="24"/>
        </w:rPr>
      </w:pPr>
      <w:r>
        <w:rPr>
          <w:b w:val="0"/>
          <w:bCs/>
          <w:sz w:val="24"/>
        </w:rPr>
        <w:t>n)  A manutenção dos eventuais problemas mecânicos nos veículos, sejam corretivas ou preventivas, são de responsabilidade da Contratada;</w:t>
      </w:r>
    </w:p>
    <w:p>
      <w:pPr>
        <w:pStyle w:val="72"/>
        <w:numPr>
          <w:ilvl w:val="0"/>
          <w:numId w:val="0"/>
        </w:numPr>
        <w:spacing w:before="0" w:after="120"/>
        <w:ind w:right="240" w:rightChars="100"/>
        <w:rPr>
          <w:b w:val="0"/>
          <w:bCs/>
          <w:sz w:val="24"/>
        </w:rPr>
      </w:pPr>
      <w:r>
        <w:rPr>
          <w:b w:val="0"/>
          <w:bCs/>
          <w:sz w:val="24"/>
        </w:rPr>
        <w:t>o) No caso de manutenção dos veículos, a Contratada garantirá a execução do serviço conforme roteiro, sempre garantido que não haja transtornos a Contratante e a população.</w:t>
      </w:r>
    </w:p>
    <w:p>
      <w:pPr>
        <w:pStyle w:val="72"/>
        <w:numPr>
          <w:ilvl w:val="0"/>
          <w:numId w:val="0"/>
        </w:numPr>
        <w:spacing w:before="0" w:after="120"/>
        <w:ind w:right="240" w:rightChars="100"/>
        <w:rPr>
          <w:b w:val="0"/>
          <w:bCs/>
          <w:sz w:val="24"/>
        </w:rPr>
      </w:pPr>
      <w:r>
        <w:rPr>
          <w:b w:val="0"/>
          <w:bCs/>
          <w:sz w:val="24"/>
        </w:rPr>
        <w:t>p) Os veículos e equipamentos destinados à execução desse objeto deverão ser de uso exclusivo a prestação dos serviços.</w:t>
      </w:r>
    </w:p>
    <w:p>
      <w:pPr>
        <w:pStyle w:val="72"/>
        <w:numPr>
          <w:ilvl w:val="0"/>
          <w:numId w:val="0"/>
        </w:numPr>
        <w:spacing w:before="0" w:after="120"/>
        <w:ind w:right="240" w:rightChars="100"/>
        <w:rPr>
          <w:b w:val="0"/>
          <w:bCs/>
          <w:sz w:val="24"/>
        </w:rPr>
      </w:pPr>
      <w:r>
        <w:rPr>
          <w:b w:val="0"/>
          <w:bCs/>
          <w:sz w:val="24"/>
        </w:rPr>
        <w:t xml:space="preserve"> q) Todas as despesas com combustíveis, óleos lubrificantes, manutenção e demais ações referentes aos veículos e equipamentos, serão de responsabilidade da Contratada.</w:t>
      </w:r>
    </w:p>
    <w:p>
      <w:pPr>
        <w:pStyle w:val="72"/>
        <w:numPr>
          <w:ilvl w:val="0"/>
          <w:numId w:val="0"/>
        </w:numPr>
        <w:spacing w:before="0" w:after="120"/>
        <w:ind w:right="240" w:rightChars="100"/>
        <w:rPr>
          <w:b w:val="0"/>
          <w:bCs/>
          <w:sz w:val="24"/>
        </w:rPr>
      </w:pPr>
      <w:r>
        <w:rPr>
          <w:b w:val="0"/>
          <w:bCs/>
          <w:sz w:val="24"/>
        </w:rPr>
        <w:t xml:space="preserve"> r) A Contratada deverá providenciar a Licença Ambiental para a atividade, expedida pelo órgão ambiental competente.</w:t>
      </w:r>
    </w:p>
    <w:p>
      <w:pPr>
        <w:pStyle w:val="72"/>
        <w:numPr>
          <w:ilvl w:val="0"/>
          <w:numId w:val="0"/>
        </w:numPr>
        <w:spacing w:before="0" w:after="120"/>
        <w:ind w:right="240" w:rightChars="100"/>
        <w:rPr>
          <w:b w:val="0"/>
          <w:bCs/>
          <w:sz w:val="24"/>
        </w:rPr>
      </w:pPr>
      <w:r>
        <w:rPr>
          <w:b w:val="0"/>
          <w:bCs/>
          <w:sz w:val="24"/>
        </w:rPr>
        <w:t xml:space="preserve">s) A Contratada não poderá, em hipótese alguma, interromper os serviços por motivo de quebra ou falta de veículo/equipamento, devendo providenciar a imediata reposição do mesmo. </w:t>
      </w:r>
    </w:p>
    <w:p>
      <w:pPr>
        <w:pStyle w:val="72"/>
        <w:numPr>
          <w:ilvl w:val="0"/>
          <w:numId w:val="0"/>
        </w:numPr>
        <w:spacing w:before="0" w:after="120"/>
        <w:ind w:right="240" w:rightChars="100"/>
        <w:rPr>
          <w:sz w:val="24"/>
        </w:rPr>
      </w:pPr>
      <w:r>
        <w:rPr>
          <w:sz w:val="24"/>
        </w:rPr>
        <w:t>10.8. DA MÃO-DE-OBRA</w:t>
      </w:r>
    </w:p>
    <w:p>
      <w:pPr>
        <w:pStyle w:val="72"/>
        <w:numPr>
          <w:ilvl w:val="0"/>
          <w:numId w:val="0"/>
        </w:numPr>
        <w:spacing w:before="0" w:after="120"/>
        <w:ind w:right="240" w:rightChars="100"/>
        <w:rPr>
          <w:b w:val="0"/>
          <w:bCs/>
          <w:sz w:val="24"/>
        </w:rPr>
      </w:pPr>
      <w:r>
        <w:rPr>
          <w:b w:val="0"/>
          <w:bCs/>
          <w:sz w:val="24"/>
        </w:rPr>
        <w:t>a) Será de inteira responsabilidade da proponente a admissão de mão-de-obra necessária ao desempenho dos serviços contratados, correndo por sua conta, também, os encargos necessários e demais exigências das leis trabalhistas, previdenciárias, fiscais, comerciais e outras de qualquer natureza, respondendo a proponente pelos danos causados por seus empregados, auxiliares e prepostos, ao patrimônio público ou a outrem.</w:t>
      </w:r>
    </w:p>
    <w:p>
      <w:pPr>
        <w:pStyle w:val="72"/>
        <w:numPr>
          <w:ilvl w:val="0"/>
          <w:numId w:val="0"/>
        </w:numPr>
        <w:spacing w:before="0" w:after="120"/>
        <w:ind w:right="240" w:rightChars="100"/>
        <w:rPr>
          <w:b w:val="0"/>
          <w:bCs/>
          <w:sz w:val="24"/>
        </w:rPr>
      </w:pPr>
      <w:r>
        <w:rPr>
          <w:b w:val="0"/>
          <w:bCs/>
          <w:sz w:val="24"/>
        </w:rPr>
        <w:t>b) São de responsabilidade da Contratada a admissão de motoristas, mecânicos, fiscais, encarregados, serventes, funcionários administrativos e demais profissionais necessários a execução do serviço.</w:t>
      </w:r>
    </w:p>
    <w:p>
      <w:pPr>
        <w:pStyle w:val="72"/>
        <w:numPr>
          <w:ilvl w:val="0"/>
          <w:numId w:val="0"/>
        </w:numPr>
        <w:spacing w:before="0" w:after="120"/>
        <w:ind w:right="240" w:rightChars="100"/>
        <w:rPr>
          <w:b w:val="0"/>
          <w:bCs/>
          <w:sz w:val="24"/>
        </w:rPr>
      </w:pPr>
      <w:r>
        <w:rPr>
          <w:b w:val="0"/>
          <w:bCs/>
          <w:sz w:val="24"/>
        </w:rPr>
        <w:t>c) São de responsabilidade da Contratada fornecer seguros, uniformes, vestuários, aquisição e uso de EPIs – Equipamentos de Proteção Individual e demais exigências das leis trabalhistas.</w:t>
      </w:r>
    </w:p>
    <w:p>
      <w:pPr>
        <w:pStyle w:val="72"/>
        <w:numPr>
          <w:ilvl w:val="0"/>
          <w:numId w:val="0"/>
        </w:numPr>
        <w:spacing w:before="0" w:after="120"/>
        <w:ind w:right="240" w:rightChars="100"/>
        <w:rPr>
          <w:b w:val="0"/>
          <w:bCs/>
          <w:sz w:val="24"/>
        </w:rPr>
      </w:pPr>
      <w:r>
        <w:rPr>
          <w:b w:val="0"/>
          <w:bCs/>
          <w:sz w:val="24"/>
        </w:rPr>
        <w:t xml:space="preserve"> d) A Contratada deverá realizar treinamento contínuo do pessoal envolvido nos serviços do presente edital.</w:t>
      </w:r>
    </w:p>
    <w:p>
      <w:pPr>
        <w:pStyle w:val="72"/>
        <w:numPr>
          <w:ilvl w:val="0"/>
          <w:numId w:val="0"/>
        </w:numPr>
        <w:spacing w:before="0" w:after="120"/>
        <w:ind w:right="240" w:rightChars="100"/>
        <w:rPr>
          <w:b w:val="0"/>
          <w:bCs/>
          <w:sz w:val="24"/>
        </w:rPr>
      </w:pPr>
      <w:r>
        <w:rPr>
          <w:b w:val="0"/>
          <w:bCs/>
          <w:sz w:val="24"/>
        </w:rPr>
        <w:t xml:space="preserve">e) Todo pessoal a ser utilizado na execução de todos os serviços a serem executados são de responsabilidade da empresa Contratada. </w:t>
      </w:r>
    </w:p>
    <w:p>
      <w:pPr>
        <w:pStyle w:val="72"/>
        <w:numPr>
          <w:ilvl w:val="0"/>
          <w:numId w:val="0"/>
        </w:numPr>
        <w:spacing w:before="0" w:after="120"/>
        <w:ind w:right="240" w:rightChars="100"/>
        <w:rPr>
          <w:b w:val="0"/>
          <w:bCs/>
          <w:sz w:val="24"/>
        </w:rPr>
      </w:pPr>
      <w:r>
        <w:rPr>
          <w:b w:val="0"/>
          <w:bCs/>
          <w:sz w:val="24"/>
        </w:rPr>
        <w:t xml:space="preserve"> f) É de responsabilidade da Contratante a fiscalização dos serviços contratados, para isso deverá contratar um encarregado de equipe com experiência, o mesmo devera compor a planilha de custo detalhada.</w:t>
      </w:r>
    </w:p>
    <w:p>
      <w:pPr>
        <w:pStyle w:val="72"/>
        <w:numPr>
          <w:ilvl w:val="0"/>
          <w:numId w:val="0"/>
        </w:numPr>
        <w:spacing w:before="0" w:after="120"/>
        <w:ind w:right="240" w:rightChars="100"/>
        <w:rPr>
          <w:b w:val="0"/>
          <w:bCs/>
          <w:sz w:val="24"/>
        </w:rPr>
      </w:pPr>
      <w:r>
        <w:rPr>
          <w:b w:val="0"/>
          <w:bCs/>
          <w:sz w:val="24"/>
        </w:rPr>
        <w:t xml:space="preserve"> g) A fiscalização terá direito de exigir a substituição, a qual deverá ser realizada dentro de 48 (quarenta e oito) horas, de todo empregado cuja conduta seja prejudicial ao bom andamento do serviço.</w:t>
      </w:r>
    </w:p>
    <w:p>
      <w:pPr>
        <w:pStyle w:val="72"/>
        <w:numPr>
          <w:ilvl w:val="0"/>
          <w:numId w:val="0"/>
        </w:numPr>
        <w:spacing w:before="0" w:after="120"/>
        <w:ind w:right="240" w:rightChars="100"/>
        <w:rPr>
          <w:b w:val="0"/>
          <w:bCs/>
          <w:sz w:val="24"/>
        </w:rPr>
      </w:pPr>
      <w:r>
        <w:rPr>
          <w:b w:val="0"/>
          <w:bCs/>
          <w:sz w:val="24"/>
        </w:rPr>
        <w:t xml:space="preserve"> h) A responsabilidade pela ação ou omissão dos empregados será de inteira responsabilidade da Contratada.</w:t>
      </w:r>
    </w:p>
    <w:p>
      <w:pPr>
        <w:pStyle w:val="72"/>
        <w:numPr>
          <w:ilvl w:val="0"/>
          <w:numId w:val="0"/>
        </w:numPr>
        <w:spacing w:before="0" w:after="120"/>
        <w:ind w:right="240" w:rightChars="100"/>
        <w:rPr>
          <w:b w:val="0"/>
          <w:bCs/>
          <w:sz w:val="24"/>
        </w:rPr>
      </w:pPr>
      <w:r>
        <w:rPr>
          <w:b w:val="0"/>
          <w:bCs/>
          <w:sz w:val="24"/>
        </w:rPr>
        <w:t>i) A guarnição (conjunto de trabalhadores lotados num veículo coletor, envolvidos nas atividades de coleta de resíduos sólidos) deverá apresentar-se uniformizada, de acordo com as normas de segurança do trabalho pertinentes.</w:t>
      </w:r>
    </w:p>
    <w:p>
      <w:pPr>
        <w:pStyle w:val="72"/>
        <w:numPr>
          <w:ilvl w:val="0"/>
          <w:numId w:val="0"/>
        </w:numPr>
        <w:spacing w:before="0" w:after="120"/>
        <w:ind w:right="240" w:rightChars="100"/>
        <w:rPr>
          <w:b w:val="0"/>
          <w:bCs/>
          <w:sz w:val="24"/>
        </w:rPr>
      </w:pPr>
      <w:r>
        <w:rPr>
          <w:b w:val="0"/>
          <w:bCs/>
          <w:sz w:val="24"/>
        </w:rPr>
        <w:t>j) Os coletores deverão, obrigatoriamente, receber e utilizar os equipamentos de proteção individual, conforme descrição que segue:</w:t>
      </w:r>
    </w:p>
    <w:p>
      <w:pPr>
        <w:pStyle w:val="72"/>
        <w:numPr>
          <w:ilvl w:val="0"/>
          <w:numId w:val="0"/>
        </w:numPr>
        <w:spacing w:before="0" w:after="120"/>
        <w:ind w:right="240" w:rightChars="100"/>
        <w:rPr>
          <w:b w:val="0"/>
          <w:bCs/>
          <w:sz w:val="24"/>
        </w:rPr>
      </w:pPr>
      <w:r>
        <w:rPr>
          <w:b w:val="0"/>
          <w:bCs/>
          <w:sz w:val="24"/>
        </w:rPr>
        <w:t>- Uniforme: composto de calça comprida e camisa de manga comprida em tecido resistente, em cor e identificação acordadas entre as partes;</w:t>
      </w:r>
    </w:p>
    <w:p>
      <w:pPr>
        <w:pStyle w:val="72"/>
        <w:numPr>
          <w:ilvl w:val="0"/>
          <w:numId w:val="0"/>
        </w:numPr>
        <w:spacing w:before="0" w:after="120"/>
        <w:ind w:right="240" w:rightChars="100"/>
        <w:rPr>
          <w:b w:val="0"/>
          <w:bCs/>
          <w:sz w:val="24"/>
        </w:rPr>
      </w:pPr>
      <w:r>
        <w:rPr>
          <w:b w:val="0"/>
          <w:bCs/>
          <w:sz w:val="24"/>
        </w:rPr>
        <w:t>- Luvas de raspa de cano curto;</w:t>
      </w:r>
    </w:p>
    <w:p>
      <w:pPr>
        <w:pStyle w:val="72"/>
        <w:numPr>
          <w:ilvl w:val="0"/>
          <w:numId w:val="0"/>
        </w:numPr>
        <w:spacing w:before="0" w:after="120"/>
        <w:ind w:right="240" w:rightChars="100"/>
        <w:rPr>
          <w:b w:val="0"/>
          <w:bCs/>
          <w:sz w:val="24"/>
        </w:rPr>
      </w:pPr>
      <w:r>
        <w:rPr>
          <w:b w:val="0"/>
          <w:bCs/>
          <w:sz w:val="24"/>
        </w:rPr>
        <w:t>- Calçado com solado antiderrapante;</w:t>
      </w:r>
    </w:p>
    <w:p>
      <w:pPr>
        <w:pStyle w:val="72"/>
        <w:numPr>
          <w:ilvl w:val="0"/>
          <w:numId w:val="0"/>
        </w:numPr>
        <w:spacing w:before="0" w:after="120"/>
        <w:ind w:right="240" w:rightChars="100"/>
        <w:rPr>
          <w:b w:val="0"/>
          <w:bCs/>
          <w:sz w:val="24"/>
        </w:rPr>
      </w:pPr>
      <w:r>
        <w:rPr>
          <w:b w:val="0"/>
          <w:bCs/>
          <w:sz w:val="24"/>
        </w:rPr>
        <w:t>- Boné bico-de-pato, na cor padrão da empresa;</w:t>
      </w:r>
    </w:p>
    <w:p>
      <w:pPr>
        <w:pStyle w:val="72"/>
        <w:numPr>
          <w:ilvl w:val="0"/>
          <w:numId w:val="0"/>
        </w:numPr>
        <w:spacing w:before="0" w:after="120"/>
        <w:ind w:right="240" w:rightChars="100"/>
        <w:rPr>
          <w:b w:val="0"/>
          <w:bCs/>
          <w:sz w:val="24"/>
        </w:rPr>
      </w:pPr>
      <w:r>
        <w:rPr>
          <w:b w:val="0"/>
          <w:bCs/>
          <w:sz w:val="24"/>
        </w:rPr>
        <w:t>- Touca árabe;</w:t>
      </w:r>
    </w:p>
    <w:p>
      <w:pPr>
        <w:pStyle w:val="72"/>
        <w:numPr>
          <w:ilvl w:val="0"/>
          <w:numId w:val="0"/>
        </w:numPr>
        <w:spacing w:before="0" w:after="120"/>
        <w:ind w:right="240" w:rightChars="100"/>
        <w:rPr>
          <w:b w:val="0"/>
          <w:bCs/>
          <w:sz w:val="24"/>
        </w:rPr>
      </w:pPr>
      <w:r>
        <w:rPr>
          <w:b w:val="0"/>
          <w:bCs/>
          <w:sz w:val="24"/>
        </w:rPr>
        <w:t>- Colete ou tiras refletivas;</w:t>
      </w:r>
    </w:p>
    <w:p>
      <w:pPr>
        <w:pStyle w:val="72"/>
        <w:numPr>
          <w:ilvl w:val="0"/>
          <w:numId w:val="0"/>
        </w:numPr>
        <w:spacing w:before="0" w:after="120"/>
        <w:ind w:right="240" w:rightChars="100"/>
        <w:rPr>
          <w:b w:val="0"/>
          <w:bCs/>
          <w:sz w:val="24"/>
        </w:rPr>
      </w:pPr>
      <w:r>
        <w:rPr>
          <w:b w:val="0"/>
          <w:bCs/>
          <w:sz w:val="24"/>
        </w:rPr>
        <w:t>- Capa de chuva;</w:t>
      </w:r>
    </w:p>
    <w:p>
      <w:pPr>
        <w:pStyle w:val="72"/>
        <w:numPr>
          <w:ilvl w:val="0"/>
          <w:numId w:val="0"/>
        </w:numPr>
        <w:spacing w:before="0" w:after="120"/>
        <w:ind w:right="240" w:rightChars="100"/>
        <w:rPr>
          <w:b w:val="0"/>
          <w:bCs/>
          <w:sz w:val="24"/>
        </w:rPr>
      </w:pPr>
      <w:r>
        <w:rPr>
          <w:b w:val="0"/>
          <w:bCs/>
          <w:sz w:val="24"/>
        </w:rPr>
        <w:t>- Protetor solar;</w:t>
      </w:r>
    </w:p>
    <w:p>
      <w:pPr>
        <w:pStyle w:val="72"/>
        <w:numPr>
          <w:ilvl w:val="0"/>
          <w:numId w:val="0"/>
        </w:numPr>
        <w:spacing w:before="0" w:after="120"/>
        <w:ind w:right="240" w:rightChars="100"/>
        <w:rPr>
          <w:b w:val="0"/>
          <w:bCs/>
          <w:sz w:val="24"/>
        </w:rPr>
      </w:pPr>
      <w:r>
        <w:rPr>
          <w:b w:val="0"/>
          <w:bCs/>
          <w:sz w:val="24"/>
        </w:rPr>
        <w:t>- Máscara;</w:t>
      </w:r>
    </w:p>
    <w:p>
      <w:pPr>
        <w:pStyle w:val="72"/>
        <w:numPr>
          <w:ilvl w:val="0"/>
          <w:numId w:val="0"/>
        </w:numPr>
        <w:spacing w:before="0" w:after="120"/>
        <w:ind w:right="240" w:rightChars="100"/>
        <w:rPr>
          <w:b w:val="0"/>
          <w:bCs/>
          <w:sz w:val="24"/>
        </w:rPr>
      </w:pPr>
      <w:r>
        <w:rPr>
          <w:b w:val="0"/>
          <w:bCs/>
          <w:sz w:val="24"/>
        </w:rPr>
        <w:t>Qualquer outro equipamento que julgar necessário, em atendimento a legislação.</w:t>
      </w:r>
    </w:p>
    <w:p>
      <w:pPr>
        <w:pStyle w:val="72"/>
        <w:numPr>
          <w:ilvl w:val="0"/>
          <w:numId w:val="0"/>
        </w:numPr>
        <w:spacing w:before="0" w:after="120"/>
        <w:ind w:right="240" w:rightChars="100"/>
        <w:rPr>
          <w:b w:val="0"/>
          <w:bCs/>
          <w:sz w:val="24"/>
        </w:rPr>
      </w:pPr>
      <w:r>
        <w:rPr>
          <w:b w:val="0"/>
          <w:bCs/>
          <w:sz w:val="24"/>
        </w:rPr>
        <w:t>k) Os motoristas deverão, obrigatoriamente, receber e utilizar os equipamentos de proteção individual, conforme descrição que segue:</w:t>
      </w:r>
    </w:p>
    <w:p>
      <w:pPr>
        <w:pStyle w:val="72"/>
        <w:numPr>
          <w:ilvl w:val="0"/>
          <w:numId w:val="0"/>
        </w:numPr>
        <w:spacing w:before="0" w:after="120"/>
        <w:ind w:right="240" w:rightChars="100"/>
        <w:rPr>
          <w:b w:val="0"/>
          <w:bCs/>
          <w:sz w:val="24"/>
        </w:rPr>
      </w:pPr>
      <w:r>
        <w:rPr>
          <w:b w:val="0"/>
          <w:bCs/>
          <w:sz w:val="24"/>
        </w:rPr>
        <w:t>- Uniforme: composto de calça comprida e camisa de manga comprida ou curta em tecido resistente, em cor e identificação acordadas entre as partes;</w:t>
      </w:r>
    </w:p>
    <w:p>
      <w:pPr>
        <w:pStyle w:val="72"/>
        <w:numPr>
          <w:ilvl w:val="0"/>
          <w:numId w:val="0"/>
        </w:numPr>
        <w:spacing w:before="0" w:after="120"/>
        <w:ind w:right="240" w:rightChars="100"/>
        <w:rPr>
          <w:b w:val="0"/>
          <w:bCs/>
          <w:sz w:val="24"/>
        </w:rPr>
      </w:pPr>
      <w:r>
        <w:rPr>
          <w:b w:val="0"/>
          <w:bCs/>
          <w:sz w:val="24"/>
        </w:rPr>
        <w:t>- Calçado com solado antiderrapante;</w:t>
      </w:r>
    </w:p>
    <w:p>
      <w:pPr>
        <w:pStyle w:val="72"/>
        <w:numPr>
          <w:ilvl w:val="0"/>
          <w:numId w:val="0"/>
        </w:numPr>
        <w:spacing w:before="0" w:after="120"/>
        <w:ind w:right="240" w:rightChars="100"/>
        <w:rPr>
          <w:b w:val="0"/>
          <w:bCs/>
          <w:sz w:val="24"/>
        </w:rPr>
      </w:pPr>
      <w:r>
        <w:rPr>
          <w:b w:val="0"/>
          <w:bCs/>
          <w:sz w:val="24"/>
        </w:rPr>
        <w:t>- Boné bico-de-pato, na cor padrão da empresa;</w:t>
      </w:r>
    </w:p>
    <w:p>
      <w:pPr>
        <w:pStyle w:val="72"/>
        <w:numPr>
          <w:ilvl w:val="0"/>
          <w:numId w:val="0"/>
        </w:numPr>
        <w:spacing w:before="0" w:after="120"/>
        <w:ind w:right="240" w:rightChars="100"/>
        <w:rPr>
          <w:b w:val="0"/>
          <w:bCs/>
          <w:sz w:val="24"/>
        </w:rPr>
      </w:pPr>
      <w:r>
        <w:rPr>
          <w:b w:val="0"/>
          <w:bCs/>
          <w:sz w:val="24"/>
        </w:rPr>
        <w:t>- Protetor solar;</w:t>
      </w:r>
    </w:p>
    <w:p>
      <w:pPr>
        <w:pStyle w:val="72"/>
        <w:numPr>
          <w:ilvl w:val="0"/>
          <w:numId w:val="0"/>
        </w:numPr>
        <w:spacing w:before="0" w:after="120"/>
        <w:ind w:right="240" w:rightChars="100"/>
        <w:rPr>
          <w:b w:val="0"/>
          <w:bCs/>
          <w:sz w:val="24"/>
        </w:rPr>
      </w:pPr>
      <w:r>
        <w:rPr>
          <w:b w:val="0"/>
          <w:bCs/>
          <w:sz w:val="24"/>
        </w:rPr>
        <w:t>- Máscara;</w:t>
      </w:r>
    </w:p>
    <w:p>
      <w:pPr>
        <w:pStyle w:val="72"/>
        <w:numPr>
          <w:ilvl w:val="0"/>
          <w:numId w:val="0"/>
        </w:numPr>
        <w:spacing w:before="0" w:after="120"/>
        <w:ind w:right="240" w:rightChars="100"/>
        <w:rPr>
          <w:b w:val="0"/>
          <w:bCs/>
          <w:sz w:val="24"/>
        </w:rPr>
      </w:pPr>
      <w:r>
        <w:rPr>
          <w:b w:val="0"/>
          <w:bCs/>
          <w:sz w:val="24"/>
        </w:rPr>
        <w:t>Qualquer outro equipamento que julgar necessário, em atendimento a legislação.</w:t>
      </w:r>
    </w:p>
    <w:p>
      <w:pPr>
        <w:pStyle w:val="72"/>
        <w:numPr>
          <w:ilvl w:val="0"/>
          <w:numId w:val="0"/>
        </w:numPr>
        <w:spacing w:before="0" w:after="120"/>
        <w:ind w:right="240" w:rightChars="100"/>
        <w:rPr>
          <w:b w:val="0"/>
          <w:bCs/>
          <w:sz w:val="24"/>
        </w:rPr>
      </w:pPr>
      <w:r>
        <w:rPr>
          <w:b w:val="0"/>
          <w:bCs/>
          <w:sz w:val="24"/>
        </w:rPr>
        <w:t>l) A Contratada deverá acatar as condições de trabalho, salários e benefícios acordados nas convenções coletivas de trabalho do sindicato que representa as categorias.</w:t>
      </w:r>
    </w:p>
    <w:p>
      <w:pPr>
        <w:pStyle w:val="72"/>
        <w:numPr>
          <w:ilvl w:val="0"/>
          <w:numId w:val="0"/>
        </w:numPr>
        <w:spacing w:before="0" w:after="120"/>
        <w:ind w:right="240" w:rightChars="100"/>
        <w:rPr>
          <w:b w:val="0"/>
          <w:bCs/>
          <w:sz w:val="24"/>
        </w:rPr>
      </w:pPr>
      <w:r>
        <w:rPr>
          <w:b w:val="0"/>
          <w:bCs/>
          <w:sz w:val="24"/>
        </w:rPr>
        <w:t>m)  A Contratada deverá ter em seu quadro funcional, ou contrato administrativo, 01 (um) responsável técnico, com atribuições para as áreas de saneamento e meio ambiente, que será o responsável técnico junto aos órgãos ambientais referente à execução do serviço.</w:t>
      </w:r>
    </w:p>
    <w:p>
      <w:pPr>
        <w:pStyle w:val="72"/>
        <w:numPr>
          <w:ilvl w:val="0"/>
          <w:numId w:val="0"/>
        </w:numPr>
        <w:spacing w:before="0" w:after="120"/>
        <w:ind w:right="240" w:rightChars="100"/>
        <w:rPr>
          <w:b w:val="0"/>
          <w:bCs/>
          <w:sz w:val="24"/>
        </w:rPr>
      </w:pPr>
      <w:r>
        <w:rPr>
          <w:b w:val="0"/>
          <w:bCs/>
          <w:sz w:val="24"/>
        </w:rPr>
        <w:t xml:space="preserve"> n) O profissional técnico deverá imitir ART – Anotação de Responsabilidade Técnica, dos serviços pertinentes ao serviço.</w:t>
      </w:r>
    </w:p>
    <w:p>
      <w:pPr>
        <w:pStyle w:val="72"/>
        <w:numPr>
          <w:ilvl w:val="0"/>
          <w:numId w:val="0"/>
        </w:numPr>
        <w:spacing w:before="0" w:after="120"/>
        <w:ind w:right="240" w:rightChars="100"/>
        <w:rPr>
          <w:b w:val="0"/>
          <w:bCs/>
          <w:sz w:val="24"/>
        </w:rPr>
      </w:pPr>
      <w:r>
        <w:rPr>
          <w:b w:val="0"/>
          <w:bCs/>
          <w:sz w:val="24"/>
        </w:rPr>
        <w:t>o) Possuir um encarregado responsável por todo o cronograma e qualidade dos serviços prestados.</w:t>
      </w:r>
    </w:p>
    <w:p>
      <w:pPr>
        <w:pStyle w:val="72"/>
        <w:numPr>
          <w:ilvl w:val="0"/>
          <w:numId w:val="0"/>
        </w:numPr>
        <w:spacing w:before="0" w:after="120"/>
        <w:ind w:right="240" w:rightChars="100"/>
        <w:rPr>
          <w:b w:val="0"/>
          <w:bCs/>
          <w:sz w:val="24"/>
        </w:rPr>
      </w:pPr>
      <w:r>
        <w:rPr>
          <w:b w:val="0"/>
          <w:bCs/>
          <w:sz w:val="24"/>
        </w:rPr>
        <w:t>p) Os profissionais mencionados no item 11.14 e 11.15 deverão estar inclusos na composição de custo da licitante, será exigido controle de jornada desses profissionais sendo de responsabilidade da licitante demonstrar as despesas reais sobre estes profissionais.</w:t>
      </w:r>
    </w:p>
    <w:p>
      <w:pPr>
        <w:pStyle w:val="72"/>
        <w:numPr>
          <w:ilvl w:val="0"/>
          <w:numId w:val="0"/>
        </w:numPr>
        <w:spacing w:before="0" w:after="120"/>
        <w:ind w:right="240" w:rightChars="100"/>
        <w:rPr>
          <w:b w:val="0"/>
          <w:bCs/>
          <w:sz w:val="24"/>
        </w:rPr>
      </w:pPr>
      <w:r>
        <w:rPr>
          <w:b w:val="0"/>
          <w:bCs/>
          <w:sz w:val="24"/>
        </w:rPr>
        <w:t xml:space="preserve"> q) As demais mãos-de-obra necessárias para execução dos serviços técnicos são apresentadas no Anexo I-A.</w:t>
      </w:r>
    </w:p>
    <w:p>
      <w:pPr>
        <w:jc w:val="both"/>
        <w:rPr>
          <w:rFonts w:ascii="Arial" w:hAnsi="Arial" w:eastAsia="Calibri" w:cs="Arial"/>
        </w:rPr>
      </w:pPr>
    </w:p>
    <w:p>
      <w:pPr>
        <w:suppressAutoHyphens/>
        <w:autoSpaceDE w:val="0"/>
        <w:autoSpaceDN w:val="0"/>
        <w:adjustRightInd w:val="0"/>
        <w:jc w:val="both"/>
        <w:rPr>
          <w:rFonts w:ascii="Arial" w:hAnsi="Arial" w:cs="Arial"/>
          <w:b/>
          <w:bCs/>
          <w:color w:val="000000"/>
          <w:szCs w:val="24"/>
        </w:rPr>
      </w:pPr>
      <w:r>
        <w:rPr>
          <w:rFonts w:ascii="Arial" w:hAnsi="Arial" w:cs="Arial"/>
          <w:b/>
          <w:bCs/>
          <w:szCs w:val="24"/>
        </w:rPr>
        <w:t xml:space="preserve">11.CLÁUSULA DÉCIMA PRIMEIRA - DA </w:t>
      </w:r>
      <w:r>
        <w:rPr>
          <w:rFonts w:ascii="Arial" w:hAnsi="Arial" w:cs="Arial"/>
          <w:b/>
          <w:bCs/>
          <w:color w:val="000000"/>
          <w:szCs w:val="24"/>
        </w:rPr>
        <w:t>QUALIFICAÇÃO TÉCNICA</w:t>
      </w:r>
    </w:p>
    <w:p>
      <w:pPr>
        <w:suppressAutoHyphens/>
        <w:autoSpaceDE w:val="0"/>
        <w:autoSpaceDN w:val="0"/>
        <w:adjustRightInd w:val="0"/>
        <w:jc w:val="both"/>
        <w:rPr>
          <w:rFonts w:ascii="Arial" w:hAnsi="Arial" w:cs="Arial"/>
          <w:b/>
          <w:bCs/>
          <w:color w:val="000000"/>
          <w:szCs w:val="24"/>
        </w:rPr>
      </w:pPr>
    </w:p>
    <w:p>
      <w:pPr>
        <w:pStyle w:val="31"/>
        <w:widowControl w:val="0"/>
        <w:tabs>
          <w:tab w:val="left" w:pos="0"/>
          <w:tab w:val="left" w:pos="993"/>
          <w:tab w:val="left" w:pos="1134"/>
          <w:tab w:val="clear" w:pos="4419"/>
          <w:tab w:val="clear" w:pos="8838"/>
        </w:tabs>
        <w:spacing w:after="120"/>
        <w:rPr>
          <w:rFonts w:ascii="Arial" w:hAnsi="Arial" w:eastAsia="Calibri" w:cs="Arial"/>
          <w:color w:val="000000"/>
          <w:lang w:eastAsia="en-US"/>
        </w:rPr>
      </w:pPr>
      <w:r>
        <w:rPr>
          <w:rFonts w:ascii="Arial" w:hAnsi="Arial" w:cs="Arial"/>
          <w:b/>
          <w:bCs/>
          <w:color w:val="000000"/>
          <w:szCs w:val="24"/>
        </w:rPr>
        <w:t xml:space="preserve">11.1. </w:t>
      </w:r>
      <w:r>
        <w:rPr>
          <w:rFonts w:ascii="Arial" w:hAnsi="Arial" w:eastAsia="Calibri" w:cs="Arial"/>
        </w:rPr>
        <w:t>Todos o</w:t>
      </w:r>
      <w:r>
        <w:rPr>
          <w:rFonts w:ascii="Arial" w:hAnsi="Arial" w:eastAsia="Calibri" w:cs="Arial"/>
          <w:color w:val="000000"/>
          <w:lang w:eastAsia="en-US"/>
        </w:rPr>
        <w:t xml:space="preserve">s licitantes, que </w:t>
      </w:r>
      <w:r>
        <w:rPr>
          <w:rFonts w:ascii="Arial" w:hAnsi="Arial" w:eastAsia="Calibri" w:cs="Arial"/>
          <w:b/>
          <w:color w:val="000000"/>
          <w:u w:val="single"/>
          <w:lang w:eastAsia="en-US"/>
        </w:rPr>
        <w:t>POSSUÍREM ou NÃO</w:t>
      </w:r>
      <w:r>
        <w:rPr>
          <w:rFonts w:ascii="Arial" w:hAnsi="Arial" w:eastAsia="Calibri" w:cs="Arial"/>
          <w:b/>
          <w:color w:val="000000"/>
          <w:lang w:eastAsia="en-US"/>
        </w:rPr>
        <w:t xml:space="preserve"> </w:t>
      </w:r>
      <w:r>
        <w:rPr>
          <w:rFonts w:ascii="Arial" w:hAnsi="Arial" w:eastAsia="Calibri" w:cs="Arial"/>
          <w:color w:val="000000"/>
          <w:lang w:eastAsia="en-US"/>
        </w:rPr>
        <w:t xml:space="preserve">CRC - Certificado de Registro Cadastral emitido pela Prefeitura Municipal de Primavera do Leste - MT, </w:t>
      </w:r>
      <w:r>
        <w:rPr>
          <w:rFonts w:ascii="Arial" w:hAnsi="Arial" w:eastAsia="Calibri" w:cs="Arial"/>
          <w:b/>
          <w:color w:val="000000"/>
          <w:u w:val="single"/>
          <w:lang w:eastAsia="en-US"/>
        </w:rPr>
        <w:t>deverão</w:t>
      </w:r>
      <w:r>
        <w:rPr>
          <w:rFonts w:ascii="Arial" w:hAnsi="Arial" w:eastAsia="Calibri" w:cs="Arial"/>
          <w:color w:val="000000"/>
          <w:lang w:eastAsia="en-US"/>
        </w:rPr>
        <w:t xml:space="preserve"> apresentar a seguinte documentação relativa à Qualificação Técnica:</w:t>
      </w:r>
    </w:p>
    <w:p>
      <w:pPr>
        <w:pStyle w:val="31"/>
        <w:widowControl w:val="0"/>
        <w:tabs>
          <w:tab w:val="left" w:pos="-7797"/>
          <w:tab w:val="left" w:pos="993"/>
          <w:tab w:val="left" w:pos="1134"/>
          <w:tab w:val="left" w:pos="2127"/>
          <w:tab w:val="left" w:pos="2268"/>
          <w:tab w:val="clear" w:pos="4419"/>
          <w:tab w:val="clear" w:pos="8838"/>
        </w:tabs>
        <w:autoSpaceDE w:val="0"/>
        <w:autoSpaceDN w:val="0"/>
        <w:adjustRightInd w:val="0"/>
        <w:spacing w:after="120"/>
        <w:ind w:left="480" w:leftChars="200"/>
        <w:rPr>
          <w:rFonts w:ascii="Arial" w:hAnsi="Arial" w:eastAsia="Calibri" w:cs="Arial"/>
          <w:color w:val="000000"/>
          <w:szCs w:val="24"/>
        </w:rPr>
      </w:pPr>
      <w:r>
        <w:rPr>
          <w:rFonts w:ascii="Arial" w:hAnsi="Arial" w:eastAsia="Calibri" w:cs="Arial"/>
          <w:b/>
          <w:color w:val="000000"/>
          <w:szCs w:val="24"/>
        </w:rPr>
        <w:t>a.1) Um ou mais Atestado de Capacidade Técnica</w:t>
      </w:r>
      <w:r>
        <w:rPr>
          <w:rFonts w:ascii="Arial" w:hAnsi="Arial" w:eastAsia="Calibri" w:cs="Arial"/>
          <w:color w:val="000000"/>
          <w:szCs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1"/>
        <w:widowControl w:val="0"/>
        <w:tabs>
          <w:tab w:val="left" w:pos="-7797"/>
          <w:tab w:val="left" w:pos="993"/>
          <w:tab w:val="left" w:pos="1134"/>
          <w:tab w:val="left" w:pos="2127"/>
          <w:tab w:val="left" w:pos="2268"/>
          <w:tab w:val="clear" w:pos="4419"/>
          <w:tab w:val="clear" w:pos="8838"/>
        </w:tabs>
        <w:autoSpaceDE w:val="0"/>
        <w:autoSpaceDN w:val="0"/>
        <w:adjustRightInd w:val="0"/>
        <w:spacing w:after="120"/>
        <w:ind w:left="960" w:leftChars="400"/>
        <w:rPr>
          <w:rFonts w:ascii="Arial" w:hAnsi="Arial" w:eastAsia="Calibri" w:cs="Arial"/>
          <w:color w:val="000000"/>
          <w:szCs w:val="24"/>
        </w:rPr>
      </w:pPr>
      <w:r>
        <w:rPr>
          <w:rFonts w:ascii="Arial" w:hAnsi="Arial" w:eastAsia="Calibri" w:cs="Arial"/>
          <w:b/>
          <w:color w:val="000000"/>
          <w:szCs w:val="24"/>
        </w:rPr>
        <w:t xml:space="preserve">a.1.1) </w:t>
      </w:r>
      <w:r>
        <w:rPr>
          <w:rFonts w:ascii="Arial" w:hAnsi="Arial" w:eastAsia="Calibri" w:cs="Arial"/>
          <w:color w:val="000000"/>
          <w:szCs w:val="24"/>
        </w:rPr>
        <w:t>O Município de Primavera do Leste para comprovar a veracidade dos atestados, poderá requisitar cópias dos respectivos contratos e aditivos e/ou outros documentos comprobatórios do conteúdo declarado;</w:t>
      </w:r>
    </w:p>
    <w:p>
      <w:pPr>
        <w:suppressAutoHyphens/>
        <w:autoSpaceDE w:val="0"/>
        <w:autoSpaceDN w:val="0"/>
        <w:adjustRightInd w:val="0"/>
        <w:jc w:val="both"/>
        <w:rPr>
          <w:rFonts w:ascii="Arial" w:hAnsi="Arial" w:cs="Arial"/>
          <w:b/>
          <w:bCs/>
          <w:szCs w:val="24"/>
        </w:rPr>
      </w:pPr>
    </w:p>
    <w:p>
      <w:pPr>
        <w:suppressAutoHyphens/>
        <w:autoSpaceDE w:val="0"/>
        <w:autoSpaceDN w:val="0"/>
        <w:adjustRightInd w:val="0"/>
        <w:jc w:val="both"/>
        <w:rPr>
          <w:rFonts w:ascii="Arial" w:hAnsi="Arial" w:cs="Arial"/>
          <w:b/>
          <w:bCs/>
          <w:color w:val="000000"/>
          <w:szCs w:val="24"/>
        </w:rPr>
      </w:pPr>
      <w:r>
        <w:rPr>
          <w:rFonts w:ascii="Arial" w:hAnsi="Arial" w:cs="Arial"/>
          <w:b/>
          <w:bCs/>
          <w:szCs w:val="24"/>
        </w:rPr>
        <w:t>CLÁUSULA DÉCIMA SEGUNDA - DA AMOSTRA DE PRODUTOS</w:t>
      </w:r>
    </w:p>
    <w:p>
      <w:pPr>
        <w:suppressAutoHyphens/>
        <w:autoSpaceDE w:val="0"/>
        <w:autoSpaceDN w:val="0"/>
        <w:adjustRightInd w:val="0"/>
        <w:jc w:val="both"/>
        <w:rPr>
          <w:rFonts w:ascii="Arial" w:hAnsi="Arial" w:cs="Arial"/>
          <w:b/>
          <w:bCs/>
          <w:color w:val="000000"/>
          <w:szCs w:val="24"/>
        </w:rPr>
      </w:pPr>
    </w:p>
    <w:p>
      <w:pPr>
        <w:suppressAutoHyphens/>
        <w:autoSpaceDE w:val="0"/>
        <w:autoSpaceDN w:val="0"/>
        <w:adjustRightInd w:val="0"/>
        <w:jc w:val="both"/>
        <w:rPr>
          <w:rFonts w:ascii="Arial" w:hAnsi="Arial" w:cs="Arial"/>
          <w:bCs/>
          <w:color w:val="000000"/>
          <w:szCs w:val="24"/>
        </w:rPr>
      </w:pPr>
      <w:r>
        <w:rPr>
          <w:rFonts w:ascii="Arial" w:hAnsi="Arial" w:cs="Arial"/>
          <w:b/>
          <w:color w:val="000000"/>
          <w:szCs w:val="24"/>
        </w:rPr>
        <w:t xml:space="preserve">12.1. </w:t>
      </w:r>
      <w:r>
        <w:rPr>
          <w:rFonts w:ascii="Arial" w:hAnsi="Arial" w:cs="Arial"/>
          <w:bCs/>
          <w:color w:val="000000"/>
          <w:szCs w:val="24"/>
        </w:rPr>
        <w:t>Para este processo não será solicitado amostras.</w:t>
      </w:r>
    </w:p>
    <w:p>
      <w:pPr>
        <w:jc w:val="both"/>
        <w:rPr>
          <w:rFonts w:ascii="Arial" w:hAnsi="Arial" w:eastAsia="Calibri" w:cs="Arial"/>
        </w:rPr>
      </w:pPr>
    </w:p>
    <w:p>
      <w:pPr>
        <w:pStyle w:val="72"/>
        <w:numPr>
          <w:ilvl w:val="0"/>
          <w:numId w:val="0"/>
        </w:numPr>
        <w:spacing w:before="0" w:after="120"/>
        <w:rPr>
          <w:rFonts w:cs="Arial"/>
          <w:sz w:val="24"/>
          <w:szCs w:val="24"/>
        </w:rPr>
      </w:pPr>
      <w:r>
        <w:rPr>
          <w:rFonts w:cs="Arial"/>
          <w:sz w:val="24"/>
          <w:szCs w:val="24"/>
        </w:rPr>
        <w:t>CLÁUSULA DÉCIMA TERCEIRA – SANÇÕES ADMINISTRATIVAS.</w:t>
      </w:r>
    </w:p>
    <w:p>
      <w:pPr>
        <w:widowControl w:val="0"/>
        <w:autoSpaceDE w:val="0"/>
        <w:autoSpaceDN w:val="0"/>
        <w:adjustRightInd w:val="0"/>
        <w:spacing w:after="120"/>
        <w:jc w:val="both"/>
        <w:rPr>
          <w:rFonts w:ascii="Arial" w:hAnsi="Arial" w:cs="Arial"/>
          <w:color w:val="000000"/>
          <w:szCs w:val="24"/>
        </w:rPr>
      </w:pPr>
      <w:r>
        <w:rPr>
          <w:rFonts w:ascii="Arial" w:hAnsi="Arial" w:cs="Arial"/>
          <w:b/>
          <w:szCs w:val="24"/>
        </w:rPr>
        <w:t>13.1.</w:t>
      </w:r>
      <w:r>
        <w:rPr>
          <w:rFonts w:ascii="Arial" w:hAnsi="Arial" w:cs="Arial"/>
          <w:bCs/>
          <w:color w:val="000000"/>
          <w:szCs w:val="24"/>
        </w:rPr>
        <w:t xml:space="preserve"> </w:t>
      </w:r>
      <w:r>
        <w:rPr>
          <w:rFonts w:ascii="Arial" w:hAnsi="Arial" w:cs="Arial"/>
          <w:color w:val="000000"/>
          <w:szCs w:val="24"/>
        </w:rPr>
        <w:t>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13.1.1.</w:t>
      </w:r>
      <w:r>
        <w:rPr>
          <w:rFonts w:ascii="Arial" w:hAnsi="Arial" w:cs="Arial"/>
          <w:color w:val="000000"/>
          <w:szCs w:val="24"/>
        </w:rPr>
        <w:t xml:space="preserve"> Por atraso injustificado na execução do objeto:</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13.1.1.1</w:t>
      </w:r>
      <w:r>
        <w:rPr>
          <w:rFonts w:ascii="Arial" w:hAnsi="Arial" w:cs="Arial"/>
          <w:bCs/>
          <w:color w:val="000000"/>
          <w:szCs w:val="24"/>
        </w:rPr>
        <w:t>.</w:t>
      </w:r>
      <w:r>
        <w:rPr>
          <w:rFonts w:ascii="Arial" w:hAnsi="Arial" w:cs="Arial"/>
          <w:color w:val="000000"/>
          <w:szCs w:val="24"/>
        </w:rPr>
        <w:t xml:space="preserve"> Atraso de até 50% além do tempo previsto para entrega ou execução, multa diária de até 0,25% (vinte e cinco centésimos por cento) sobre o valor homologado;</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13.1.1.2.</w:t>
      </w:r>
      <w:r>
        <w:rPr>
          <w:rFonts w:ascii="Arial" w:hAnsi="Arial" w:cs="Arial"/>
          <w:color w:val="000000"/>
          <w:szCs w:val="24"/>
        </w:rPr>
        <w:t xml:space="preserve"> Atraso superior a 50%, multa diária de até 0,50% (cinquenta centésimos por cento) sobre o total dos dias em atraso, sobre o valor homologado sem prejuízo das demais cominações legais;</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13.1.1.3.</w:t>
      </w:r>
      <w:r>
        <w:rPr>
          <w:rFonts w:ascii="Arial" w:hAnsi="Arial" w:cs="Arial"/>
          <w:color w:val="000000"/>
          <w:szCs w:val="24"/>
        </w:rPr>
        <w:t xml:space="preserve"> No caso de atraso no recolhimento da multa aplicada, incidirá nova multa sobre o valor devido, equivalente até 0,20% (vinte centésimos por cento) até 10 (dez) dias de atraso e até 0,40% (quarenta centésimos por cento) acima desse prazo, calculado sobre o total dos dias em atraso, sobre o valor homologado;</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13.1.2.</w:t>
      </w:r>
      <w:r>
        <w:rPr>
          <w:rFonts w:ascii="Arial" w:hAnsi="Arial" w:cs="Arial"/>
          <w:color w:val="000000"/>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jc w:val="both"/>
        <w:rPr>
          <w:rFonts w:ascii="Arial" w:hAnsi="Arial" w:cs="Arial"/>
          <w:color w:val="000000"/>
          <w:szCs w:val="24"/>
        </w:rPr>
      </w:pPr>
      <w:r>
        <w:rPr>
          <w:rFonts w:ascii="Arial" w:hAnsi="Arial" w:cs="Arial"/>
          <w:b/>
          <w:bCs/>
          <w:color w:val="000000"/>
          <w:szCs w:val="24"/>
        </w:rPr>
        <w:t>13.1.2.1.</w:t>
      </w:r>
      <w:r>
        <w:rPr>
          <w:rFonts w:ascii="Arial" w:hAnsi="Arial" w:cs="Arial"/>
          <w:b/>
          <w:bCs/>
          <w:color w:val="000000"/>
          <w:szCs w:val="24"/>
        </w:rPr>
        <w:tab/>
      </w:r>
      <w:r>
        <w:rPr>
          <w:rFonts w:ascii="Arial" w:hAnsi="Arial" w:cs="Arial"/>
          <w:color w:val="000000"/>
          <w:szCs w:val="24"/>
        </w:rPr>
        <w:t>advertência;</w:t>
      </w:r>
    </w:p>
    <w:p>
      <w:pPr>
        <w:widowControl w:val="0"/>
        <w:tabs>
          <w:tab w:val="left" w:pos="993"/>
        </w:tabs>
        <w:autoSpaceDE w:val="0"/>
        <w:autoSpaceDN w:val="0"/>
        <w:adjustRightInd w:val="0"/>
        <w:spacing w:after="120"/>
        <w:jc w:val="both"/>
        <w:rPr>
          <w:rFonts w:ascii="Arial" w:hAnsi="Arial" w:cs="Arial"/>
          <w:color w:val="000000"/>
          <w:szCs w:val="24"/>
        </w:rPr>
      </w:pPr>
      <w:r>
        <w:rPr>
          <w:rFonts w:ascii="Arial" w:hAnsi="Arial" w:cs="Arial"/>
          <w:b/>
          <w:bCs/>
          <w:color w:val="000000"/>
          <w:szCs w:val="24"/>
        </w:rPr>
        <w:t>13.1.2.2.</w:t>
      </w:r>
      <w:r>
        <w:rPr>
          <w:rFonts w:ascii="Arial" w:hAnsi="Arial" w:cs="Arial"/>
          <w:bCs/>
          <w:color w:val="000000"/>
          <w:szCs w:val="24"/>
        </w:rPr>
        <w:tab/>
      </w:r>
      <w:r>
        <w:rPr>
          <w:rFonts w:ascii="Arial" w:hAnsi="Arial" w:cs="Arial"/>
          <w:color w:val="000000"/>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jc w:val="both"/>
        <w:rPr>
          <w:rFonts w:ascii="Arial" w:hAnsi="Arial" w:cs="Arial"/>
          <w:color w:val="000000"/>
          <w:szCs w:val="24"/>
        </w:rPr>
      </w:pPr>
      <w:r>
        <w:rPr>
          <w:rFonts w:ascii="Arial" w:hAnsi="Arial" w:cs="Arial"/>
          <w:b/>
          <w:bCs/>
          <w:color w:val="000000"/>
          <w:szCs w:val="24"/>
        </w:rPr>
        <w:t>13.1.2.3.</w:t>
      </w:r>
      <w:r>
        <w:rPr>
          <w:rFonts w:ascii="Arial" w:hAnsi="Arial" w:cs="Arial"/>
          <w:bCs/>
          <w:color w:val="000000"/>
          <w:szCs w:val="24"/>
        </w:rPr>
        <w:tab/>
      </w:r>
      <w:r>
        <w:rPr>
          <w:rFonts w:ascii="Arial" w:hAnsi="Arial" w:cs="Arial"/>
          <w:color w:val="000000"/>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jc w:val="both"/>
        <w:rPr>
          <w:rFonts w:ascii="Arial" w:hAnsi="Arial" w:cs="Arial"/>
          <w:szCs w:val="24"/>
        </w:rPr>
      </w:pPr>
      <w:r>
        <w:rPr>
          <w:rFonts w:ascii="Arial" w:hAnsi="Arial" w:cs="Arial"/>
          <w:b/>
          <w:szCs w:val="24"/>
        </w:rPr>
        <w:t>13.1.2.4.</w:t>
      </w:r>
      <w:r>
        <w:rPr>
          <w:rFonts w:ascii="Arial" w:hAnsi="Arial" w:cs="Arial"/>
          <w:b/>
          <w:szCs w:val="24"/>
        </w:rPr>
        <w:tab/>
      </w:r>
      <w:r>
        <w:rPr>
          <w:rFonts w:ascii="Arial" w:hAnsi="Arial" w:cs="Arial"/>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13.2.</w:t>
      </w:r>
      <w:r>
        <w:rPr>
          <w:rFonts w:ascii="Arial" w:hAnsi="Arial" w:cs="Arial"/>
          <w:bCs/>
          <w:color w:val="000000"/>
          <w:szCs w:val="24"/>
        </w:rPr>
        <w:t xml:space="preserve"> </w:t>
      </w:r>
      <w:r>
        <w:rPr>
          <w:rFonts w:ascii="Arial" w:hAnsi="Arial" w:cs="Arial"/>
          <w:color w:val="000000"/>
          <w:szCs w:val="24"/>
        </w:rPr>
        <w:t xml:space="preserve">As multas serão descontadas dos créditos da empresa detentora da ata ou cobradas administrativa ou judicialmente; </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13.3.</w:t>
      </w:r>
      <w:r>
        <w:rPr>
          <w:rFonts w:ascii="Arial" w:hAnsi="Arial" w:cs="Arial"/>
          <w:bCs/>
          <w:color w:val="000000"/>
          <w:szCs w:val="24"/>
        </w:rPr>
        <w:t xml:space="preserve"> </w:t>
      </w:r>
      <w:r>
        <w:rPr>
          <w:rFonts w:ascii="Arial" w:hAnsi="Arial" w:cs="Arial"/>
          <w:color w:val="000000"/>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13.4.</w:t>
      </w:r>
      <w:r>
        <w:rPr>
          <w:rFonts w:ascii="Arial" w:hAnsi="Arial" w:cs="Arial"/>
          <w:bCs/>
          <w:color w:val="000000"/>
          <w:szCs w:val="24"/>
        </w:rPr>
        <w:t xml:space="preserve"> </w:t>
      </w:r>
      <w:r>
        <w:rPr>
          <w:rFonts w:ascii="Arial" w:hAnsi="Arial" w:cs="Arial"/>
          <w:color w:val="000000"/>
          <w:szCs w:val="24"/>
        </w:rPr>
        <w:t xml:space="preserve">As penalidades são independentes e a aplicação de uma não exclui a das demais, quando cabíveis; </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13.5.</w:t>
      </w:r>
      <w:r>
        <w:rPr>
          <w:rFonts w:ascii="Arial" w:hAnsi="Arial" w:cs="Arial"/>
          <w:bCs/>
          <w:color w:val="000000"/>
          <w:szCs w:val="24"/>
        </w:rPr>
        <w:t xml:space="preserve"> </w:t>
      </w:r>
      <w:r>
        <w:rPr>
          <w:rFonts w:ascii="Arial" w:hAnsi="Arial" w:cs="Arial"/>
          <w:color w:val="000000"/>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jc w:val="both"/>
        <w:rPr>
          <w:rFonts w:ascii="Arial" w:hAnsi="Arial" w:cs="Arial"/>
          <w:color w:val="000000"/>
          <w:szCs w:val="24"/>
        </w:rPr>
      </w:pPr>
      <w:r>
        <w:rPr>
          <w:rFonts w:ascii="Arial" w:hAnsi="Arial" w:cs="Arial"/>
          <w:b/>
          <w:bCs/>
          <w:color w:val="000000"/>
          <w:szCs w:val="24"/>
        </w:rPr>
        <w:t>13.5.1.</w:t>
      </w:r>
      <w:r>
        <w:rPr>
          <w:rFonts w:ascii="Arial" w:hAnsi="Arial" w:cs="Arial"/>
          <w:bCs/>
          <w:color w:val="000000"/>
          <w:szCs w:val="24"/>
        </w:rPr>
        <w:t xml:space="preserve"> </w:t>
      </w:r>
      <w:r>
        <w:rPr>
          <w:rFonts w:ascii="Arial" w:hAnsi="Arial" w:cs="Arial"/>
          <w:color w:val="000000"/>
          <w:szCs w:val="24"/>
        </w:rPr>
        <w:t>Desclassificação ou inabilitação caso o procedimento se encontre em fase de julgamento;</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13.5.2.</w:t>
      </w:r>
      <w:r>
        <w:rPr>
          <w:rFonts w:ascii="Arial" w:hAnsi="Arial" w:cs="Arial"/>
          <w:color w:val="000000"/>
          <w:szCs w:val="24"/>
        </w:rPr>
        <w:t xml:space="preserve"> Cancelamento da ata de registro de preços, se esta já estiver assinada, procedendo-se a paralisação do fornecimento;</w:t>
      </w:r>
    </w:p>
    <w:p>
      <w:pPr>
        <w:widowControl w:val="0"/>
        <w:autoSpaceDE w:val="0"/>
        <w:autoSpaceDN w:val="0"/>
        <w:adjustRightInd w:val="0"/>
        <w:spacing w:after="120"/>
        <w:jc w:val="both"/>
        <w:rPr>
          <w:rFonts w:ascii="Arial" w:hAnsi="Arial" w:cs="Arial"/>
          <w:color w:val="000000"/>
          <w:szCs w:val="24"/>
        </w:rPr>
      </w:pPr>
      <w:r>
        <w:rPr>
          <w:rFonts w:ascii="Arial" w:hAnsi="Arial" w:cs="Arial"/>
          <w:b/>
          <w:bCs/>
          <w:color w:val="000000"/>
          <w:szCs w:val="24"/>
        </w:rPr>
        <w:t>13.6.</w:t>
      </w:r>
      <w:r>
        <w:rPr>
          <w:rFonts w:ascii="Arial" w:hAnsi="Arial" w:cs="Arial"/>
          <w:bCs/>
          <w:color w:val="000000"/>
          <w:szCs w:val="24"/>
        </w:rPr>
        <w:t xml:space="preserve"> </w:t>
      </w:r>
      <w:r>
        <w:rPr>
          <w:rFonts w:ascii="Arial" w:hAnsi="Arial" w:cs="Arial"/>
          <w:color w:val="000000"/>
          <w:szCs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jc w:val="both"/>
        <w:rPr>
          <w:rFonts w:ascii="Arial" w:hAnsi="Arial" w:cs="Arial"/>
          <w:szCs w:val="24"/>
        </w:rPr>
      </w:pPr>
      <w:r>
        <w:rPr>
          <w:rFonts w:ascii="Arial" w:hAnsi="Arial" w:cs="Arial"/>
          <w:b/>
          <w:szCs w:val="24"/>
        </w:rPr>
        <w:t>13.7.</w:t>
      </w:r>
      <w:r>
        <w:rPr>
          <w:rFonts w:ascii="Arial" w:hAnsi="Arial" w:cs="Arial"/>
          <w:szCs w:val="24"/>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jc w:val="both"/>
        <w:rPr>
          <w:rFonts w:ascii="Arial" w:hAnsi="Arial" w:cs="Arial"/>
          <w:szCs w:val="24"/>
        </w:rPr>
      </w:pPr>
    </w:p>
    <w:p>
      <w:pPr>
        <w:pStyle w:val="72"/>
        <w:numPr>
          <w:ilvl w:val="0"/>
          <w:numId w:val="0"/>
        </w:numPr>
        <w:spacing w:before="0" w:after="120"/>
        <w:rPr>
          <w:rFonts w:cs="Arial"/>
          <w:sz w:val="24"/>
          <w:szCs w:val="24"/>
        </w:rPr>
      </w:pPr>
      <w:r>
        <w:rPr>
          <w:rFonts w:cs="Arial"/>
          <w:sz w:val="24"/>
          <w:szCs w:val="24"/>
        </w:rPr>
        <w:t>CLÁUSULA DÉCIMA QUARTA – RESCISÃO</w:t>
      </w:r>
    </w:p>
    <w:p>
      <w:pPr>
        <w:spacing w:before="120" w:after="120"/>
        <w:jc w:val="both"/>
        <w:rPr>
          <w:rFonts w:ascii="Arial" w:hAnsi="Arial" w:cs="Arial"/>
          <w:szCs w:val="24"/>
        </w:rPr>
      </w:pPr>
      <w:r>
        <w:rPr>
          <w:rFonts w:ascii="Arial" w:hAnsi="Arial" w:cs="Arial"/>
          <w:b/>
          <w:szCs w:val="24"/>
        </w:rPr>
        <w:t>14.1.</w:t>
      </w:r>
      <w:r>
        <w:rPr>
          <w:rFonts w:ascii="Arial" w:hAnsi="Arial" w:cs="Arial"/>
          <w:szCs w:val="24"/>
        </w:rPr>
        <w:t>O presente Termo de Contrato poderá ser rescindido:</w:t>
      </w:r>
    </w:p>
    <w:p>
      <w:pPr>
        <w:spacing w:before="120" w:after="120"/>
        <w:ind w:left="720" w:leftChars="300"/>
        <w:jc w:val="both"/>
        <w:rPr>
          <w:rFonts w:ascii="Arial" w:hAnsi="Arial" w:cs="Arial"/>
          <w:szCs w:val="24"/>
        </w:rPr>
      </w:pPr>
      <w:r>
        <w:rPr>
          <w:rFonts w:ascii="Arial" w:hAnsi="Arial" w:cs="Arial"/>
          <w:b/>
          <w:szCs w:val="24"/>
        </w:rPr>
        <w:t>14.1.1.</w:t>
      </w:r>
      <w:r>
        <w:rPr>
          <w:rFonts w:ascii="Arial" w:hAnsi="Arial" w:cs="Arial"/>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spacing w:before="120" w:after="120"/>
        <w:ind w:left="720" w:leftChars="300"/>
        <w:jc w:val="both"/>
        <w:rPr>
          <w:rFonts w:ascii="Arial" w:hAnsi="Arial" w:cs="Arial"/>
          <w:szCs w:val="24"/>
        </w:rPr>
      </w:pPr>
      <w:r>
        <w:rPr>
          <w:rFonts w:ascii="Arial" w:hAnsi="Arial" w:cs="Arial"/>
          <w:b/>
          <w:szCs w:val="24"/>
        </w:rPr>
        <w:t>14.1.2.</w:t>
      </w:r>
      <w:r>
        <w:rPr>
          <w:rFonts w:ascii="Arial" w:hAnsi="Arial" w:cs="Arial"/>
          <w:szCs w:val="24"/>
        </w:rPr>
        <w:t xml:space="preserve">amigavelmente, nos termos do art. 79, inciso II, da Lei nº 8.666, de 1993. </w:t>
      </w:r>
    </w:p>
    <w:p>
      <w:pPr>
        <w:spacing w:before="120" w:after="120"/>
        <w:jc w:val="both"/>
        <w:rPr>
          <w:rFonts w:ascii="Arial" w:hAnsi="Arial" w:cs="Arial"/>
          <w:szCs w:val="24"/>
        </w:rPr>
      </w:pPr>
      <w:r>
        <w:rPr>
          <w:rFonts w:ascii="Arial" w:hAnsi="Arial" w:cs="Arial"/>
          <w:b/>
          <w:szCs w:val="24"/>
        </w:rPr>
        <w:t xml:space="preserve">14.2. </w:t>
      </w:r>
      <w:r>
        <w:rPr>
          <w:rFonts w:ascii="Arial" w:hAnsi="Arial" w:cs="Arial"/>
          <w:szCs w:val="24"/>
        </w:rPr>
        <w:t>Os casos de rescisão contratual serão formalmente motivados e precedidos de autorização da autoridade competente, assegurando-se à CONTRATADA o direito ao contraditório, bem como à prévia e ampla defesa.</w:t>
      </w:r>
    </w:p>
    <w:p>
      <w:pPr>
        <w:spacing w:before="120" w:after="120"/>
        <w:jc w:val="both"/>
        <w:rPr>
          <w:rFonts w:ascii="Arial" w:hAnsi="Arial" w:cs="Arial"/>
          <w:szCs w:val="24"/>
        </w:rPr>
      </w:pPr>
      <w:r>
        <w:rPr>
          <w:rFonts w:ascii="Arial" w:hAnsi="Arial" w:cs="Arial"/>
          <w:b/>
          <w:szCs w:val="24"/>
        </w:rPr>
        <w:t>14.3.</w:t>
      </w:r>
      <w:r>
        <w:rPr>
          <w:rFonts w:ascii="Arial" w:hAnsi="Arial" w:cs="Arial"/>
          <w:szCs w:val="24"/>
        </w:rPr>
        <w:t>A CONTRATADA reconhece os direitos da CONTRATANTE em caso de rescisão administrativa prevista no art. 77 da Lei nº 8.666, de 1993.</w:t>
      </w:r>
    </w:p>
    <w:p>
      <w:pPr>
        <w:spacing w:before="120" w:after="120"/>
        <w:jc w:val="both"/>
        <w:rPr>
          <w:rFonts w:ascii="Arial" w:hAnsi="Arial" w:cs="Arial"/>
          <w:szCs w:val="24"/>
        </w:rPr>
      </w:pPr>
      <w:r>
        <w:rPr>
          <w:rFonts w:ascii="Arial" w:hAnsi="Arial" w:cs="Arial"/>
          <w:b/>
          <w:szCs w:val="24"/>
        </w:rPr>
        <w:t>14.4.</w:t>
      </w:r>
      <w:r>
        <w:rPr>
          <w:rFonts w:ascii="Arial" w:hAnsi="Arial" w:cs="Arial"/>
          <w:szCs w:val="24"/>
        </w:rPr>
        <w:t>O termo de rescisão, sempre que possível, será precedido:</w:t>
      </w:r>
    </w:p>
    <w:p>
      <w:pPr>
        <w:spacing w:before="120" w:after="120"/>
        <w:ind w:left="720" w:leftChars="300"/>
        <w:jc w:val="both"/>
        <w:rPr>
          <w:rFonts w:ascii="Arial" w:hAnsi="Arial" w:cs="Arial"/>
          <w:szCs w:val="24"/>
        </w:rPr>
      </w:pPr>
      <w:r>
        <w:rPr>
          <w:rFonts w:ascii="Arial" w:hAnsi="Arial" w:cs="Arial"/>
          <w:b/>
          <w:szCs w:val="24"/>
        </w:rPr>
        <w:t>14.4.1.</w:t>
      </w:r>
      <w:r>
        <w:rPr>
          <w:rFonts w:ascii="Arial" w:hAnsi="Arial" w:cs="Arial"/>
          <w:szCs w:val="24"/>
        </w:rPr>
        <w:t>Balanço dos eventos contratuais já cumpridos ou parcialmente cumpridos;</w:t>
      </w:r>
    </w:p>
    <w:p>
      <w:pPr>
        <w:spacing w:before="120" w:after="120"/>
        <w:ind w:left="720" w:leftChars="300"/>
        <w:jc w:val="both"/>
        <w:rPr>
          <w:rFonts w:ascii="Arial" w:hAnsi="Arial" w:cs="Arial"/>
          <w:szCs w:val="24"/>
        </w:rPr>
      </w:pPr>
      <w:r>
        <w:rPr>
          <w:rFonts w:ascii="Arial" w:hAnsi="Arial" w:cs="Arial"/>
          <w:b/>
          <w:szCs w:val="24"/>
        </w:rPr>
        <w:t>14.4.2.</w:t>
      </w:r>
      <w:r>
        <w:rPr>
          <w:rFonts w:ascii="Arial" w:hAnsi="Arial" w:cs="Arial"/>
          <w:szCs w:val="24"/>
        </w:rPr>
        <w:t>Relação dos pagamentos já efetuados e ainda devidos;</w:t>
      </w:r>
    </w:p>
    <w:p>
      <w:pPr>
        <w:spacing w:before="120" w:after="120"/>
        <w:ind w:left="720" w:leftChars="300"/>
        <w:jc w:val="both"/>
        <w:rPr>
          <w:rFonts w:ascii="Arial" w:hAnsi="Arial" w:cs="Arial"/>
          <w:szCs w:val="24"/>
        </w:rPr>
      </w:pPr>
      <w:r>
        <w:rPr>
          <w:rFonts w:ascii="Arial" w:hAnsi="Arial" w:cs="Arial"/>
          <w:b/>
          <w:szCs w:val="24"/>
        </w:rPr>
        <w:t>14.4.3.</w:t>
      </w:r>
      <w:r>
        <w:rPr>
          <w:rFonts w:ascii="Arial" w:hAnsi="Arial" w:cs="Arial"/>
          <w:szCs w:val="24"/>
        </w:rPr>
        <w:t>Indenizações e multas.</w:t>
      </w:r>
    </w:p>
    <w:p>
      <w:pPr>
        <w:spacing w:before="120" w:after="120"/>
        <w:jc w:val="both"/>
        <w:rPr>
          <w:rFonts w:ascii="Arial" w:hAnsi="Arial" w:cs="Arial"/>
          <w:szCs w:val="24"/>
        </w:rPr>
      </w:pPr>
      <w:r>
        <w:rPr>
          <w:rFonts w:ascii="Arial" w:hAnsi="Arial" w:cs="Arial"/>
          <w:b/>
          <w:color w:val="000000"/>
          <w:szCs w:val="24"/>
        </w:rPr>
        <w:t>14.5.</w:t>
      </w:r>
      <w:r>
        <w:rPr>
          <w:rFonts w:ascii="Arial" w:hAnsi="Arial" w:cs="Arial"/>
          <w:color w:val="000000"/>
          <w:szCs w:val="24"/>
        </w:rPr>
        <w:t xml:space="preserve">O não pagamento dos salários e das verbas trabalhistas, e o não recolhimento das contribuições sociais, previdenciárias e para com o FGTS </w:t>
      </w:r>
      <w:r>
        <w:rPr>
          <w:rFonts w:ascii="Arial" w:hAnsi="Arial" w:cs="Arial"/>
          <w:szCs w:val="24"/>
        </w:rPr>
        <w:t xml:space="preserve">poderá dar ensejo à rescisão </w:t>
      </w:r>
      <w:r>
        <w:rPr>
          <w:rFonts w:ascii="Arial" w:hAnsi="Arial" w:cs="Arial"/>
          <w:color w:val="000000"/>
          <w:szCs w:val="24"/>
        </w:rPr>
        <w:t>do contrato por ato unilateral e escrito do CONTRATANTE e à aplicação das penalidades cabíveis</w:t>
      </w:r>
      <w:r>
        <w:rPr>
          <w:rFonts w:ascii="Arial" w:hAnsi="Arial" w:cs="Arial"/>
          <w:szCs w:val="24"/>
        </w:rPr>
        <w:t xml:space="preserve">.. </w:t>
      </w:r>
    </w:p>
    <w:p>
      <w:pPr>
        <w:spacing w:before="120" w:after="120"/>
        <w:jc w:val="both"/>
        <w:rPr>
          <w:rFonts w:ascii="Arial" w:hAnsi="Arial" w:cs="Arial"/>
          <w:color w:val="000000"/>
          <w:szCs w:val="24"/>
        </w:rPr>
      </w:pPr>
      <w:r>
        <w:rPr>
          <w:rFonts w:ascii="Arial" w:hAnsi="Arial" w:cs="Arial"/>
          <w:b/>
          <w:szCs w:val="24"/>
        </w:rPr>
        <w:t>14.6.</w:t>
      </w:r>
      <w:r>
        <w:rPr>
          <w:rFonts w:ascii="Arial" w:hAnsi="Arial" w:cs="Arial"/>
          <w:szCs w:val="24"/>
        </w:rPr>
        <w:t>Quando</w:t>
      </w:r>
      <w:r>
        <w:rPr>
          <w:rFonts w:ascii="Arial" w:hAnsi="Arial" w:cs="Arial"/>
          <w:color w:val="000000"/>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spacing w:before="120" w:after="120"/>
        <w:jc w:val="both"/>
        <w:rPr>
          <w:rFonts w:ascii="Arial" w:hAnsi="Arial" w:cs="Arial"/>
          <w:color w:val="000000"/>
          <w:szCs w:val="24"/>
        </w:rPr>
      </w:pPr>
      <w:r>
        <w:rPr>
          <w:rFonts w:ascii="Arial" w:hAnsi="Arial" w:cs="Arial"/>
          <w:b/>
          <w:szCs w:val="24"/>
        </w:rPr>
        <w:t>14.7.</w:t>
      </w:r>
      <w:r>
        <w:rPr>
          <w:rFonts w:ascii="Arial" w:hAnsi="Arial" w:cs="Arial"/>
          <w:szCs w:val="24"/>
        </w:rPr>
        <w:t>Até</w:t>
      </w:r>
      <w:r>
        <w:rPr>
          <w:rFonts w:ascii="Arial" w:hAnsi="Arial" w:cs="Arial"/>
          <w:color w:val="000000"/>
          <w:szCs w:val="24"/>
        </w:rPr>
        <w:t xml:space="preserve"> que a CONTRATADA comprove o disposto no item anterior, a CONTRATANTE reterá:</w:t>
      </w:r>
    </w:p>
    <w:p>
      <w:pPr>
        <w:spacing w:before="120" w:after="120"/>
        <w:ind w:left="720" w:leftChars="300"/>
        <w:jc w:val="both"/>
        <w:rPr>
          <w:rFonts w:ascii="Arial" w:hAnsi="Arial" w:cs="Arial"/>
          <w:color w:val="000000"/>
          <w:szCs w:val="24"/>
        </w:rPr>
      </w:pPr>
      <w:r>
        <w:rPr>
          <w:rFonts w:ascii="Arial" w:hAnsi="Arial" w:cs="Arial"/>
          <w:b/>
          <w:color w:val="000000"/>
          <w:szCs w:val="24"/>
        </w:rPr>
        <w:t>14.7.1.</w:t>
      </w:r>
      <w:r>
        <w:rPr>
          <w:rFonts w:ascii="Arial" w:hAnsi="Arial" w:cs="Arial"/>
          <w:color w:val="000000"/>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se houver; e </w:t>
      </w:r>
    </w:p>
    <w:p>
      <w:pPr>
        <w:spacing w:before="120" w:after="120"/>
        <w:ind w:left="720" w:leftChars="300"/>
        <w:jc w:val="both"/>
        <w:rPr>
          <w:rFonts w:ascii="Arial" w:hAnsi="Arial" w:cs="Arial"/>
          <w:color w:val="000000"/>
          <w:szCs w:val="24"/>
        </w:rPr>
      </w:pPr>
      <w:r>
        <w:rPr>
          <w:rFonts w:ascii="Arial" w:hAnsi="Arial" w:cs="Arial"/>
          <w:b/>
          <w:color w:val="000000"/>
          <w:szCs w:val="24"/>
        </w:rPr>
        <w:t>14.7.2.</w:t>
      </w:r>
      <w:r>
        <w:rPr>
          <w:rFonts w:ascii="Arial" w:hAnsi="Arial" w:cs="Arial"/>
          <w:color w:val="000000"/>
          <w:szCs w:val="24"/>
        </w:rPr>
        <w:t>os valores das Notas fiscais ou Faturas correspondentes em valor proporcional ao inadimplemento, até que a situação seja regularizada.</w:t>
      </w:r>
    </w:p>
    <w:p>
      <w:pPr>
        <w:spacing w:before="120" w:after="120"/>
        <w:jc w:val="both"/>
        <w:rPr>
          <w:rFonts w:ascii="Arial" w:hAnsi="Arial" w:cs="Arial"/>
          <w:szCs w:val="24"/>
        </w:rPr>
      </w:pPr>
      <w:r>
        <w:rPr>
          <w:rFonts w:ascii="Arial" w:hAnsi="Arial" w:cs="Arial"/>
          <w:b/>
          <w:color w:val="000000"/>
          <w:szCs w:val="24"/>
        </w:rPr>
        <w:t>14.8.</w:t>
      </w:r>
      <w:r>
        <w:rPr>
          <w:rFonts w:ascii="Arial" w:hAnsi="Arial" w:cs="Arial"/>
          <w:color w:val="000000"/>
          <w:szCs w:val="24"/>
        </w:rPr>
        <w:t xml:space="preserve">Na </w:t>
      </w:r>
      <w:r>
        <w:rPr>
          <w:rFonts w:ascii="Arial" w:hAnsi="Arial" w:cs="Arial"/>
          <w:szCs w:val="24"/>
        </w:rPr>
        <w:t>hipótese</w:t>
      </w:r>
      <w:r>
        <w:rPr>
          <w:rFonts w:ascii="Arial" w:hAnsi="Arial" w:cs="Arial"/>
          <w:color w:val="000000"/>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spacing w:before="120" w:after="120"/>
        <w:jc w:val="both"/>
        <w:rPr>
          <w:rFonts w:ascii="Arial" w:hAnsi="Arial" w:cs="Arial"/>
          <w:szCs w:val="24"/>
        </w:rPr>
      </w:pPr>
      <w:r>
        <w:rPr>
          <w:rFonts w:ascii="Arial" w:hAnsi="Arial" w:cs="Arial"/>
          <w:b/>
          <w:szCs w:val="24"/>
        </w:rPr>
        <w:t>14.9.</w:t>
      </w:r>
      <w:r>
        <w:rPr>
          <w:rFonts w:ascii="Arial" w:hAnsi="Arial" w:cs="Arial"/>
          <w:szCs w:val="24"/>
        </w:rPr>
        <w:t>O CONTRATANTE poderá ainda:</w:t>
      </w:r>
    </w:p>
    <w:p>
      <w:pPr>
        <w:spacing w:before="120" w:after="120"/>
        <w:ind w:left="720" w:leftChars="300"/>
        <w:jc w:val="both"/>
        <w:rPr>
          <w:rFonts w:ascii="Arial" w:hAnsi="Arial" w:cs="Arial"/>
          <w:color w:val="000000"/>
          <w:szCs w:val="24"/>
        </w:rPr>
      </w:pPr>
      <w:r>
        <w:rPr>
          <w:rFonts w:ascii="Arial" w:hAnsi="Arial" w:cs="Arial"/>
          <w:b/>
          <w:color w:val="000000"/>
          <w:szCs w:val="24"/>
        </w:rPr>
        <w:t>14.9.1.</w:t>
      </w:r>
      <w:r>
        <w:rPr>
          <w:rFonts w:ascii="Arial" w:hAnsi="Arial" w:cs="Arial"/>
          <w:color w:val="000000"/>
          <w:szCs w:val="24"/>
        </w:rPr>
        <w:t>nos casos de obrigação de pagamento de multa pela CONTRATADA, reter a garantia prestada a ser executada, conforme legislação que rege a matéria; e</w:t>
      </w:r>
    </w:p>
    <w:p>
      <w:pPr>
        <w:ind w:left="720" w:leftChars="300"/>
        <w:jc w:val="both"/>
        <w:rPr>
          <w:rFonts w:ascii="Arial" w:hAnsi="Arial" w:cs="Arial"/>
          <w:szCs w:val="24"/>
        </w:rPr>
      </w:pPr>
      <w:r>
        <w:rPr>
          <w:rFonts w:ascii="Arial" w:hAnsi="Arial" w:cs="Arial"/>
          <w:b/>
          <w:color w:val="000000"/>
          <w:szCs w:val="24"/>
        </w:rPr>
        <w:t>14.9.2.</w:t>
      </w:r>
      <w:r>
        <w:rPr>
          <w:rFonts w:ascii="Arial" w:hAnsi="Arial" w:cs="Arial"/>
          <w:color w:val="000000"/>
          <w:szCs w:val="24"/>
        </w:rPr>
        <w:t>nos casos em que houver necessidade de ressarcimento de prejuízos causados à Administração, nos termos do inciso IV do art. 80 da Lei n.º 8.666, de 1993, reter os eventuais créditos existentes</w:t>
      </w:r>
      <w:r>
        <w:rPr>
          <w:rFonts w:ascii="Arial" w:hAnsi="Arial" w:cs="Arial"/>
          <w:szCs w:val="24"/>
        </w:rPr>
        <w:t xml:space="preserve"> em favor da CONTRATADA decorrentes do contrato.</w:t>
      </w:r>
    </w:p>
    <w:p>
      <w:pPr>
        <w:ind w:left="720" w:leftChars="300"/>
        <w:jc w:val="both"/>
        <w:rPr>
          <w:rFonts w:ascii="Arial" w:hAnsi="Arial" w:cs="Arial"/>
          <w:szCs w:val="24"/>
        </w:rPr>
      </w:pPr>
    </w:p>
    <w:p>
      <w:pPr>
        <w:pStyle w:val="72"/>
        <w:numPr>
          <w:ilvl w:val="0"/>
          <w:numId w:val="0"/>
        </w:numPr>
        <w:spacing w:before="0" w:after="120"/>
        <w:rPr>
          <w:rFonts w:cs="Arial"/>
          <w:sz w:val="24"/>
          <w:szCs w:val="24"/>
        </w:rPr>
      </w:pPr>
      <w:r>
        <w:rPr>
          <w:rFonts w:cs="Arial"/>
          <w:sz w:val="24"/>
          <w:szCs w:val="24"/>
        </w:rPr>
        <w:t>CLÁUSULA DÉCIMA QUINTA – VEDAÇÕES</w:t>
      </w:r>
    </w:p>
    <w:p>
      <w:pPr>
        <w:spacing w:before="120" w:after="120"/>
        <w:jc w:val="both"/>
        <w:rPr>
          <w:rFonts w:ascii="Arial" w:hAnsi="Arial" w:cs="Arial"/>
          <w:szCs w:val="24"/>
        </w:rPr>
      </w:pPr>
      <w:r>
        <w:rPr>
          <w:rFonts w:ascii="Arial" w:hAnsi="Arial" w:cs="Arial"/>
          <w:b/>
          <w:szCs w:val="24"/>
        </w:rPr>
        <w:t>15.1.</w:t>
      </w:r>
      <w:r>
        <w:rPr>
          <w:rFonts w:ascii="Arial" w:hAnsi="Arial" w:cs="Arial"/>
          <w:szCs w:val="24"/>
        </w:rPr>
        <w:t>É vedado à CONTRATADA:</w:t>
      </w:r>
    </w:p>
    <w:p>
      <w:pPr>
        <w:spacing w:before="120" w:after="120"/>
        <w:ind w:left="720" w:leftChars="300"/>
        <w:jc w:val="both"/>
        <w:rPr>
          <w:rFonts w:ascii="Arial" w:hAnsi="Arial" w:cs="Arial"/>
          <w:szCs w:val="24"/>
        </w:rPr>
      </w:pPr>
      <w:r>
        <w:rPr>
          <w:rFonts w:ascii="Arial" w:hAnsi="Arial" w:cs="Arial"/>
          <w:b/>
          <w:szCs w:val="24"/>
        </w:rPr>
        <w:t xml:space="preserve">15.1.1 </w:t>
      </w:r>
      <w:r>
        <w:rPr>
          <w:rFonts w:ascii="Arial" w:hAnsi="Arial" w:cs="Arial"/>
          <w:szCs w:val="24"/>
        </w:rPr>
        <w:t>caucionar ou utilizar este Termo de Contrato para qualquer operação financeira;</w:t>
      </w:r>
    </w:p>
    <w:p>
      <w:pPr>
        <w:ind w:left="720" w:leftChars="300"/>
        <w:jc w:val="both"/>
        <w:rPr>
          <w:rFonts w:ascii="Arial" w:hAnsi="Arial" w:cs="Arial"/>
          <w:szCs w:val="24"/>
        </w:rPr>
      </w:pPr>
      <w:r>
        <w:rPr>
          <w:rFonts w:ascii="Arial" w:hAnsi="Arial" w:cs="Arial"/>
          <w:b/>
          <w:szCs w:val="24"/>
        </w:rPr>
        <w:t xml:space="preserve">15.1.2. </w:t>
      </w:r>
      <w:r>
        <w:rPr>
          <w:rFonts w:ascii="Arial" w:hAnsi="Arial" w:cs="Arial"/>
          <w:szCs w:val="24"/>
        </w:rPr>
        <w:t>interromper a execução dos serviços sob alegação de inadimplemento por parte da CONTRATANTE, salvo nos casos previstos em lei.</w:t>
      </w:r>
    </w:p>
    <w:p>
      <w:pPr>
        <w:ind w:left="720" w:leftChars="300"/>
        <w:jc w:val="both"/>
        <w:rPr>
          <w:rFonts w:ascii="Arial" w:hAnsi="Arial" w:cs="Arial"/>
          <w:szCs w:val="24"/>
        </w:rPr>
      </w:pPr>
    </w:p>
    <w:p>
      <w:pPr>
        <w:pStyle w:val="72"/>
        <w:numPr>
          <w:ilvl w:val="0"/>
          <w:numId w:val="0"/>
        </w:numPr>
        <w:spacing w:before="0" w:after="120"/>
        <w:rPr>
          <w:rFonts w:cs="Arial"/>
          <w:sz w:val="24"/>
          <w:szCs w:val="24"/>
        </w:rPr>
      </w:pPr>
      <w:r>
        <w:rPr>
          <w:rFonts w:cs="Arial"/>
          <w:sz w:val="24"/>
          <w:szCs w:val="24"/>
        </w:rPr>
        <w:t>CLÁUSULA DÉCIMA SEXTA – ALTERAÇÕES</w:t>
      </w:r>
    </w:p>
    <w:p>
      <w:pPr>
        <w:spacing w:before="120" w:after="120"/>
        <w:jc w:val="both"/>
        <w:rPr>
          <w:rFonts w:ascii="Arial" w:hAnsi="Arial" w:cs="Arial"/>
          <w:szCs w:val="24"/>
        </w:rPr>
      </w:pPr>
      <w:r>
        <w:rPr>
          <w:rFonts w:ascii="Arial" w:hAnsi="Arial" w:cs="Arial"/>
          <w:b/>
          <w:szCs w:val="24"/>
        </w:rPr>
        <w:t xml:space="preserve">16.1. </w:t>
      </w:r>
      <w:r>
        <w:rPr>
          <w:rFonts w:ascii="Arial" w:hAnsi="Arial" w:cs="Arial"/>
          <w:szCs w:val="24"/>
        </w:rPr>
        <w:t>Eventuais alterações contratuais reger-se-ão pela disciplina do art. 65 da Lei nº 8.666, de 1993;</w:t>
      </w:r>
    </w:p>
    <w:p>
      <w:pPr>
        <w:spacing w:before="120" w:after="120"/>
        <w:jc w:val="both"/>
        <w:rPr>
          <w:rFonts w:ascii="Arial" w:hAnsi="Arial" w:cs="Arial"/>
          <w:szCs w:val="24"/>
        </w:rPr>
      </w:pPr>
      <w:r>
        <w:rPr>
          <w:rFonts w:ascii="Arial" w:hAnsi="Arial" w:cs="Arial"/>
          <w:b/>
          <w:szCs w:val="24"/>
        </w:rPr>
        <w:t xml:space="preserve">16.2. </w:t>
      </w:r>
      <w:r>
        <w:rPr>
          <w:rFonts w:ascii="Arial" w:hAnsi="Arial" w:cs="Arial"/>
          <w:szCs w:val="24"/>
        </w:rPr>
        <w:t>A CONTRATADA é obrigada a aceitar, nas mesmas condições contratuais, os acréscimos ou supressões que se fizerem necessários, até o limite de 25% (vinte e cinco por cento) do valor inicial atualizado do contrato.</w:t>
      </w:r>
    </w:p>
    <w:p>
      <w:pPr>
        <w:spacing w:before="120"/>
        <w:jc w:val="both"/>
        <w:rPr>
          <w:rFonts w:ascii="Arial" w:hAnsi="Arial" w:cs="Arial"/>
          <w:szCs w:val="24"/>
        </w:rPr>
      </w:pPr>
      <w:r>
        <w:rPr>
          <w:rFonts w:ascii="Arial" w:hAnsi="Arial" w:cs="Arial"/>
          <w:b/>
          <w:szCs w:val="24"/>
        </w:rPr>
        <w:t xml:space="preserve">16.3. </w:t>
      </w:r>
      <w:r>
        <w:rPr>
          <w:rFonts w:ascii="Arial" w:hAnsi="Arial" w:cs="Arial"/>
          <w:szCs w:val="24"/>
        </w:rPr>
        <w:t>As supressões resultantes de acordo celebrado entre as partes contratantes poderão exceder o limite de 25% (vinte e cinco por cento) do valor inicial atualizado do contrato.</w:t>
      </w:r>
    </w:p>
    <w:p>
      <w:pPr>
        <w:jc w:val="both"/>
        <w:rPr>
          <w:rFonts w:ascii="Arial" w:hAnsi="Arial" w:cs="Arial"/>
          <w:szCs w:val="24"/>
        </w:rPr>
      </w:pPr>
    </w:p>
    <w:p>
      <w:pPr>
        <w:pStyle w:val="72"/>
        <w:numPr>
          <w:ilvl w:val="0"/>
          <w:numId w:val="0"/>
        </w:numPr>
        <w:spacing w:before="0" w:after="0"/>
        <w:rPr>
          <w:rFonts w:cs="Arial"/>
          <w:sz w:val="24"/>
          <w:szCs w:val="24"/>
        </w:rPr>
      </w:pPr>
      <w:r>
        <w:rPr>
          <w:rFonts w:cs="Arial"/>
          <w:sz w:val="24"/>
          <w:szCs w:val="24"/>
        </w:rPr>
        <w:t>CLÁUSULA DÉCIMA SETIMA – DOS CASOS OMISSOS</w:t>
      </w:r>
    </w:p>
    <w:p>
      <w:pPr>
        <w:spacing w:before="120"/>
        <w:jc w:val="both"/>
        <w:rPr>
          <w:rFonts w:ascii="Arial" w:hAnsi="Arial" w:cs="Arial"/>
          <w:szCs w:val="24"/>
        </w:rPr>
      </w:pPr>
      <w:r>
        <w:rPr>
          <w:rFonts w:ascii="Arial" w:hAnsi="Arial" w:cs="Arial"/>
          <w:b/>
          <w:bCs/>
          <w:szCs w:val="24"/>
        </w:rPr>
        <w:t>17.1.</w:t>
      </w:r>
      <w:r>
        <w:rPr>
          <w:rFonts w:ascii="Arial" w:hAnsi="Arial" w:cs="Arial"/>
          <w:szCs w:val="24"/>
        </w:rPr>
        <w:t>Os casos omissos serão decididos pela CONTRATANTE, segundo as disposições contidas na Lei nº 8.666, de 1993, na Lei nº 10.520, de 2002 e demais normas federais aplicáveis e, subsidiariamente, segundo as disposições contidas no Código Civil e Código de Processo Civil – e normas e princípios gerais dos contratos.</w:t>
      </w:r>
    </w:p>
    <w:p>
      <w:pPr>
        <w:jc w:val="both"/>
        <w:rPr>
          <w:rFonts w:ascii="Arial" w:hAnsi="Arial" w:cs="Arial"/>
          <w:szCs w:val="24"/>
        </w:rPr>
      </w:pPr>
    </w:p>
    <w:p>
      <w:pPr>
        <w:pStyle w:val="72"/>
        <w:numPr>
          <w:ilvl w:val="0"/>
          <w:numId w:val="0"/>
        </w:numPr>
        <w:spacing w:before="0" w:after="120"/>
        <w:rPr>
          <w:rFonts w:cs="Arial"/>
          <w:sz w:val="24"/>
          <w:szCs w:val="24"/>
        </w:rPr>
      </w:pPr>
      <w:r>
        <w:rPr>
          <w:rFonts w:cs="Arial"/>
          <w:sz w:val="24"/>
          <w:szCs w:val="24"/>
        </w:rPr>
        <w:t>CLÁUSULA DÉCIMA OITAVA – PUBLICAÇÃO</w:t>
      </w:r>
    </w:p>
    <w:p>
      <w:pPr>
        <w:jc w:val="both"/>
        <w:rPr>
          <w:rFonts w:ascii="Arial" w:hAnsi="Arial" w:cs="Arial"/>
          <w:szCs w:val="24"/>
        </w:rPr>
      </w:pPr>
      <w:r>
        <w:rPr>
          <w:rFonts w:ascii="Arial" w:hAnsi="Arial" w:cs="Arial"/>
          <w:b/>
          <w:szCs w:val="24"/>
        </w:rPr>
        <w:t xml:space="preserve">18.1. </w:t>
      </w:r>
      <w:r>
        <w:rPr>
          <w:rFonts w:ascii="Arial" w:hAnsi="Arial" w:cs="Arial"/>
          <w:szCs w:val="24"/>
        </w:rPr>
        <w:t>Incumbirá à CONTRATANTE providenciar a publicação deste instrumento, por extrato, no Diário Oficial do Município de Primavera do Leste, no prazo previsto na Lei nº 8.666, de 1993.</w:t>
      </w:r>
    </w:p>
    <w:p>
      <w:pPr>
        <w:jc w:val="both"/>
        <w:rPr>
          <w:rFonts w:ascii="Arial" w:hAnsi="Arial" w:cs="Arial"/>
          <w:szCs w:val="24"/>
        </w:rPr>
      </w:pPr>
    </w:p>
    <w:p>
      <w:pPr>
        <w:jc w:val="both"/>
        <w:rPr>
          <w:rFonts w:ascii="Arial" w:hAnsi="Arial" w:cs="Arial"/>
          <w:b/>
          <w:szCs w:val="24"/>
        </w:rPr>
      </w:pPr>
      <w:r>
        <w:rPr>
          <w:rFonts w:ascii="Arial" w:hAnsi="Arial" w:cs="Arial"/>
          <w:b/>
          <w:szCs w:val="24"/>
        </w:rPr>
        <w:t>CLÁUSULA DÉCIMA NONA - DA FISCALIZAÇÃO</w:t>
      </w:r>
    </w:p>
    <w:p>
      <w:pPr>
        <w:widowControl w:val="0"/>
        <w:autoSpaceDE w:val="0"/>
        <w:autoSpaceDN w:val="0"/>
        <w:adjustRightInd w:val="0"/>
        <w:spacing w:before="120"/>
        <w:ind w:right="-17"/>
        <w:jc w:val="both"/>
        <w:rPr>
          <w:rFonts w:ascii="Arial" w:hAnsi="Arial" w:cs="Arial"/>
          <w:szCs w:val="24"/>
        </w:rPr>
      </w:pPr>
      <w:r>
        <w:rPr>
          <w:rFonts w:ascii="Arial" w:hAnsi="Arial" w:cs="Arial"/>
          <w:b/>
          <w:szCs w:val="24"/>
        </w:rPr>
        <w:t>19.1.</w:t>
      </w:r>
      <w:r>
        <w:rPr>
          <w:rFonts w:ascii="Arial" w:hAnsi="Arial" w:cs="Arial"/>
          <w:szCs w:val="24"/>
        </w:rPr>
        <w:t xml:space="preserve"> A fiscalização dos serviços será exercida por representante legal da CONTRATANTE,  Paulo Marcos de Moraes Coimbra como oficial e Edson Marcio da Silva Xavier como suplente</w:t>
      </w:r>
      <w:r>
        <w:rPr>
          <w:rFonts w:ascii="Arial" w:hAnsi="Arial" w:cs="Arial"/>
          <w:bCs/>
          <w:color w:val="000000"/>
          <w:szCs w:val="24"/>
        </w:rPr>
        <w:t xml:space="preserve">, </w:t>
      </w:r>
      <w:r>
        <w:rPr>
          <w:rFonts w:ascii="Arial" w:hAnsi="Arial" w:cs="Arial"/>
          <w:szCs w:val="24"/>
        </w:rPr>
        <w:t>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widowControl w:val="0"/>
        <w:tabs>
          <w:tab w:val="left" w:pos="600"/>
        </w:tabs>
        <w:autoSpaceDE w:val="0"/>
        <w:autoSpaceDN w:val="0"/>
        <w:adjustRightInd w:val="0"/>
        <w:spacing w:before="120"/>
        <w:ind w:right="-17"/>
        <w:jc w:val="both"/>
        <w:rPr>
          <w:rFonts w:ascii="Arial" w:hAnsi="Arial" w:cs="Arial"/>
          <w:szCs w:val="24"/>
        </w:rPr>
      </w:pPr>
      <w:r>
        <w:rPr>
          <w:rFonts w:ascii="Arial" w:hAnsi="Arial" w:cs="Arial"/>
          <w:b/>
          <w:szCs w:val="24"/>
        </w:rPr>
        <w:tab/>
      </w:r>
      <w:r>
        <w:rPr>
          <w:rFonts w:ascii="Arial" w:hAnsi="Arial" w:cs="Arial"/>
          <w:b/>
          <w:szCs w:val="24"/>
        </w:rPr>
        <w:t>19.1.1.</w:t>
      </w:r>
      <w:r>
        <w:rPr>
          <w:rFonts w:ascii="Arial" w:hAnsi="Arial" w:cs="Arial"/>
          <w:szCs w:val="24"/>
        </w:rPr>
        <w:t xml:space="preserve"> O fiscal anotará em registro próprio todas as ocorrências relacionadas com a </w:t>
      </w:r>
      <w:r>
        <w:rPr>
          <w:rFonts w:ascii="Arial" w:hAnsi="Arial" w:cs="Arial"/>
          <w:szCs w:val="24"/>
        </w:rPr>
        <w:tab/>
      </w:r>
      <w:r>
        <w:rPr>
          <w:rFonts w:ascii="Arial" w:hAnsi="Arial" w:cs="Arial"/>
          <w:szCs w:val="24"/>
        </w:rPr>
        <w:t xml:space="preserve">execução do contrato, indicando dia, mês e ano, bem como o nome das pessoas </w:t>
      </w:r>
      <w:r>
        <w:rPr>
          <w:rFonts w:ascii="Arial" w:hAnsi="Arial" w:cs="Arial"/>
          <w:szCs w:val="24"/>
        </w:rPr>
        <w:tab/>
      </w:r>
      <w:r>
        <w:rPr>
          <w:rFonts w:ascii="Arial" w:hAnsi="Arial" w:cs="Arial"/>
          <w:szCs w:val="24"/>
        </w:rPr>
        <w:t xml:space="preserve">eventualmente envolvidas, determinando o que for necessário à regularização das </w:t>
      </w:r>
      <w:r>
        <w:rPr>
          <w:rFonts w:ascii="Arial" w:hAnsi="Arial" w:cs="Arial"/>
          <w:szCs w:val="24"/>
        </w:rPr>
        <w:tab/>
      </w:r>
      <w:r>
        <w:rPr>
          <w:rFonts w:ascii="Arial" w:hAnsi="Arial" w:cs="Arial"/>
          <w:szCs w:val="24"/>
        </w:rPr>
        <w:t xml:space="preserve">faltas ou defeitos observados e encaminhando os apontamentos à autoridade </w:t>
      </w:r>
      <w:r>
        <w:rPr>
          <w:rFonts w:ascii="Arial" w:hAnsi="Arial" w:cs="Arial"/>
          <w:szCs w:val="24"/>
        </w:rPr>
        <w:tab/>
      </w:r>
      <w:r>
        <w:rPr>
          <w:rFonts w:ascii="Arial" w:hAnsi="Arial" w:cs="Arial"/>
          <w:szCs w:val="24"/>
        </w:rPr>
        <w:t>competente para as providências cabíveis.</w:t>
      </w:r>
    </w:p>
    <w:p>
      <w:pPr>
        <w:ind w:firstLine="709"/>
        <w:jc w:val="both"/>
        <w:rPr>
          <w:rFonts w:ascii="Arial" w:hAnsi="Arial" w:cs="Arial"/>
          <w:szCs w:val="24"/>
        </w:rPr>
      </w:pPr>
      <w:r>
        <w:rPr>
          <w:rFonts w:ascii="Arial" w:hAnsi="Arial" w:cs="Arial"/>
          <w:b/>
          <w:szCs w:val="24"/>
        </w:rPr>
        <w:t xml:space="preserve">19.1.2. </w:t>
      </w:r>
      <w:r>
        <w:rPr>
          <w:rFonts w:ascii="Arial" w:hAnsi="Arial" w:cs="Arial"/>
          <w:szCs w:val="24"/>
        </w:rPr>
        <w:t xml:space="preserve">As decisões e providências que ultrapassarem a competência do fiscal do </w:t>
      </w:r>
      <w:r>
        <w:rPr>
          <w:rFonts w:ascii="Arial" w:hAnsi="Arial" w:cs="Arial"/>
          <w:szCs w:val="24"/>
        </w:rPr>
        <w:tab/>
      </w:r>
      <w:r>
        <w:rPr>
          <w:rFonts w:ascii="Arial" w:hAnsi="Arial" w:cs="Arial"/>
          <w:szCs w:val="24"/>
        </w:rPr>
        <w:t xml:space="preserve">contrato deverão ser solicitadas a seus superiores em tempo hábil, para a adoção </w:t>
      </w:r>
      <w:r>
        <w:rPr>
          <w:rFonts w:ascii="Arial" w:hAnsi="Arial" w:cs="Arial"/>
          <w:szCs w:val="24"/>
        </w:rPr>
        <w:tab/>
      </w:r>
      <w:r>
        <w:rPr>
          <w:rFonts w:ascii="Arial" w:hAnsi="Arial" w:cs="Arial"/>
          <w:szCs w:val="24"/>
        </w:rPr>
        <w:t>das medidas convenientes.</w:t>
      </w:r>
    </w:p>
    <w:p>
      <w:pPr>
        <w:ind w:left="720" w:leftChars="300"/>
        <w:jc w:val="both"/>
        <w:rPr>
          <w:rFonts w:ascii="Arial" w:hAnsi="Arial" w:cs="Arial"/>
          <w:szCs w:val="24"/>
        </w:rPr>
      </w:pPr>
    </w:p>
    <w:p>
      <w:pPr>
        <w:pStyle w:val="72"/>
        <w:numPr>
          <w:ilvl w:val="0"/>
          <w:numId w:val="0"/>
        </w:numPr>
        <w:spacing w:before="0" w:after="0"/>
        <w:rPr>
          <w:rFonts w:cs="Arial"/>
          <w:sz w:val="24"/>
          <w:szCs w:val="24"/>
        </w:rPr>
      </w:pPr>
      <w:r>
        <w:rPr>
          <w:rFonts w:cs="Arial"/>
          <w:sz w:val="24"/>
          <w:szCs w:val="24"/>
        </w:rPr>
        <w:t>CLÁUSULA VIGESIMA – FORO</w:t>
      </w:r>
    </w:p>
    <w:p>
      <w:pPr>
        <w:spacing w:before="120" w:after="120"/>
        <w:jc w:val="both"/>
        <w:rPr>
          <w:rFonts w:ascii="Arial" w:hAnsi="Arial" w:cs="Arial"/>
          <w:szCs w:val="24"/>
        </w:rPr>
      </w:pPr>
      <w:r>
        <w:rPr>
          <w:rFonts w:ascii="Arial" w:hAnsi="Arial" w:cs="Arial"/>
          <w:b/>
          <w:szCs w:val="24"/>
        </w:rPr>
        <w:t xml:space="preserve">20.1. </w:t>
      </w:r>
      <w:r>
        <w:rPr>
          <w:rFonts w:ascii="Arial" w:hAnsi="Arial" w:cs="Arial"/>
          <w:szCs w:val="24"/>
        </w:rPr>
        <w:t xml:space="preserve">É eleito o Foro da Comarca de Primavera do Leste - MT para dirimir os litígios que decorrerem da execução deste Termo de Contrato que não possam ser compostos pela conciliação, conforme art. 55, §2º, da Lei nº 8.666/93. </w:t>
      </w:r>
    </w:p>
    <w:p>
      <w:pPr>
        <w:spacing w:before="120" w:after="120"/>
        <w:jc w:val="both"/>
        <w:rPr>
          <w:rFonts w:ascii="Arial" w:hAnsi="Arial" w:cs="Arial"/>
          <w:szCs w:val="24"/>
        </w:rPr>
      </w:pPr>
      <w:r>
        <w:rPr>
          <w:rFonts w:ascii="Arial" w:hAnsi="Arial" w:cs="Arial"/>
          <w:szCs w:val="24"/>
        </w:rPr>
        <w:t xml:space="preserve">Para firmeza e validade do pactuado, o presente Termo de Contrato foi lavrado em 03 (três) vias de igual teor, que, depois de lido e achado em ordem, vai assinado pelos contraentes e por duas testemunhas. </w:t>
      </w:r>
    </w:p>
    <w:p>
      <w:pPr>
        <w:spacing w:after="120"/>
        <w:ind w:right="-15"/>
        <w:jc w:val="right"/>
        <w:rPr>
          <w:rFonts w:ascii="Arial" w:hAnsi="Arial" w:cs="Arial"/>
          <w:szCs w:val="24"/>
        </w:rPr>
      </w:pPr>
      <w:r>
        <w:rPr>
          <w:rFonts w:ascii="Arial" w:hAnsi="Arial" w:cs="Arial"/>
          <w:szCs w:val="24"/>
        </w:rPr>
        <w:t>...........................................,  .......... de.......................................... de 20.....</w:t>
      </w:r>
    </w:p>
    <w:p>
      <w:pPr>
        <w:jc w:val="center"/>
        <w:rPr>
          <w:rFonts w:ascii="Arial" w:hAnsi="Arial" w:cs="Arial"/>
          <w:szCs w:val="24"/>
        </w:rPr>
      </w:pPr>
      <w:r>
        <w:rPr>
          <w:rFonts w:ascii="Arial" w:hAnsi="Arial" w:cs="Arial"/>
          <w:szCs w:val="24"/>
        </w:rPr>
        <w:t>_________________________</w:t>
      </w:r>
    </w:p>
    <w:p>
      <w:pPr>
        <w:jc w:val="center"/>
        <w:rPr>
          <w:rFonts w:ascii="Arial" w:hAnsi="Arial" w:cs="Arial"/>
          <w:szCs w:val="24"/>
        </w:rPr>
      </w:pPr>
      <w:r>
        <w:rPr>
          <w:rFonts w:ascii="Arial" w:hAnsi="Arial" w:cs="Arial"/>
          <w:szCs w:val="24"/>
        </w:rPr>
        <w:t>Representante legal da CONTRATANTE</w:t>
      </w:r>
    </w:p>
    <w:p>
      <w:pPr>
        <w:jc w:val="center"/>
        <w:rPr>
          <w:rFonts w:ascii="Arial" w:hAnsi="Arial" w:cs="Arial"/>
          <w:szCs w:val="24"/>
        </w:rPr>
      </w:pPr>
      <w:r>
        <w:rPr>
          <w:rFonts w:ascii="Arial" w:hAnsi="Arial" w:cs="Arial"/>
          <w:szCs w:val="24"/>
        </w:rPr>
        <w:t>_________________________</w:t>
      </w:r>
    </w:p>
    <w:p>
      <w:pPr>
        <w:jc w:val="center"/>
        <w:rPr>
          <w:rFonts w:ascii="Arial" w:hAnsi="Arial" w:cs="Arial"/>
          <w:szCs w:val="24"/>
        </w:rPr>
      </w:pPr>
      <w:r>
        <w:rPr>
          <w:rFonts w:ascii="Arial" w:hAnsi="Arial" w:cs="Arial"/>
          <w:szCs w:val="24"/>
        </w:rPr>
        <w:t>Representante legal da CONTRATADA</w:t>
      </w:r>
    </w:p>
    <w:p>
      <w:pPr>
        <w:jc w:val="both"/>
        <w:rPr>
          <w:rFonts w:ascii="Arial" w:hAnsi="Arial" w:cs="Arial"/>
          <w:szCs w:val="24"/>
        </w:rPr>
      </w:pPr>
    </w:p>
    <w:p>
      <w:pPr>
        <w:spacing w:after="120"/>
        <w:jc w:val="both"/>
        <w:rPr>
          <w:rFonts w:ascii="Arial" w:hAnsi="Arial" w:cs="Arial"/>
          <w:szCs w:val="24"/>
        </w:rPr>
      </w:pPr>
      <w:r>
        <w:rPr>
          <w:rFonts w:ascii="Arial" w:hAnsi="Arial" w:cs="Arial"/>
          <w:szCs w:val="24"/>
        </w:rPr>
        <w:t>TESTEMUNHAS:</w:t>
      </w:r>
    </w:p>
    <w:p>
      <w:pPr>
        <w:rPr>
          <w:rFonts w:ascii="Arial" w:hAnsi="Arial" w:cs="Arial"/>
          <w:sz w:val="20"/>
          <w:szCs w:val="24"/>
        </w:rPr>
      </w:pPr>
      <w:r>
        <w:rPr>
          <w:rFonts w:ascii="Arial" w:hAnsi="Arial" w:cs="Arial"/>
          <w:szCs w:val="24"/>
        </w:rPr>
        <w:t>1-2-</w:t>
      </w:r>
      <w:r>
        <w:rPr>
          <w:rFonts w:ascii="Arial" w:hAnsi="Arial" w:cs="Arial"/>
          <w:sz w:val="20"/>
          <w:szCs w:val="24"/>
        </w:rPr>
        <w:t xml:space="preserve"> </w:t>
      </w:r>
    </w:p>
    <w:p>
      <w:pPr>
        <w:spacing w:after="120"/>
        <w:jc w:val="both"/>
        <w:rPr>
          <w:rFonts w:ascii="Arial" w:hAnsi="Arial" w:cs="Arial"/>
          <w:b/>
          <w:szCs w:val="24"/>
        </w:rPr>
      </w:pPr>
    </w:p>
    <w:p>
      <w:pPr>
        <w:widowControl w:val="0"/>
        <w:autoSpaceDE w:val="0"/>
        <w:autoSpaceDN w:val="0"/>
        <w:adjustRightInd w:val="0"/>
        <w:jc w:val="both"/>
        <w:rPr>
          <w:rFonts w:ascii="Arial" w:hAnsi="Arial" w:eastAsia="Calibri" w:cs="Arial"/>
        </w:rPr>
      </w:pPr>
    </w:p>
    <w:sectPr>
      <w:headerReference r:id="rId5" w:type="default"/>
      <w:footerReference r:id="rId6" w:type="default"/>
      <w:pgSz w:w="11907" w:h="16840"/>
      <w:pgMar w:top="1440" w:right="1080" w:bottom="1440" w:left="1080" w:header="284" w:footer="284"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IDFont+F1">
    <w:altName w:val="Segoe Print"/>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Arial" w:hAnsi="Arial" w:eastAsia="Calibri"/>
        <w:sz w:val="16"/>
      </w:rPr>
    </w:pPr>
    <w:r>
      <w:rPr>
        <w:rFonts w:ascii="Arial" w:hAnsi="Arial" w:eastAsia="Calibri"/>
        <w:sz w:val="16"/>
      </w:rPr>
      <w:fldChar w:fldCharType="begin"/>
    </w:r>
    <w:r>
      <w:rPr>
        <w:rFonts w:ascii="Arial" w:hAnsi="Arial" w:eastAsia="Calibri"/>
        <w:sz w:val="16"/>
      </w:rPr>
      <w:instrText xml:space="preserve"> PAGE   \* MERGEFORMAT </w:instrText>
    </w:r>
    <w:r>
      <w:rPr>
        <w:rFonts w:ascii="Arial" w:hAnsi="Arial" w:eastAsia="Calibri"/>
        <w:sz w:val="16"/>
      </w:rPr>
      <w:fldChar w:fldCharType="separate"/>
    </w:r>
    <w:r>
      <w:rPr>
        <w:rFonts w:ascii="Arial" w:hAnsi="Arial" w:eastAsia="Calibri"/>
        <w:sz w:val="16"/>
      </w:rPr>
      <w:t>23</w:t>
    </w:r>
    <w:r>
      <w:rPr>
        <w:rFonts w:ascii="Arial" w:hAnsi="Arial" w:eastAsia="Calibri"/>
        <w:sz w:val="16"/>
      </w:rPr>
      <w:fldChar w:fldCharType="end"/>
    </w:r>
  </w:p>
  <w:p>
    <w:pPr>
      <w:pStyle w:val="33"/>
      <w:jc w:val="center"/>
      <w:rPr>
        <w:rFonts w:ascii="Arial" w:hAnsi="Arial" w:eastAsia="Calibri"/>
        <w:color w:val="FF0000"/>
        <w:sz w:val="28"/>
        <w:vertAlign w:val="superscript"/>
      </w:rPr>
    </w:pPr>
    <w:r>
      <w:rPr>
        <w:rFonts w:ascii="Arial" w:hAnsi="Arial" w:eastAsia="Calibri"/>
        <w:sz w:val="28"/>
        <w:vertAlign w:val="superscript"/>
      </w:rPr>
      <w:t>Pregão Eletrônico nº 141/2023 – Processo nº 2004/2023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8"/>
        <w:snapToGrid w:val="0"/>
      </w:pPr>
      <w:r>
        <w:rPr>
          <w:rStyle w:val="17"/>
          <w:sz w:val="18"/>
          <w:szCs w:val="13"/>
        </w:rPr>
        <w:footnoteRef/>
      </w:r>
      <w:r>
        <w:rPr>
          <w:sz w:val="16"/>
          <w:szCs w:val="16"/>
        </w:rPr>
        <w:t xml:space="preserve"> https://leismunicipais.com.br/a/mt/p/primavera-do-leste/decreto/2023/237/2368/decreto-n-2368-2023-aprova-a-instrucao-normativa-scl-n-006-2017-que-dispoe-sobre-a-aplicacao-do-instituto-do-reequilibrio-economico-financeiro-dos-contratos-administrativos-e-da-outras-providencias-poder-executivo-municipal-de-primavera-do-leste-e-suas-autarquias  </w:t>
      </w:r>
    </w:p>
  </w:footnote>
  <w:footnote w:id="1">
    <w:p>
      <w:pPr>
        <w:pStyle w:val="38"/>
        <w:snapToGrid w:val="0"/>
      </w:pPr>
      <w:r>
        <w:rPr>
          <w:rStyle w:val="17"/>
          <w:sz w:val="18"/>
          <w:szCs w:val="13"/>
        </w:rPr>
        <w:footnoteRef/>
      </w:r>
      <w:r>
        <w:rPr>
          <w:sz w:val="16"/>
          <w:szCs w:val="16"/>
        </w:rPr>
        <w:t xml:space="preserve"> https://leismunicipais.com.br/a/mt/p/primavera-do-leste/decreto/2023/237/2368/decreto-n-2368-2023-aprova-a-instrucao-normativa-scl-n-006-2017-que-dispoe-sobre-a-aplicacao-do-instituto-do-reequilibrio-economico-financeiro-dos-contratos-administrativos-e-da-outras-providencias-poder-executivo-municipal-de-primavera-do-leste-e-suas-autarqui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487" w:type="dxa"/>
      <w:tblLayout w:type="fixed"/>
      <w:tblCellMar>
        <w:top w:w="0" w:type="dxa"/>
        <w:left w:w="108" w:type="dxa"/>
        <w:bottom w:w="0" w:type="dxa"/>
        <w:right w:w="108" w:type="dxa"/>
      </w:tblCellMar>
    </w:tblPr>
    <w:tblGrid>
      <w:gridCol w:w="2518"/>
      <w:gridCol w:w="5245"/>
      <w:gridCol w:w="1984"/>
    </w:tblGrid>
    <w:tr>
      <w:tblPrEx>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tcPr>
        <w:p>
          <w:pPr>
            <w:pStyle w:val="31"/>
            <w:tabs>
              <w:tab w:val="center" w:pos="4607"/>
              <w:tab w:val="right" w:pos="9214"/>
            </w:tabs>
            <w:rPr>
              <w:sz w:val="16"/>
            </w:rPr>
          </w:pPr>
          <w:r>
            <w:pict>
              <v:shape id="_x0000_s2050" o:spid="_x0000_s2050" o:spt="75" type="#_x0000_t75" style="position:absolute;left:0pt;margin-left:29.85pt;margin-top:5.8pt;height:64.8pt;width:57.6pt;mso-wrap-distance-left:9pt;mso-wrap-distance-right:9pt;z-index:-251653120;mso-width-relative:page;mso-height-relative:page;" o:ole="t" filled="f" o:preferrelative="t" stroked="f" coordsize="21600,21600" wrapcoords="21592 -2 0 0 0 21600 21592 21602 8 21602 21600 21600 21600 0 8 -2 21592 -2" o:allowincell="f">
                <v:path/>
                <v:fill on="f" focussize="0,0"/>
                <v:stroke on="f" joinstyle="miter"/>
                <v:imagedata r:id="rId2" o:title=""/>
                <o:lock v:ext="edit" aspectratio="t"/>
                <w10:wrap type="through"/>
              </v:shape>
              <o:OLEObject Type="Embed" ProgID="Word.Picture.8" ShapeID="_x0000_s2050" DrawAspect="Content" ObjectID="_1468075725" r:id="rId1">
                <o:LockedField>false</o:LockedField>
              </o:OLEObject>
            </w:pict>
          </w: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508750" cy="8435975"/>
                <wp:effectExtent l="0" t="0" r="6350" b="3175"/>
                <wp:wrapNone/>
                <wp:docPr id="29"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vAlign w:val="center"/>
        </w:tcPr>
        <w:p>
          <w:pPr>
            <w:pStyle w:val="2"/>
            <w:keepNext w:val="0"/>
            <w:widowControl w:val="0"/>
            <w:spacing w:before="0" w:after="120"/>
            <w:ind w:left="0"/>
            <w:jc w:val="center"/>
            <w:rPr>
              <w:sz w:val="28"/>
            </w:rPr>
          </w:pPr>
          <w:r>
            <w:rPr>
              <w:sz w:val="28"/>
            </w:rPr>
            <w:t>PREFEITURA MUNICIPAL DE PRIMAVERA DO LESTE</w:t>
          </w:r>
        </w:p>
        <w:p>
          <w:pPr>
            <w:pStyle w:val="31"/>
            <w:tabs>
              <w:tab w:val="center" w:pos="4607"/>
              <w:tab w:val="right" w:pos="9214"/>
            </w:tabs>
            <w:spacing w:after="120"/>
            <w:jc w:val="center"/>
            <w:rPr>
              <w:rFonts w:ascii="Arial" w:hAnsi="Arial" w:eastAsia="Calibri"/>
              <w:b/>
              <w:sz w:val="28"/>
            </w:rPr>
          </w:pPr>
          <w:r>
            <w:rPr>
              <w:rFonts w:ascii="Arial" w:hAnsi="Arial" w:eastAsia="Calibri"/>
              <w:b/>
              <w:sz w:val="28"/>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tcPr>
        <w:p>
          <w:pPr>
            <w:pStyle w:val="31"/>
            <w:tabs>
              <w:tab w:val="center" w:pos="4607"/>
              <w:tab w:val="right" w:pos="9214"/>
            </w:tabs>
            <w:rPr>
              <w:sz w:val="16"/>
            </w:rPr>
          </w:pPr>
        </w:p>
        <w:p>
          <w:pPr>
            <w:tabs>
              <w:tab w:val="left" w:pos="6725"/>
            </w:tabs>
            <w:ind w:right="-9"/>
            <w:jc w:val="center"/>
            <w:rPr>
              <w:rFonts w:ascii="Arial" w:hAnsi="Arial" w:eastAsia="Calibri"/>
              <w:b/>
              <w:sz w:val="16"/>
            </w:rPr>
          </w:pPr>
          <w:r>
            <w:rPr>
              <w:rFonts w:ascii="Arial" w:hAnsi="Arial" w:eastAsia="Calibri"/>
              <w:b/>
              <w:sz w:val="16"/>
            </w:rPr>
            <w:t>P.M. PVA DO LESTE</w:t>
          </w:r>
        </w:p>
        <w:p>
          <w:pPr>
            <w:tabs>
              <w:tab w:val="left" w:pos="6725"/>
            </w:tabs>
            <w:ind w:right="-9"/>
            <w:jc w:val="center"/>
            <w:rPr>
              <w:rFonts w:ascii="Arial" w:hAnsi="Arial" w:eastAsia="Calibri"/>
              <w:b/>
              <w:sz w:val="16"/>
            </w:rPr>
          </w:pPr>
          <w:r>
            <w:rPr>
              <w:rFonts w:ascii="Arial" w:hAnsi="Arial" w:eastAsia="Calibri"/>
              <w:b/>
              <w:sz w:val="16"/>
            </w:rPr>
            <w:t>C.P.L</w:t>
          </w:r>
        </w:p>
        <w:p>
          <w:pPr>
            <w:tabs>
              <w:tab w:val="left" w:pos="6725"/>
            </w:tabs>
            <w:spacing w:before="240" w:after="120"/>
            <w:ind w:right="-11"/>
            <w:jc w:val="center"/>
            <w:rPr>
              <w:rFonts w:ascii="Arial" w:hAnsi="Arial" w:eastAsia="Calibri"/>
              <w:b/>
              <w:sz w:val="16"/>
            </w:rPr>
          </w:pPr>
          <w:r>
            <w:rPr>
              <w:rFonts w:ascii="Arial" w:hAnsi="Arial" w:eastAsia="Calibri"/>
              <w:b/>
              <w:sz w:val="16"/>
            </w:rPr>
            <w:t>Fls. nº____________</w:t>
          </w:r>
        </w:p>
        <w:p>
          <w:pPr>
            <w:ind w:right="-9"/>
            <w:jc w:val="center"/>
            <w:rPr>
              <w:rFonts w:ascii="Arial" w:hAnsi="Arial" w:eastAsia="Calibri"/>
              <w:b/>
              <w:sz w:val="16"/>
            </w:rPr>
          </w:pPr>
        </w:p>
        <w:p>
          <w:pPr>
            <w:ind w:right="-9"/>
            <w:jc w:val="center"/>
            <w:rPr>
              <w:rFonts w:ascii="Arial" w:hAnsi="Arial" w:eastAsia="Calibri"/>
              <w:sz w:val="18"/>
            </w:rPr>
          </w:pPr>
          <w:r>
            <w:rPr>
              <w:rFonts w:ascii="Arial" w:hAnsi="Arial" w:eastAsia="Calibri"/>
              <w:b/>
              <w:sz w:val="16"/>
            </w:rPr>
            <w:t>Visto ____________</w:t>
          </w:r>
        </w:p>
      </w:tc>
    </w:tr>
  </w:tbl>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Layout w:type="fixed"/>
      <w:tblCellMar>
        <w:top w:w="0" w:type="dxa"/>
        <w:left w:w="108" w:type="dxa"/>
        <w:bottom w:w="0" w:type="dxa"/>
        <w:right w:w="108" w:type="dxa"/>
      </w:tblCellMar>
    </w:tblPr>
    <w:tblGrid>
      <w:gridCol w:w="2518"/>
      <w:gridCol w:w="5245"/>
      <w:gridCol w:w="1984"/>
    </w:tblGrid>
    <w:tr>
      <w:tblPrEx>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tcPr>
        <w:p>
          <w:pPr>
            <w:pStyle w:val="31"/>
            <w:tabs>
              <w:tab w:val="center" w:pos="4607"/>
              <w:tab w:val="right" w:pos="9214"/>
            </w:tabs>
            <w:rPr>
              <w:sz w:val="16"/>
            </w:rPr>
          </w:pPr>
          <w:r>
            <w:pict>
              <v:shape id="_x0000_s2049" o:spid="_x0000_s2049"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joinstyle="miter"/>
                <v:imagedata r:id="rId2" o:title=""/>
                <o:lock v:ext="edit" aspectratio="t"/>
                <w10:wrap type="through"/>
              </v:shape>
              <o:OLEObject Type="Embed" ProgID="Word.Picture.8" ShapeID="_x0000_s2049" DrawAspect="Content" ObjectID="_1468075726" r:id="rId1">
                <o:LockedField>false</o:LockedField>
              </o:OLEObject>
            </w:pict>
          </w: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vAlign w:val="center"/>
        </w:tcPr>
        <w:p>
          <w:pPr>
            <w:pStyle w:val="2"/>
            <w:keepNext w:val="0"/>
            <w:widowControl w:val="0"/>
            <w:spacing w:before="0" w:after="120"/>
            <w:ind w:left="0"/>
            <w:jc w:val="center"/>
            <w:rPr>
              <w:sz w:val="28"/>
            </w:rPr>
          </w:pPr>
          <w:r>
            <w:rPr>
              <w:sz w:val="28"/>
            </w:rPr>
            <w:t>PREFEITURA MUNICIPAL DE PRIMAVERA DO LESTE</w:t>
          </w:r>
        </w:p>
        <w:p>
          <w:pPr>
            <w:pStyle w:val="31"/>
            <w:tabs>
              <w:tab w:val="center" w:pos="4607"/>
              <w:tab w:val="right" w:pos="9214"/>
            </w:tabs>
            <w:spacing w:after="120"/>
            <w:jc w:val="center"/>
            <w:rPr>
              <w:rFonts w:ascii="Arial" w:hAnsi="Arial" w:eastAsia="Calibri"/>
              <w:b/>
              <w:sz w:val="28"/>
            </w:rPr>
          </w:pPr>
          <w:r>
            <w:rPr>
              <w:rFonts w:ascii="Arial" w:hAnsi="Arial" w:eastAsia="Calibri"/>
              <w:b/>
              <w:sz w:val="28"/>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tcPr>
        <w:p>
          <w:pPr>
            <w:pStyle w:val="31"/>
            <w:tabs>
              <w:tab w:val="center" w:pos="4607"/>
              <w:tab w:val="right" w:pos="9214"/>
            </w:tabs>
            <w:rPr>
              <w:sz w:val="16"/>
            </w:rPr>
          </w:pPr>
        </w:p>
        <w:p>
          <w:pPr>
            <w:tabs>
              <w:tab w:val="left" w:pos="6725"/>
            </w:tabs>
            <w:ind w:right="-9"/>
            <w:jc w:val="center"/>
            <w:rPr>
              <w:rFonts w:ascii="Arial" w:hAnsi="Arial" w:eastAsia="Calibri"/>
              <w:b/>
              <w:sz w:val="16"/>
            </w:rPr>
          </w:pPr>
          <w:r>
            <w:rPr>
              <w:rFonts w:ascii="Arial" w:hAnsi="Arial" w:eastAsia="Calibri"/>
              <w:b/>
              <w:sz w:val="16"/>
            </w:rPr>
            <w:t>P.M. PVA DO LESTE</w:t>
          </w:r>
        </w:p>
        <w:p>
          <w:pPr>
            <w:tabs>
              <w:tab w:val="left" w:pos="6725"/>
            </w:tabs>
            <w:ind w:right="-9"/>
            <w:jc w:val="center"/>
            <w:rPr>
              <w:rFonts w:ascii="Arial" w:hAnsi="Arial" w:eastAsia="Calibri"/>
              <w:b/>
              <w:sz w:val="16"/>
            </w:rPr>
          </w:pPr>
          <w:r>
            <w:rPr>
              <w:rFonts w:ascii="Arial" w:hAnsi="Arial" w:eastAsia="Calibri"/>
              <w:b/>
              <w:sz w:val="16"/>
            </w:rPr>
            <w:t>C.P.L</w:t>
          </w:r>
        </w:p>
        <w:p>
          <w:pPr>
            <w:tabs>
              <w:tab w:val="left" w:pos="6725"/>
            </w:tabs>
            <w:spacing w:before="240" w:after="120"/>
            <w:ind w:right="-11"/>
            <w:jc w:val="center"/>
            <w:rPr>
              <w:rFonts w:ascii="Arial" w:hAnsi="Arial" w:eastAsia="Calibri"/>
              <w:b/>
              <w:sz w:val="16"/>
            </w:rPr>
          </w:pPr>
          <w:r>
            <w:rPr>
              <w:rFonts w:ascii="Arial" w:hAnsi="Arial" w:eastAsia="Calibri"/>
              <w:b/>
              <w:sz w:val="16"/>
            </w:rPr>
            <w:t>Fls. nº____________</w:t>
          </w:r>
        </w:p>
        <w:p>
          <w:pPr>
            <w:ind w:right="-9"/>
            <w:jc w:val="center"/>
            <w:rPr>
              <w:rFonts w:ascii="Arial" w:hAnsi="Arial" w:eastAsia="Calibri"/>
              <w:b/>
              <w:sz w:val="16"/>
            </w:rPr>
          </w:pPr>
        </w:p>
        <w:p>
          <w:pPr>
            <w:ind w:right="-9"/>
            <w:jc w:val="center"/>
            <w:rPr>
              <w:rFonts w:ascii="Arial" w:hAnsi="Arial" w:eastAsia="Calibri"/>
              <w:sz w:val="18"/>
            </w:rPr>
          </w:pPr>
          <w:r>
            <w:rPr>
              <w:rFonts w:ascii="Arial" w:hAnsi="Arial" w:eastAsia="Calibri"/>
              <w:b/>
              <w:sz w:val="16"/>
            </w:rPr>
            <w:t>Visto ____________</w:t>
          </w:r>
        </w:p>
      </w:tc>
    </w:tr>
  </w:tbl>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8D9A9"/>
    <w:multiLevelType w:val="multilevel"/>
    <w:tmpl w:val="99F8D9A9"/>
    <w:lvl w:ilvl="0" w:tentative="0">
      <w:start w:val="13"/>
      <w:numFmt w:val="decimal"/>
      <w:suff w:val="space"/>
      <w:lvlText w:val="%1."/>
      <w:lvlJc w:val="left"/>
      <w:rPr>
        <w:rFonts w:hint="default"/>
        <w:u w:val="none"/>
      </w:rPr>
    </w:lvl>
    <w:lvl w:ilvl="1" w:tentative="0">
      <w:start w:val="1"/>
      <w:numFmt w:val="decimal"/>
      <w:suff w:val="space"/>
      <w:lvlText w:val="%1.%2."/>
      <w:lvlJc w:val="left"/>
      <w:pPr>
        <w:ind w:left="0" w:firstLine="0"/>
      </w:pPr>
      <w:rPr>
        <w:rFonts w:hint="default"/>
        <w:u w:val="none"/>
      </w:rPr>
    </w:lvl>
    <w:lvl w:ilvl="2" w:tentative="0">
      <w:start w:val="1"/>
      <w:numFmt w:val="decimal"/>
      <w:suff w:val="space"/>
      <w:lvlText w:val="%1.%2.%3."/>
      <w:lvlJc w:val="left"/>
      <w:pPr>
        <w:ind w:left="0" w:firstLine="0"/>
      </w:pPr>
      <w:rPr>
        <w:rFonts w:hint="default"/>
        <w:u w:val="none"/>
      </w:rPr>
    </w:lvl>
    <w:lvl w:ilvl="3" w:tentative="0">
      <w:start w:val="1"/>
      <w:numFmt w:val="decimal"/>
      <w:suff w:val="space"/>
      <w:lvlText w:val="%1.%2.%3.%4."/>
      <w:lvlJc w:val="left"/>
      <w:pPr>
        <w:ind w:left="0" w:firstLine="0"/>
      </w:pPr>
      <w:rPr>
        <w:rFonts w:hint="default"/>
        <w:u w:val="none"/>
      </w:rPr>
    </w:lvl>
    <w:lvl w:ilvl="4" w:tentative="0">
      <w:start w:val="1"/>
      <w:numFmt w:val="decimal"/>
      <w:suff w:val="space"/>
      <w:lvlText w:val="%1.%2.%3.%4.%5."/>
      <w:lvlJc w:val="left"/>
      <w:pPr>
        <w:ind w:left="0" w:firstLine="0"/>
      </w:pPr>
      <w:rPr>
        <w:rFonts w:hint="default"/>
        <w:u w:val="none"/>
      </w:rPr>
    </w:lvl>
    <w:lvl w:ilvl="5" w:tentative="0">
      <w:start w:val="1"/>
      <w:numFmt w:val="decimal"/>
      <w:suff w:val="space"/>
      <w:lvlText w:val="%1.%2.%3.%4.%5.%6."/>
      <w:lvlJc w:val="left"/>
      <w:pPr>
        <w:ind w:left="0" w:firstLine="0"/>
      </w:pPr>
      <w:rPr>
        <w:rFonts w:hint="default"/>
        <w:u w:val="none"/>
      </w:rPr>
    </w:lvl>
    <w:lvl w:ilvl="6" w:tentative="0">
      <w:start w:val="1"/>
      <w:numFmt w:val="decimal"/>
      <w:suff w:val="space"/>
      <w:lvlText w:val="%1.%2.%3.%4.%5.%6.%7."/>
      <w:lvlJc w:val="left"/>
      <w:pPr>
        <w:ind w:left="0" w:firstLine="0"/>
      </w:pPr>
      <w:rPr>
        <w:rFonts w:hint="default"/>
        <w:u w:val="none"/>
      </w:rPr>
    </w:lvl>
    <w:lvl w:ilvl="7" w:tentative="0">
      <w:start w:val="1"/>
      <w:numFmt w:val="decimal"/>
      <w:suff w:val="space"/>
      <w:lvlText w:val="%1.%2.%3.%4.%5.%6.%7.%8."/>
      <w:lvlJc w:val="left"/>
      <w:pPr>
        <w:ind w:left="0" w:firstLine="0"/>
      </w:pPr>
      <w:rPr>
        <w:rFonts w:hint="default"/>
        <w:u w:val="none"/>
      </w:rPr>
    </w:lvl>
    <w:lvl w:ilvl="8" w:tentative="0">
      <w:start w:val="1"/>
      <w:numFmt w:val="decimal"/>
      <w:suff w:val="space"/>
      <w:lvlText w:val="%1.%2.%3.%4.%5.%6.%7.%8.%9."/>
      <w:lvlJc w:val="left"/>
      <w:pPr>
        <w:ind w:left="0" w:firstLine="0"/>
      </w:pPr>
      <w:rPr>
        <w:rFonts w:hint="default"/>
        <w:u w:val="none"/>
      </w:rPr>
    </w:lvl>
  </w:abstractNum>
  <w:abstractNum w:abstractNumId="1">
    <w:nsid w:val="C8974066"/>
    <w:multiLevelType w:val="singleLevel"/>
    <w:tmpl w:val="C8974066"/>
    <w:lvl w:ilvl="0" w:tentative="0">
      <w:start w:val="10"/>
      <w:numFmt w:val="upperLetter"/>
      <w:suff w:val="space"/>
      <w:lvlText w:val="%1)"/>
      <w:lvlJc w:val="left"/>
      <w:rPr>
        <w:rFonts w:hint="default"/>
        <w:b/>
        <w:bCs/>
      </w:rPr>
    </w:lvl>
  </w:abstractNum>
  <w:abstractNum w:abstractNumId="2">
    <w:nsid w:val="E00F52AB"/>
    <w:multiLevelType w:val="multilevel"/>
    <w:tmpl w:val="E00F52AB"/>
    <w:lvl w:ilvl="0" w:tentative="0">
      <w:start w:val="3"/>
      <w:numFmt w:val="decimal"/>
      <w:suff w:val="space"/>
      <w:lvlText w:val="%1."/>
      <w:lvlJc w:val="left"/>
      <w:rPr>
        <w:rFonts w:hint="default"/>
        <w:u w:val="none"/>
      </w:rPr>
    </w:lvl>
    <w:lvl w:ilvl="1" w:tentative="0">
      <w:start w:val="1"/>
      <w:numFmt w:val="decimal"/>
      <w:suff w:val="space"/>
      <w:lvlText w:val="%1.%2."/>
      <w:lvlJc w:val="left"/>
      <w:pPr>
        <w:ind w:left="0" w:firstLine="0"/>
      </w:pPr>
      <w:rPr>
        <w:rFonts w:hint="default"/>
        <w:u w:val="none"/>
      </w:rPr>
    </w:lvl>
    <w:lvl w:ilvl="2" w:tentative="0">
      <w:start w:val="1"/>
      <w:numFmt w:val="decimal"/>
      <w:suff w:val="space"/>
      <w:lvlText w:val="%1.%2.%3."/>
      <w:lvlJc w:val="left"/>
      <w:pPr>
        <w:ind w:left="0" w:firstLine="0"/>
      </w:pPr>
      <w:rPr>
        <w:rFonts w:hint="default"/>
        <w:u w:val="none"/>
      </w:rPr>
    </w:lvl>
    <w:lvl w:ilvl="3" w:tentative="0">
      <w:start w:val="1"/>
      <w:numFmt w:val="decimal"/>
      <w:suff w:val="space"/>
      <w:lvlText w:val="%1.%2.%3.%4."/>
      <w:lvlJc w:val="left"/>
      <w:pPr>
        <w:ind w:left="0" w:firstLine="0"/>
      </w:pPr>
      <w:rPr>
        <w:rFonts w:hint="default"/>
        <w:u w:val="none"/>
      </w:rPr>
    </w:lvl>
    <w:lvl w:ilvl="4" w:tentative="0">
      <w:start w:val="1"/>
      <w:numFmt w:val="decimal"/>
      <w:suff w:val="space"/>
      <w:lvlText w:val="%1.%2.%3.%4.%5."/>
      <w:lvlJc w:val="left"/>
      <w:pPr>
        <w:ind w:left="0" w:firstLine="0"/>
      </w:pPr>
      <w:rPr>
        <w:rFonts w:hint="default"/>
        <w:u w:val="none"/>
      </w:rPr>
    </w:lvl>
    <w:lvl w:ilvl="5" w:tentative="0">
      <w:start w:val="1"/>
      <w:numFmt w:val="decimal"/>
      <w:suff w:val="space"/>
      <w:lvlText w:val="%1.%2.%3.%4.%5.%6."/>
      <w:lvlJc w:val="left"/>
      <w:pPr>
        <w:ind w:left="0" w:firstLine="0"/>
      </w:pPr>
      <w:rPr>
        <w:rFonts w:hint="default"/>
        <w:u w:val="none"/>
      </w:rPr>
    </w:lvl>
    <w:lvl w:ilvl="6" w:tentative="0">
      <w:start w:val="1"/>
      <w:numFmt w:val="decimal"/>
      <w:suff w:val="space"/>
      <w:lvlText w:val="%1.%2.%3.%4.%5.%6.%7."/>
      <w:lvlJc w:val="left"/>
      <w:pPr>
        <w:ind w:left="0" w:firstLine="0"/>
      </w:pPr>
      <w:rPr>
        <w:rFonts w:hint="default"/>
        <w:u w:val="none"/>
      </w:rPr>
    </w:lvl>
    <w:lvl w:ilvl="7" w:tentative="0">
      <w:start w:val="1"/>
      <w:numFmt w:val="decimal"/>
      <w:suff w:val="space"/>
      <w:lvlText w:val="%1.%2.%3.%4.%5.%6.%7.%8."/>
      <w:lvlJc w:val="left"/>
      <w:pPr>
        <w:ind w:left="0" w:firstLine="0"/>
      </w:pPr>
      <w:rPr>
        <w:rFonts w:hint="default"/>
        <w:u w:val="none"/>
      </w:rPr>
    </w:lvl>
    <w:lvl w:ilvl="8" w:tentative="0">
      <w:start w:val="1"/>
      <w:numFmt w:val="decimal"/>
      <w:suff w:val="space"/>
      <w:lvlText w:val="%1.%2.%3.%4.%5.%6.%7.%8.%9."/>
      <w:lvlJc w:val="left"/>
      <w:pPr>
        <w:ind w:left="0" w:firstLine="0"/>
      </w:pPr>
      <w:rPr>
        <w:rFonts w:hint="default"/>
        <w:u w:val="none"/>
      </w:rPr>
    </w:lvl>
  </w:abstractNum>
  <w:abstractNum w:abstractNumId="3">
    <w:nsid w:val="E1BC5B4B"/>
    <w:multiLevelType w:val="multilevel"/>
    <w:tmpl w:val="E1BC5B4B"/>
    <w:lvl w:ilvl="0" w:tentative="0">
      <w:start w:val="2"/>
      <w:numFmt w:val="decimal"/>
      <w:suff w:val="space"/>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FAB60F81"/>
    <w:multiLevelType w:val="multilevel"/>
    <w:tmpl w:val="FAB60F81"/>
    <w:lvl w:ilvl="0" w:tentative="0">
      <w:start w:val="1"/>
      <w:numFmt w:val="decimal"/>
      <w:pStyle w:val="40"/>
      <w:lvlText w:val="%1."/>
      <w:lvlJc w:val="left"/>
      <w:pPr>
        <w:tabs>
          <w:tab w:val="left" w:pos="360"/>
        </w:tabs>
        <w:ind w:left="360" w:hanging="360"/>
      </w:pPr>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5">
    <w:nsid w:val="FBB27038"/>
    <w:multiLevelType w:val="multilevel"/>
    <w:tmpl w:val="FBB27038"/>
    <w:lvl w:ilvl="0" w:tentative="0">
      <w:start w:val="1"/>
      <w:numFmt w:val="lowerLetter"/>
      <w:lvlText w:val="%1)"/>
      <w:lvlJc w:val="left"/>
      <w:pPr>
        <w:tabs>
          <w:tab w:val="left" w:pos="425"/>
        </w:tabs>
        <w:ind w:left="425" w:hanging="425"/>
      </w:pPr>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6">
    <w:nsid w:val="057D7A5E"/>
    <w:multiLevelType w:val="multilevel"/>
    <w:tmpl w:val="057D7A5E"/>
    <w:lvl w:ilvl="0" w:tentative="0">
      <w:start w:val="9"/>
      <w:numFmt w:val="decimal"/>
      <w:suff w:val="space"/>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1D5C100D"/>
    <w:multiLevelType w:val="multilevel"/>
    <w:tmpl w:val="1D5C100D"/>
    <w:lvl w:ilvl="0" w:tentative="0">
      <w:start w:val="1"/>
      <w:numFmt w:val="decimal"/>
      <w:pStyle w:val="78"/>
      <w:lvlText w:val="%1."/>
      <w:lvlJc w:val="left"/>
      <w:pPr>
        <w:ind w:left="360" w:hanging="360"/>
      </w:pPr>
      <w:rPr>
        <w:rFonts w:hint="default" w:ascii="Arial" w:hAnsi="Arial" w:eastAsia="SimSun"/>
        <w:b/>
        <w:u w:val="none"/>
      </w:rPr>
    </w:lvl>
    <w:lvl w:ilvl="1" w:tentative="0">
      <w:start w:val="1"/>
      <w:numFmt w:val="decimal"/>
      <w:pStyle w:val="196"/>
      <w:lvlText w:val="%1.%2."/>
      <w:lvlJc w:val="left"/>
      <w:pPr>
        <w:ind w:left="1141" w:hanging="432"/>
      </w:pPr>
      <w:rPr>
        <w:rFonts w:hint="default"/>
        <w:u w:val="none"/>
      </w:rPr>
    </w:lvl>
    <w:lvl w:ilvl="2" w:tentative="0">
      <w:start w:val="1"/>
      <w:numFmt w:val="decimal"/>
      <w:pStyle w:val="195"/>
      <w:lvlText w:val="%1.%2.%3"/>
      <w:lvlJc w:val="left"/>
      <w:pPr>
        <w:ind w:left="1922" w:hanging="504"/>
      </w:pPr>
      <w:rPr>
        <w:rFonts w:hint="default" w:ascii="Arial" w:hAnsi="Arial" w:eastAsia="Times New Roman"/>
        <w:color w:val="auto"/>
        <w:u w:val="none"/>
      </w:rPr>
    </w:lvl>
    <w:lvl w:ilvl="3" w:tentative="0">
      <w:start w:val="1"/>
      <w:numFmt w:val="decimal"/>
      <w:pStyle w:val="194"/>
      <w:lvlText w:val="%1.%2.%3.%4."/>
      <w:lvlJc w:val="left"/>
      <w:pPr>
        <w:ind w:left="1728" w:hanging="648"/>
      </w:pPr>
      <w:rPr>
        <w:rFonts w:hint="default"/>
        <w:u w:val="none"/>
      </w:rPr>
    </w:lvl>
    <w:lvl w:ilvl="4" w:tentative="0">
      <w:start w:val="1"/>
      <w:numFmt w:val="decimal"/>
      <w:lvlText w:val="%1.%2.%3.%4.%5."/>
      <w:lvlJc w:val="left"/>
      <w:pPr>
        <w:ind w:left="2232" w:hanging="792"/>
      </w:pPr>
      <w:rPr>
        <w:rFonts w:hint="default"/>
        <w:u w:val="none"/>
      </w:rPr>
    </w:lvl>
    <w:lvl w:ilvl="5" w:tentative="0">
      <w:start w:val="1"/>
      <w:numFmt w:val="decimal"/>
      <w:lvlText w:val="%1.%2.%3.%4.%5.%6."/>
      <w:lvlJc w:val="left"/>
      <w:pPr>
        <w:ind w:left="2736" w:hanging="936"/>
      </w:pPr>
      <w:rPr>
        <w:rFonts w:hint="default"/>
        <w:u w:val="none"/>
      </w:rPr>
    </w:lvl>
    <w:lvl w:ilvl="6" w:tentative="0">
      <w:start w:val="1"/>
      <w:numFmt w:val="decimal"/>
      <w:lvlText w:val="%1.%2.%3.%4.%5.%6.%7."/>
      <w:lvlJc w:val="left"/>
      <w:pPr>
        <w:ind w:left="3240" w:hanging="1080"/>
      </w:pPr>
      <w:rPr>
        <w:rFonts w:hint="default"/>
        <w:u w:val="none"/>
      </w:rPr>
    </w:lvl>
    <w:lvl w:ilvl="7" w:tentative="0">
      <w:start w:val="1"/>
      <w:numFmt w:val="decimal"/>
      <w:lvlText w:val="%1.%2.%3.%4.%5.%6.%7.%8."/>
      <w:lvlJc w:val="left"/>
      <w:pPr>
        <w:ind w:left="3744" w:hanging="1224"/>
      </w:pPr>
      <w:rPr>
        <w:rFonts w:hint="default"/>
        <w:u w:val="none"/>
      </w:rPr>
    </w:lvl>
    <w:lvl w:ilvl="8" w:tentative="0">
      <w:start w:val="1"/>
      <w:numFmt w:val="decimal"/>
      <w:lvlText w:val="%1.%2.%3.%4.%5.%6.%7.%8.%9."/>
      <w:lvlJc w:val="left"/>
      <w:pPr>
        <w:ind w:left="4320" w:hanging="1440"/>
      </w:pPr>
      <w:rPr>
        <w:rFonts w:hint="default"/>
        <w:u w:val="none"/>
      </w:rPr>
    </w:lvl>
  </w:abstractNum>
  <w:abstractNum w:abstractNumId="8">
    <w:nsid w:val="243F3BF3"/>
    <w:multiLevelType w:val="multilevel"/>
    <w:tmpl w:val="243F3BF3"/>
    <w:lvl w:ilvl="0" w:tentative="0">
      <w:start w:val="1"/>
      <w:numFmt w:val="lowerLetter"/>
      <w:lvlText w:val="%1)"/>
      <w:lvlJc w:val="left"/>
      <w:pPr>
        <w:tabs>
          <w:tab w:val="left" w:pos="502"/>
        </w:tabs>
        <w:ind w:left="502" w:hanging="360"/>
      </w:pPr>
      <w:rPr>
        <w:rFonts w:hint="default"/>
        <w:b/>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9">
    <w:nsid w:val="264611C5"/>
    <w:multiLevelType w:val="multilevel"/>
    <w:tmpl w:val="264611C5"/>
    <w:lvl w:ilvl="0" w:tentative="0">
      <w:start w:val="3"/>
      <w:numFmt w:val="decimal"/>
      <w:lvlText w:val="%1."/>
      <w:lvlJc w:val="left"/>
      <w:pPr>
        <w:ind w:left="360" w:hanging="360"/>
      </w:pPr>
      <w:rPr>
        <w:rFonts w:hint="default"/>
        <w:b/>
        <w:color w:val="auto"/>
        <w:sz w:val="24"/>
        <w:u w:val="none"/>
      </w:rPr>
    </w:lvl>
    <w:lvl w:ilvl="1" w:tentative="0">
      <w:start w:val="1"/>
      <w:numFmt w:val="decimal"/>
      <w:lvlText w:val="%1.%2."/>
      <w:lvlJc w:val="left"/>
      <w:pPr>
        <w:ind w:left="1584" w:hanging="360"/>
      </w:pPr>
      <w:rPr>
        <w:rFonts w:hint="default"/>
        <w:b/>
        <w:color w:val="auto"/>
        <w:sz w:val="24"/>
        <w:u w:val="none"/>
      </w:rPr>
    </w:lvl>
    <w:lvl w:ilvl="2" w:tentative="0">
      <w:start w:val="1"/>
      <w:numFmt w:val="decimal"/>
      <w:lvlText w:val="%1.%2.%3."/>
      <w:lvlJc w:val="left"/>
      <w:pPr>
        <w:ind w:left="3168" w:hanging="720"/>
      </w:pPr>
      <w:rPr>
        <w:rFonts w:hint="default"/>
        <w:b/>
        <w:color w:val="auto"/>
        <w:sz w:val="24"/>
        <w:u w:val="none"/>
      </w:rPr>
    </w:lvl>
    <w:lvl w:ilvl="3" w:tentative="0">
      <w:start w:val="1"/>
      <w:numFmt w:val="decimal"/>
      <w:lvlText w:val="%1.%2.%3.%4."/>
      <w:lvlJc w:val="left"/>
      <w:pPr>
        <w:ind w:left="4392" w:hanging="720"/>
      </w:pPr>
      <w:rPr>
        <w:rFonts w:hint="default"/>
        <w:b/>
        <w:u w:val="none"/>
      </w:rPr>
    </w:lvl>
    <w:lvl w:ilvl="4" w:tentative="0">
      <w:start w:val="1"/>
      <w:numFmt w:val="decimal"/>
      <w:lvlText w:val="%1.%2.%3.%4.%5."/>
      <w:lvlJc w:val="left"/>
      <w:pPr>
        <w:ind w:left="5976" w:hanging="1080"/>
      </w:pPr>
      <w:rPr>
        <w:rFonts w:hint="default"/>
        <w:b/>
        <w:u w:val="none"/>
      </w:rPr>
    </w:lvl>
    <w:lvl w:ilvl="5" w:tentative="0">
      <w:start w:val="1"/>
      <w:numFmt w:val="decimal"/>
      <w:lvlText w:val="%1.%2.%3.%4.%5.%6."/>
      <w:lvlJc w:val="left"/>
      <w:pPr>
        <w:ind w:left="7200" w:hanging="1080"/>
      </w:pPr>
      <w:rPr>
        <w:rFonts w:hint="default"/>
        <w:b/>
        <w:u w:val="none"/>
      </w:rPr>
    </w:lvl>
    <w:lvl w:ilvl="6" w:tentative="0">
      <w:start w:val="1"/>
      <w:numFmt w:val="decimal"/>
      <w:lvlText w:val="%1.%2.%3.%4.%5.%6.%7."/>
      <w:lvlJc w:val="left"/>
      <w:pPr>
        <w:ind w:left="8784" w:hanging="1440"/>
      </w:pPr>
      <w:rPr>
        <w:rFonts w:hint="default"/>
        <w:b/>
        <w:u w:val="none"/>
      </w:rPr>
    </w:lvl>
    <w:lvl w:ilvl="7" w:tentative="0">
      <w:start w:val="1"/>
      <w:numFmt w:val="decimal"/>
      <w:lvlText w:val="%1.%2.%3.%4.%5.%6.%7.%8."/>
      <w:lvlJc w:val="left"/>
      <w:pPr>
        <w:ind w:left="10008" w:hanging="1440"/>
      </w:pPr>
      <w:rPr>
        <w:rFonts w:hint="default"/>
        <w:b/>
        <w:u w:val="none"/>
      </w:rPr>
    </w:lvl>
    <w:lvl w:ilvl="8" w:tentative="0">
      <w:start w:val="1"/>
      <w:numFmt w:val="decimal"/>
      <w:lvlText w:val="%1.%2.%3.%4.%5.%6.%7.%8.%9."/>
      <w:lvlJc w:val="left"/>
      <w:pPr>
        <w:ind w:left="11592" w:hanging="1800"/>
      </w:pPr>
      <w:rPr>
        <w:rFonts w:hint="default"/>
        <w:b/>
        <w:u w:val="none"/>
      </w:rPr>
    </w:lvl>
  </w:abstractNum>
  <w:abstractNum w:abstractNumId="10">
    <w:nsid w:val="2EA070EE"/>
    <w:multiLevelType w:val="multilevel"/>
    <w:tmpl w:val="2EA070EE"/>
    <w:lvl w:ilvl="0" w:tentative="0">
      <w:start w:val="1"/>
      <w:numFmt w:val="decimal"/>
      <w:suff w:val="nothing"/>
      <w:lvlText w:val="%1."/>
      <w:lvlJc w:val="left"/>
      <w:rPr>
        <w:rFonts w:hint="default"/>
        <w:b/>
        <w:u w:val="none"/>
      </w:rPr>
    </w:lvl>
    <w:lvl w:ilvl="1" w:tentative="0">
      <w:start w:val="1"/>
      <w:numFmt w:val="decimal"/>
      <w:pStyle w:val="122"/>
      <w:lvlText w:val="%1.%2."/>
      <w:lvlJc w:val="left"/>
      <w:pPr>
        <w:tabs>
          <w:tab w:val="left" w:pos="360"/>
        </w:tabs>
      </w:pPr>
      <w:rPr>
        <w:rFonts w:hint="eastAsia" w:ascii="Times New Roman" w:hAnsi="Times New Roman" w:eastAsia="Times New Roman"/>
        <w:b/>
        <w:sz w:val="24"/>
        <w:u w:val="none"/>
      </w:rPr>
    </w:lvl>
    <w:lvl w:ilvl="2" w:tentative="0">
      <w:start w:val="1"/>
      <w:numFmt w:val="decimal"/>
      <w:lvlText w:val="%1.%2.%3."/>
      <w:lvlJc w:val="left"/>
      <w:pPr>
        <w:tabs>
          <w:tab w:val="left" w:pos="1854"/>
        </w:tabs>
        <w:ind w:left="1134"/>
      </w:pPr>
      <w:rPr>
        <w:rFonts w:hint="default"/>
        <w:b/>
        <w:u w:val="none"/>
      </w:rPr>
    </w:lvl>
    <w:lvl w:ilvl="3" w:tentative="0">
      <w:start w:val="1"/>
      <w:numFmt w:val="decimal"/>
      <w:lvlText w:val="%1.%2.%3.%4."/>
      <w:lvlJc w:val="left"/>
      <w:pPr>
        <w:tabs>
          <w:tab w:val="left" w:pos="2138"/>
        </w:tabs>
        <w:ind w:left="1418"/>
      </w:pPr>
      <w:rPr>
        <w:rFonts w:hint="default"/>
        <w:b/>
        <w:u w:val="none"/>
      </w:rPr>
    </w:lvl>
    <w:lvl w:ilvl="4" w:tentative="0">
      <w:start w:val="1"/>
      <w:numFmt w:val="decimal"/>
      <w:lvlText w:val="%1.%2.%3.%4.%5."/>
      <w:lvlJc w:val="left"/>
      <w:pPr>
        <w:tabs>
          <w:tab w:val="left" w:pos="3240"/>
        </w:tabs>
        <w:ind w:left="2232" w:hanging="792"/>
      </w:pPr>
      <w:rPr>
        <w:rFonts w:hint="default"/>
        <w:u w:val="none"/>
      </w:rPr>
    </w:lvl>
    <w:lvl w:ilvl="5" w:tentative="0">
      <w:start w:val="1"/>
      <w:numFmt w:val="decimal"/>
      <w:lvlText w:val="%1.%2.%3.%4.%5.%6."/>
      <w:lvlJc w:val="left"/>
      <w:pPr>
        <w:tabs>
          <w:tab w:val="left" w:pos="3960"/>
        </w:tabs>
        <w:ind w:left="2736" w:hanging="936"/>
      </w:pPr>
      <w:rPr>
        <w:rFonts w:hint="default"/>
        <w:u w:val="none"/>
      </w:rPr>
    </w:lvl>
    <w:lvl w:ilvl="6" w:tentative="0">
      <w:start w:val="1"/>
      <w:numFmt w:val="decimal"/>
      <w:lvlText w:val="%1.%2.%3.%4.%5.%6.%7."/>
      <w:lvlJc w:val="left"/>
      <w:pPr>
        <w:tabs>
          <w:tab w:val="left" w:pos="4680"/>
        </w:tabs>
        <w:ind w:left="3240" w:hanging="1080"/>
      </w:pPr>
      <w:rPr>
        <w:rFonts w:hint="default"/>
        <w:u w:val="none"/>
      </w:rPr>
    </w:lvl>
    <w:lvl w:ilvl="7" w:tentative="0">
      <w:start w:val="1"/>
      <w:numFmt w:val="decimal"/>
      <w:lvlText w:val="%1.%2.%3.%4.%5.%6.%7.%8."/>
      <w:lvlJc w:val="left"/>
      <w:pPr>
        <w:tabs>
          <w:tab w:val="left" w:pos="5400"/>
        </w:tabs>
        <w:ind w:left="3744" w:hanging="1224"/>
      </w:pPr>
      <w:rPr>
        <w:rFonts w:hint="default"/>
        <w:u w:val="none"/>
      </w:rPr>
    </w:lvl>
    <w:lvl w:ilvl="8" w:tentative="0">
      <w:start w:val="1"/>
      <w:numFmt w:val="decimal"/>
      <w:lvlText w:val="%1.%2.%3.%4.%5.%6.%7.%8.%9."/>
      <w:lvlJc w:val="left"/>
      <w:pPr>
        <w:tabs>
          <w:tab w:val="left" w:pos="6120"/>
        </w:tabs>
        <w:ind w:left="4320" w:hanging="1440"/>
      </w:pPr>
      <w:rPr>
        <w:rFonts w:hint="default"/>
        <w:u w:val="none"/>
      </w:rPr>
    </w:lvl>
  </w:abstractNum>
  <w:abstractNum w:abstractNumId="11">
    <w:nsid w:val="4C1BAE26"/>
    <w:multiLevelType w:val="multilevel"/>
    <w:tmpl w:val="4C1BAE26"/>
    <w:lvl w:ilvl="0" w:tentative="0">
      <w:start w:val="1"/>
      <w:numFmt w:val="decimal"/>
      <w:lvlText w:val="%1."/>
      <w:lvlJc w:val="left"/>
      <w:pPr>
        <w:ind w:left="457" w:hanging="245"/>
      </w:pPr>
      <w:rPr>
        <w:rFonts w:hint="default" w:ascii="Arial" w:hAnsi="Arial" w:cs="Arial"/>
        <w:b/>
        <w:spacing w:val="-1"/>
        <w:sz w:val="22"/>
        <w:szCs w:val="22"/>
        <w:u w:val="none"/>
        <w:lang w:val="pt-PT" w:eastAsia="en-US" w:bidi="ar-SA"/>
      </w:rPr>
    </w:lvl>
    <w:lvl w:ilvl="1" w:tentative="0">
      <w:start w:val="1"/>
      <w:numFmt w:val="decimal"/>
      <w:lvlText w:val="%1.%2"/>
      <w:lvlJc w:val="left"/>
      <w:pPr>
        <w:ind w:left="580" w:hanging="368"/>
      </w:pPr>
      <w:rPr>
        <w:rFonts w:hint="default" w:ascii="Arial" w:hAnsi="Arial" w:cs="Arial"/>
        <w:b/>
        <w:spacing w:val="-1"/>
        <w:sz w:val="22"/>
        <w:szCs w:val="22"/>
        <w:u w:val="none"/>
        <w:lang w:val="pt-PT" w:eastAsia="en-US" w:bidi="ar-SA"/>
      </w:rPr>
    </w:lvl>
    <w:lvl w:ilvl="2" w:tentative="0">
      <w:start w:val="0"/>
      <w:numFmt w:val="bullet"/>
      <w:lvlText w:val="•"/>
      <w:lvlJc w:val="left"/>
      <w:pPr>
        <w:ind w:left="1620" w:hanging="368"/>
      </w:pPr>
      <w:rPr>
        <w:rFonts w:hint="default"/>
        <w:u w:val="none"/>
        <w:lang w:val="pt-PT" w:eastAsia="en-US" w:bidi="ar-SA"/>
      </w:rPr>
    </w:lvl>
    <w:lvl w:ilvl="3" w:tentative="0">
      <w:start w:val="0"/>
      <w:numFmt w:val="bullet"/>
      <w:lvlText w:val="•"/>
      <w:lvlJc w:val="left"/>
      <w:pPr>
        <w:ind w:left="2661" w:hanging="368"/>
      </w:pPr>
      <w:rPr>
        <w:rFonts w:hint="default"/>
        <w:u w:val="none"/>
        <w:lang w:val="pt-PT" w:eastAsia="en-US" w:bidi="ar-SA"/>
      </w:rPr>
    </w:lvl>
    <w:lvl w:ilvl="4" w:tentative="0">
      <w:start w:val="0"/>
      <w:numFmt w:val="bullet"/>
      <w:lvlText w:val="•"/>
      <w:lvlJc w:val="left"/>
      <w:pPr>
        <w:ind w:left="3702" w:hanging="368"/>
      </w:pPr>
      <w:rPr>
        <w:rFonts w:hint="default"/>
        <w:u w:val="none"/>
        <w:lang w:val="pt-PT" w:eastAsia="en-US" w:bidi="ar-SA"/>
      </w:rPr>
    </w:lvl>
    <w:lvl w:ilvl="5" w:tentative="0">
      <w:start w:val="0"/>
      <w:numFmt w:val="bullet"/>
      <w:lvlText w:val="•"/>
      <w:lvlJc w:val="left"/>
      <w:pPr>
        <w:ind w:left="4742" w:hanging="368"/>
      </w:pPr>
      <w:rPr>
        <w:rFonts w:hint="default"/>
        <w:u w:val="none"/>
        <w:lang w:val="pt-PT" w:eastAsia="en-US" w:bidi="ar-SA"/>
      </w:rPr>
    </w:lvl>
    <w:lvl w:ilvl="6" w:tentative="0">
      <w:start w:val="0"/>
      <w:numFmt w:val="bullet"/>
      <w:lvlText w:val="•"/>
      <w:lvlJc w:val="left"/>
      <w:pPr>
        <w:ind w:left="5783" w:hanging="368"/>
      </w:pPr>
      <w:rPr>
        <w:rFonts w:hint="default"/>
        <w:u w:val="none"/>
        <w:lang w:val="pt-PT" w:eastAsia="en-US" w:bidi="ar-SA"/>
      </w:rPr>
    </w:lvl>
    <w:lvl w:ilvl="7" w:tentative="0">
      <w:start w:val="0"/>
      <w:numFmt w:val="bullet"/>
      <w:lvlText w:val="•"/>
      <w:lvlJc w:val="left"/>
      <w:pPr>
        <w:ind w:left="6824" w:hanging="368"/>
      </w:pPr>
      <w:rPr>
        <w:rFonts w:hint="default"/>
        <w:u w:val="none"/>
        <w:lang w:val="pt-PT" w:eastAsia="en-US" w:bidi="ar-SA"/>
      </w:rPr>
    </w:lvl>
    <w:lvl w:ilvl="8" w:tentative="0">
      <w:start w:val="0"/>
      <w:numFmt w:val="bullet"/>
      <w:lvlText w:val="•"/>
      <w:lvlJc w:val="left"/>
      <w:pPr>
        <w:ind w:left="7864" w:hanging="368"/>
      </w:pPr>
      <w:rPr>
        <w:rFonts w:hint="default"/>
        <w:u w:val="none"/>
        <w:lang w:val="pt-PT" w:eastAsia="en-US" w:bidi="ar-SA"/>
      </w:rPr>
    </w:lvl>
  </w:abstractNum>
  <w:abstractNum w:abstractNumId="12">
    <w:nsid w:val="4DF962E7"/>
    <w:multiLevelType w:val="singleLevel"/>
    <w:tmpl w:val="4DF962E7"/>
    <w:lvl w:ilvl="0" w:tentative="0">
      <w:start w:val="1"/>
      <w:numFmt w:val="upperRoman"/>
      <w:suff w:val="space"/>
      <w:lvlText w:val="%1."/>
      <w:lvlJc w:val="left"/>
      <w:pPr>
        <w:ind w:left="420"/>
      </w:pPr>
    </w:lvl>
  </w:abstractNum>
  <w:abstractNum w:abstractNumId="13">
    <w:nsid w:val="4FFB5BD0"/>
    <w:multiLevelType w:val="singleLevel"/>
    <w:tmpl w:val="4FFB5BD0"/>
    <w:lvl w:ilvl="0" w:tentative="0">
      <w:start w:val="1"/>
      <w:numFmt w:val="upperRoman"/>
      <w:suff w:val="space"/>
      <w:lvlText w:val="%1."/>
      <w:lvlJc w:val="left"/>
      <w:pPr>
        <w:ind w:left="420"/>
      </w:pPr>
    </w:lvl>
  </w:abstractNum>
  <w:abstractNum w:abstractNumId="14">
    <w:nsid w:val="512E23F2"/>
    <w:multiLevelType w:val="multilevel"/>
    <w:tmpl w:val="512E23F2"/>
    <w:lvl w:ilvl="0" w:tentative="0">
      <w:start w:val="15"/>
      <w:numFmt w:val="decimal"/>
      <w:lvlText w:val="%1."/>
      <w:lvlJc w:val="left"/>
      <w:pPr>
        <w:ind w:left="525" w:hanging="525"/>
      </w:pPr>
      <w:rPr>
        <w:rFonts w:hint="default"/>
        <w:u w:val="none"/>
      </w:rPr>
    </w:lvl>
    <w:lvl w:ilvl="1" w:tentative="0">
      <w:start w:val="2"/>
      <w:numFmt w:val="decimal"/>
      <w:lvlText w:val="%1.%2."/>
      <w:lvlJc w:val="left"/>
      <w:pPr>
        <w:ind w:left="2923" w:hanging="720"/>
      </w:pPr>
      <w:rPr>
        <w:rFonts w:hint="default"/>
        <w:b/>
        <w:u w:val="none"/>
      </w:rPr>
    </w:lvl>
    <w:lvl w:ilvl="2" w:tentative="0">
      <w:start w:val="1"/>
      <w:numFmt w:val="decimal"/>
      <w:lvlText w:val="%1.%2.%3."/>
      <w:lvlJc w:val="left"/>
      <w:pPr>
        <w:ind w:left="5126" w:hanging="720"/>
      </w:pPr>
      <w:rPr>
        <w:rFonts w:hint="default"/>
        <w:u w:val="none"/>
      </w:rPr>
    </w:lvl>
    <w:lvl w:ilvl="3" w:tentative="0">
      <w:start w:val="1"/>
      <w:numFmt w:val="decimal"/>
      <w:lvlText w:val="%1.%2.%3.%4."/>
      <w:lvlJc w:val="left"/>
      <w:pPr>
        <w:ind w:left="7689" w:hanging="1080"/>
      </w:pPr>
      <w:rPr>
        <w:rFonts w:hint="default"/>
        <w:u w:val="none"/>
      </w:rPr>
    </w:lvl>
    <w:lvl w:ilvl="4" w:tentative="0">
      <w:start w:val="1"/>
      <w:numFmt w:val="decimal"/>
      <w:lvlText w:val="%1.%2.%3.%4.%5."/>
      <w:lvlJc w:val="left"/>
      <w:pPr>
        <w:ind w:left="9892" w:hanging="1080"/>
      </w:pPr>
      <w:rPr>
        <w:rFonts w:hint="default"/>
        <w:u w:val="none"/>
      </w:rPr>
    </w:lvl>
    <w:lvl w:ilvl="5" w:tentative="0">
      <w:start w:val="1"/>
      <w:numFmt w:val="decimal"/>
      <w:lvlText w:val="%1.%2.%3.%4.%5.%6."/>
      <w:lvlJc w:val="left"/>
      <w:pPr>
        <w:ind w:left="12455" w:hanging="1440"/>
      </w:pPr>
      <w:rPr>
        <w:rFonts w:hint="default"/>
        <w:u w:val="none"/>
      </w:rPr>
    </w:lvl>
    <w:lvl w:ilvl="6" w:tentative="0">
      <w:start w:val="1"/>
      <w:numFmt w:val="decimal"/>
      <w:lvlText w:val="%1.%2.%3.%4.%5.%6.%7."/>
      <w:lvlJc w:val="left"/>
      <w:pPr>
        <w:ind w:left="14658" w:hanging="1440"/>
      </w:pPr>
      <w:rPr>
        <w:rFonts w:hint="default"/>
        <w:u w:val="none"/>
      </w:rPr>
    </w:lvl>
    <w:lvl w:ilvl="7" w:tentative="0">
      <w:start w:val="1"/>
      <w:numFmt w:val="decimal"/>
      <w:lvlText w:val="%1.%2.%3.%4.%5.%6.%7.%8."/>
      <w:lvlJc w:val="left"/>
      <w:pPr>
        <w:ind w:left="17221" w:hanging="1800"/>
      </w:pPr>
      <w:rPr>
        <w:rFonts w:hint="default"/>
        <w:u w:val="none"/>
      </w:rPr>
    </w:lvl>
    <w:lvl w:ilvl="8" w:tentative="0">
      <w:start w:val="1"/>
      <w:numFmt w:val="decimal"/>
      <w:lvlText w:val="%1.%2.%3.%4.%5.%6.%7.%8.%9."/>
      <w:lvlJc w:val="left"/>
      <w:pPr>
        <w:ind w:left="19784" w:hanging="2160"/>
      </w:pPr>
      <w:rPr>
        <w:rFonts w:hint="default"/>
        <w:u w:val="none"/>
      </w:rPr>
    </w:lvl>
  </w:abstractNum>
  <w:abstractNum w:abstractNumId="15">
    <w:nsid w:val="53BEB12E"/>
    <w:multiLevelType w:val="multilevel"/>
    <w:tmpl w:val="53BEB12E"/>
    <w:lvl w:ilvl="0" w:tentative="0">
      <w:start w:val="1"/>
      <w:numFmt w:val="decimal"/>
      <w:suff w:val="space"/>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16">
    <w:nsid w:val="5A007880"/>
    <w:multiLevelType w:val="multilevel"/>
    <w:tmpl w:val="5A007880"/>
    <w:lvl w:ilvl="0" w:tentative="0">
      <w:start w:val="1"/>
      <w:numFmt w:val="decimal"/>
      <w:lvlText w:val="%1."/>
      <w:lvlJc w:val="left"/>
      <w:pPr>
        <w:ind w:left="720" w:hanging="360"/>
      </w:pPr>
      <w:rPr>
        <w:rFonts w:hint="default"/>
        <w:sz w:val="24"/>
        <w:u w:val="none"/>
      </w:rPr>
    </w:lvl>
    <w:lvl w:ilvl="1" w:tentative="0">
      <w:start w:val="1"/>
      <w:numFmt w:val="decimal"/>
      <w:isLgl/>
      <w:lvlText w:val="%1.%2."/>
      <w:lvlJc w:val="left"/>
      <w:pPr>
        <w:ind w:left="2563" w:hanging="360"/>
      </w:pPr>
      <w:rPr>
        <w:rFonts w:hint="default"/>
        <w:b/>
        <w:u w:val="none"/>
      </w:rPr>
    </w:lvl>
    <w:lvl w:ilvl="2" w:tentative="0">
      <w:start w:val="1"/>
      <w:numFmt w:val="decimal"/>
      <w:isLgl/>
      <w:lvlText w:val="%1.%2.%3."/>
      <w:lvlJc w:val="left"/>
      <w:pPr>
        <w:ind w:left="4766" w:hanging="720"/>
      </w:pPr>
      <w:rPr>
        <w:rFonts w:hint="default"/>
        <w:b/>
        <w:u w:val="none"/>
      </w:rPr>
    </w:lvl>
    <w:lvl w:ilvl="3" w:tentative="0">
      <w:start w:val="1"/>
      <w:numFmt w:val="decimal"/>
      <w:isLgl/>
      <w:lvlText w:val="%1.%2.%3.%4."/>
      <w:lvlJc w:val="left"/>
      <w:pPr>
        <w:ind w:left="6609" w:hanging="720"/>
      </w:pPr>
      <w:rPr>
        <w:rFonts w:hint="default"/>
        <w:u w:val="none"/>
      </w:rPr>
    </w:lvl>
    <w:lvl w:ilvl="4" w:tentative="0">
      <w:start w:val="1"/>
      <w:numFmt w:val="decimal"/>
      <w:isLgl/>
      <w:lvlText w:val="%1.%2.%3.%4.%5."/>
      <w:lvlJc w:val="left"/>
      <w:pPr>
        <w:ind w:left="8812" w:hanging="1080"/>
      </w:pPr>
      <w:rPr>
        <w:rFonts w:hint="default"/>
        <w:u w:val="none"/>
      </w:rPr>
    </w:lvl>
    <w:lvl w:ilvl="5" w:tentative="0">
      <w:start w:val="1"/>
      <w:numFmt w:val="decimal"/>
      <w:isLgl/>
      <w:lvlText w:val="%1.%2.%3.%4.%5.%6."/>
      <w:lvlJc w:val="left"/>
      <w:pPr>
        <w:ind w:left="10655" w:hanging="1080"/>
      </w:pPr>
      <w:rPr>
        <w:rFonts w:hint="default"/>
        <w:u w:val="none"/>
      </w:rPr>
    </w:lvl>
    <w:lvl w:ilvl="6" w:tentative="0">
      <w:start w:val="1"/>
      <w:numFmt w:val="decimal"/>
      <w:isLgl/>
      <w:lvlText w:val="%1.%2.%3.%4.%5.%6.%7."/>
      <w:lvlJc w:val="left"/>
      <w:pPr>
        <w:ind w:left="12858" w:hanging="1440"/>
      </w:pPr>
      <w:rPr>
        <w:rFonts w:hint="default"/>
        <w:u w:val="none"/>
      </w:rPr>
    </w:lvl>
    <w:lvl w:ilvl="7" w:tentative="0">
      <w:start w:val="1"/>
      <w:numFmt w:val="decimal"/>
      <w:isLgl/>
      <w:lvlText w:val="%1.%2.%3.%4.%5.%6.%7.%8."/>
      <w:lvlJc w:val="left"/>
      <w:pPr>
        <w:ind w:left="14701" w:hanging="1440"/>
      </w:pPr>
      <w:rPr>
        <w:rFonts w:hint="default"/>
        <w:u w:val="none"/>
      </w:rPr>
    </w:lvl>
    <w:lvl w:ilvl="8" w:tentative="0">
      <w:start w:val="1"/>
      <w:numFmt w:val="decimal"/>
      <w:isLgl/>
      <w:lvlText w:val="%1.%2.%3.%4.%5.%6.%7.%8.%9."/>
      <w:lvlJc w:val="left"/>
      <w:pPr>
        <w:ind w:left="16904" w:hanging="1800"/>
      </w:pPr>
      <w:rPr>
        <w:rFonts w:hint="default"/>
        <w:u w:val="none"/>
      </w:rPr>
    </w:lvl>
  </w:abstractNum>
  <w:abstractNum w:abstractNumId="17">
    <w:nsid w:val="61DD361E"/>
    <w:multiLevelType w:val="multilevel"/>
    <w:tmpl w:val="61DD361E"/>
    <w:lvl w:ilvl="0" w:tentative="0">
      <w:start w:val="1"/>
      <w:numFmt w:val="decimal"/>
      <w:pStyle w:val="72"/>
      <w:lvlText w:val="%1."/>
      <w:lvlJc w:val="left"/>
      <w:pPr>
        <w:ind w:left="360" w:hanging="360"/>
      </w:pPr>
      <w:rPr>
        <w:rFonts w:hint="default"/>
        <w:b/>
        <w:u w:val="none"/>
      </w:rPr>
    </w:lvl>
    <w:lvl w:ilvl="1" w:tentative="0">
      <w:start w:val="1"/>
      <w:numFmt w:val="decimal"/>
      <w:suff w:val="space"/>
      <w:lvlText w:val="%1.%2."/>
      <w:lvlJc w:val="left"/>
      <w:pPr>
        <w:ind w:left="0" w:firstLine="0"/>
      </w:pPr>
      <w:rPr>
        <w:rFonts w:hint="default"/>
        <w:color w:val="auto"/>
        <w:u w:val="none"/>
      </w:rPr>
    </w:lvl>
    <w:lvl w:ilvl="2" w:tentative="0">
      <w:start w:val="1"/>
      <w:numFmt w:val="decimal"/>
      <w:suff w:val="space"/>
      <w:lvlText w:val="%1.%2.%3."/>
      <w:lvlJc w:val="left"/>
      <w:pPr>
        <w:ind w:left="1135" w:firstLine="0"/>
      </w:pPr>
      <w:rPr>
        <w:rFonts w:hint="default"/>
        <w:u w:val="none"/>
      </w:rPr>
    </w:lvl>
    <w:lvl w:ilvl="3" w:tentative="0">
      <w:start w:val="1"/>
      <w:numFmt w:val="decimal"/>
      <w:suff w:val="space"/>
      <w:lvlText w:val="%1.%2.%3.%4."/>
      <w:lvlJc w:val="left"/>
      <w:pPr>
        <w:ind w:left="851" w:firstLine="0"/>
      </w:pPr>
      <w:rPr>
        <w:rFonts w:hint="default"/>
        <w:b/>
        <w:u w:val="none"/>
      </w:rPr>
    </w:lvl>
    <w:lvl w:ilvl="4" w:tentative="0">
      <w:start w:val="1"/>
      <w:numFmt w:val="decimal"/>
      <w:suff w:val="space"/>
      <w:lvlText w:val="%1.%2.%3.%4.%5."/>
      <w:lvlJc w:val="left"/>
      <w:pPr>
        <w:ind w:left="1134" w:firstLine="0"/>
      </w:pPr>
      <w:rPr>
        <w:rFonts w:hint="default"/>
        <w:b/>
        <w:u w:val="none"/>
      </w:rPr>
    </w:lvl>
    <w:lvl w:ilvl="5" w:tentative="0">
      <w:start w:val="1"/>
      <w:numFmt w:val="decimal"/>
      <w:lvlText w:val="%1.%2.%3.%4.%5.%6."/>
      <w:lvlJc w:val="left"/>
      <w:pPr>
        <w:tabs>
          <w:tab w:val="left" w:pos="2880"/>
        </w:tabs>
        <w:ind w:left="2736" w:hanging="936"/>
      </w:pPr>
      <w:rPr>
        <w:rFonts w:hint="default"/>
        <w:u w:val="none"/>
      </w:rPr>
    </w:lvl>
    <w:lvl w:ilvl="6" w:tentative="0">
      <w:start w:val="1"/>
      <w:numFmt w:val="decimal"/>
      <w:lvlText w:val="%1.%2.%3.%4.%5.%6.%7."/>
      <w:lvlJc w:val="left"/>
      <w:pPr>
        <w:tabs>
          <w:tab w:val="left" w:pos="3600"/>
        </w:tabs>
        <w:ind w:left="3240" w:hanging="1080"/>
      </w:pPr>
      <w:rPr>
        <w:rFonts w:hint="default"/>
        <w:u w:val="none"/>
      </w:rPr>
    </w:lvl>
    <w:lvl w:ilvl="7" w:tentative="0">
      <w:start w:val="1"/>
      <w:numFmt w:val="decimal"/>
      <w:lvlText w:val="%1.%2.%3.%4.%5.%6.%7.%8."/>
      <w:lvlJc w:val="left"/>
      <w:pPr>
        <w:tabs>
          <w:tab w:val="left" w:pos="3960"/>
        </w:tabs>
        <w:ind w:left="3744" w:hanging="1224"/>
      </w:pPr>
      <w:rPr>
        <w:rFonts w:hint="default"/>
        <w:u w:val="none"/>
      </w:rPr>
    </w:lvl>
    <w:lvl w:ilvl="8" w:tentative="0">
      <w:start w:val="1"/>
      <w:numFmt w:val="decimal"/>
      <w:lvlText w:val="%1.%2.%3.%4.%5.%6.%7.%8.%9."/>
      <w:lvlJc w:val="left"/>
      <w:pPr>
        <w:tabs>
          <w:tab w:val="left" w:pos="4680"/>
        </w:tabs>
        <w:ind w:left="4320" w:hanging="1440"/>
      </w:pPr>
      <w:rPr>
        <w:rFonts w:hint="default"/>
        <w:u w:val="none"/>
      </w:rPr>
    </w:lvl>
  </w:abstractNum>
  <w:abstractNum w:abstractNumId="18">
    <w:nsid w:val="625D4999"/>
    <w:multiLevelType w:val="multilevel"/>
    <w:tmpl w:val="625D4999"/>
    <w:lvl w:ilvl="0" w:tentative="0">
      <w:start w:val="1"/>
      <w:numFmt w:val="decimal"/>
      <w:pStyle w:val="99"/>
      <w:suff w:val="nothing"/>
      <w:lvlText w:val="%1."/>
      <w:lvlJc w:val="left"/>
      <w:rPr>
        <w:rFonts w:hint="default"/>
        <w:u w:val="none"/>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rPr>
    </w:lvl>
    <w:lvl w:ilvl="2" w:tentative="0">
      <w:start w:val="1"/>
      <w:numFmt w:val="decimal"/>
      <w:lvlText w:val="%1.%2.%3."/>
      <w:lvlJc w:val="left"/>
      <w:pPr>
        <w:tabs>
          <w:tab w:val="left" w:pos="1854"/>
        </w:tabs>
        <w:ind w:left="1134"/>
      </w:pPr>
      <w:rPr>
        <w:rFonts w:hint="default"/>
        <w:b/>
        <w:u w:val="none"/>
      </w:rPr>
    </w:lvl>
    <w:lvl w:ilvl="3" w:tentative="0">
      <w:start w:val="1"/>
      <w:numFmt w:val="decimal"/>
      <w:lvlText w:val="%1.%2.%3.%4."/>
      <w:lvlJc w:val="left"/>
      <w:pPr>
        <w:tabs>
          <w:tab w:val="left" w:pos="2520"/>
        </w:tabs>
        <w:ind w:left="1728" w:hanging="648"/>
      </w:pPr>
      <w:rPr>
        <w:rFonts w:hint="default"/>
        <w:u w:val="none"/>
      </w:rPr>
    </w:lvl>
    <w:lvl w:ilvl="4" w:tentative="0">
      <w:start w:val="1"/>
      <w:numFmt w:val="decimal"/>
      <w:lvlText w:val="%1.%2.%3.%4.%5."/>
      <w:lvlJc w:val="left"/>
      <w:pPr>
        <w:tabs>
          <w:tab w:val="left" w:pos="3240"/>
        </w:tabs>
        <w:ind w:left="2232" w:hanging="792"/>
      </w:pPr>
      <w:rPr>
        <w:rFonts w:hint="default"/>
        <w:u w:val="none"/>
      </w:rPr>
    </w:lvl>
    <w:lvl w:ilvl="5" w:tentative="0">
      <w:start w:val="1"/>
      <w:numFmt w:val="decimal"/>
      <w:lvlText w:val="%1.%2.%3.%4.%5.%6."/>
      <w:lvlJc w:val="left"/>
      <w:pPr>
        <w:tabs>
          <w:tab w:val="left" w:pos="3960"/>
        </w:tabs>
        <w:ind w:left="2736" w:hanging="936"/>
      </w:pPr>
      <w:rPr>
        <w:rFonts w:hint="default"/>
        <w:u w:val="none"/>
      </w:rPr>
    </w:lvl>
    <w:lvl w:ilvl="6" w:tentative="0">
      <w:start w:val="1"/>
      <w:numFmt w:val="decimal"/>
      <w:lvlText w:val="%1.%2.%3.%4.%5.%6.%7."/>
      <w:lvlJc w:val="left"/>
      <w:pPr>
        <w:tabs>
          <w:tab w:val="left" w:pos="4680"/>
        </w:tabs>
        <w:ind w:left="3240" w:hanging="1080"/>
      </w:pPr>
      <w:rPr>
        <w:rFonts w:hint="default"/>
        <w:u w:val="none"/>
      </w:rPr>
    </w:lvl>
    <w:lvl w:ilvl="7" w:tentative="0">
      <w:start w:val="1"/>
      <w:numFmt w:val="decimal"/>
      <w:lvlText w:val="%1.%2.%3.%4.%5.%6.%7.%8."/>
      <w:lvlJc w:val="left"/>
      <w:pPr>
        <w:tabs>
          <w:tab w:val="left" w:pos="5400"/>
        </w:tabs>
        <w:ind w:left="3744" w:hanging="1224"/>
      </w:pPr>
      <w:rPr>
        <w:rFonts w:hint="default"/>
        <w:u w:val="none"/>
      </w:rPr>
    </w:lvl>
    <w:lvl w:ilvl="8" w:tentative="0">
      <w:start w:val="1"/>
      <w:numFmt w:val="decimal"/>
      <w:lvlText w:val="%1.%2.%3.%4.%5.%6.%7.%8.%9."/>
      <w:lvlJc w:val="left"/>
      <w:pPr>
        <w:tabs>
          <w:tab w:val="left" w:pos="6120"/>
        </w:tabs>
        <w:ind w:left="4320" w:hanging="1440"/>
      </w:pPr>
      <w:rPr>
        <w:rFonts w:hint="default"/>
        <w:u w:val="none"/>
      </w:rPr>
    </w:lvl>
  </w:abstractNum>
  <w:abstractNum w:abstractNumId="19">
    <w:nsid w:val="777E7822"/>
    <w:multiLevelType w:val="multilevel"/>
    <w:tmpl w:val="777E7822"/>
    <w:lvl w:ilvl="0" w:tentative="0">
      <w:start w:val="4"/>
      <w:numFmt w:val="decimal"/>
      <w:pStyle w:val="39"/>
      <w:lvlText w:val="%1."/>
      <w:lvlJc w:val="left"/>
      <w:pPr>
        <w:ind w:left="360" w:hanging="360"/>
      </w:pPr>
      <w:rPr>
        <w:rFonts w:hint="default"/>
        <w:u w:val="none"/>
      </w:rPr>
    </w:lvl>
    <w:lvl w:ilvl="1" w:tentative="0">
      <w:start w:val="1"/>
      <w:numFmt w:val="decimal"/>
      <w:lvlText w:val="%1.%2."/>
      <w:lvlJc w:val="left"/>
      <w:pPr>
        <w:ind w:left="1584" w:hanging="360"/>
      </w:pPr>
      <w:rPr>
        <w:rFonts w:hint="default"/>
        <w:b/>
        <w:u w:val="none"/>
      </w:rPr>
    </w:lvl>
    <w:lvl w:ilvl="2" w:tentative="0">
      <w:start w:val="1"/>
      <w:numFmt w:val="decimal"/>
      <w:lvlText w:val="%1.%2.%3."/>
      <w:lvlJc w:val="left"/>
      <w:pPr>
        <w:ind w:left="3168" w:hanging="720"/>
      </w:pPr>
      <w:rPr>
        <w:rFonts w:hint="default"/>
        <w:b/>
        <w:u w:val="none"/>
      </w:rPr>
    </w:lvl>
    <w:lvl w:ilvl="3" w:tentative="0">
      <w:start w:val="1"/>
      <w:numFmt w:val="decimal"/>
      <w:lvlText w:val="%1.%2.%3.%4."/>
      <w:lvlJc w:val="left"/>
      <w:pPr>
        <w:ind w:left="4392" w:hanging="720"/>
      </w:pPr>
      <w:rPr>
        <w:rFonts w:hint="default"/>
        <w:u w:val="none"/>
      </w:rPr>
    </w:lvl>
    <w:lvl w:ilvl="4" w:tentative="0">
      <w:start w:val="1"/>
      <w:numFmt w:val="decimal"/>
      <w:lvlText w:val="%1.%2.%3.%4.%5."/>
      <w:lvlJc w:val="left"/>
      <w:pPr>
        <w:ind w:left="5976" w:hanging="1080"/>
      </w:pPr>
      <w:rPr>
        <w:rFonts w:hint="default"/>
        <w:u w:val="none"/>
      </w:rPr>
    </w:lvl>
    <w:lvl w:ilvl="5" w:tentative="0">
      <w:start w:val="1"/>
      <w:numFmt w:val="decimal"/>
      <w:lvlText w:val="%1.%2.%3.%4.%5.%6."/>
      <w:lvlJc w:val="left"/>
      <w:pPr>
        <w:ind w:left="7200" w:hanging="1080"/>
      </w:pPr>
      <w:rPr>
        <w:rFonts w:hint="default"/>
        <w:u w:val="none"/>
      </w:rPr>
    </w:lvl>
    <w:lvl w:ilvl="6" w:tentative="0">
      <w:start w:val="1"/>
      <w:numFmt w:val="decimal"/>
      <w:lvlText w:val="%1.%2.%3.%4.%5.%6.%7."/>
      <w:lvlJc w:val="left"/>
      <w:pPr>
        <w:ind w:left="8784" w:hanging="1440"/>
      </w:pPr>
      <w:rPr>
        <w:rFonts w:hint="default"/>
        <w:u w:val="none"/>
      </w:rPr>
    </w:lvl>
    <w:lvl w:ilvl="7" w:tentative="0">
      <w:start w:val="1"/>
      <w:numFmt w:val="decimal"/>
      <w:lvlText w:val="%1.%2.%3.%4.%5.%6.%7.%8."/>
      <w:lvlJc w:val="left"/>
      <w:pPr>
        <w:ind w:left="10008" w:hanging="1440"/>
      </w:pPr>
      <w:rPr>
        <w:rFonts w:hint="default"/>
        <w:u w:val="none"/>
      </w:rPr>
    </w:lvl>
    <w:lvl w:ilvl="8" w:tentative="0">
      <w:start w:val="1"/>
      <w:numFmt w:val="decimal"/>
      <w:lvlText w:val="%1.%2.%3.%4.%5.%6.%7.%8.%9."/>
      <w:lvlJc w:val="left"/>
      <w:pPr>
        <w:ind w:left="11592" w:hanging="1800"/>
      </w:pPr>
      <w:rPr>
        <w:rFonts w:hint="default"/>
        <w:u w:val="none"/>
      </w:rPr>
    </w:lvl>
  </w:abstractNum>
  <w:num w:numId="1">
    <w:abstractNumId w:val="19"/>
  </w:num>
  <w:num w:numId="2">
    <w:abstractNumId w:val="4"/>
  </w:num>
  <w:num w:numId="3">
    <w:abstractNumId w:val="17"/>
  </w:num>
  <w:num w:numId="4">
    <w:abstractNumId w:val="7"/>
  </w:num>
  <w:num w:numId="5">
    <w:abstractNumId w:val="18"/>
  </w:num>
  <w:num w:numId="6">
    <w:abstractNumId w:val="10"/>
  </w:num>
  <w:num w:numId="7">
    <w:abstractNumId w:val="5"/>
  </w:num>
  <w:num w:numId="8">
    <w:abstractNumId w:val="9"/>
  </w:num>
  <w:num w:numId="9">
    <w:abstractNumId w:val="8"/>
  </w:num>
  <w:num w:numId="10">
    <w:abstractNumId w:val="16"/>
  </w:num>
  <w:num w:numId="11">
    <w:abstractNumId w:val="13"/>
  </w:num>
  <w:num w:numId="12">
    <w:abstractNumId w:val="2"/>
  </w:num>
  <w:num w:numId="13">
    <w:abstractNumId w:val="6"/>
  </w:num>
  <w:num w:numId="14">
    <w:abstractNumId w:val="0"/>
  </w:num>
  <w:num w:numId="15">
    <w:abstractNumId w:val="3"/>
  </w:num>
  <w:num w:numId="16">
    <w:abstractNumId w:val="11"/>
  </w:num>
  <w:num w:numId="17">
    <w:abstractNumId w:val="15"/>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oNotShadeFormData w:val="1"/>
  <w:noPunctuationKerning w:val="1"/>
  <w:characterSpacingControl w:val="doNotCompress"/>
  <w:doNotValidateAgainstSchema/>
  <w:doNotDemarcateInvalidXml/>
  <w:hdrShapeDefaults>
    <o:shapelayout v:ext="edit">
      <o:idmap v:ext="edit" data="2"/>
    </o:shapelayout>
  </w:hdrShapeDefaults>
  <w:footnotePr>
    <w:footnote w:id="4"/>
    <w:footnote w:id="5"/>
  </w:foot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46"/>
    <w:rsid w:val="00021E3B"/>
    <w:rsid w:val="00036A05"/>
    <w:rsid w:val="00044F94"/>
    <w:rsid w:val="000F74CE"/>
    <w:rsid w:val="00116DF9"/>
    <w:rsid w:val="00172A27"/>
    <w:rsid w:val="001A33C2"/>
    <w:rsid w:val="00203869"/>
    <w:rsid w:val="002C703F"/>
    <w:rsid w:val="00324253"/>
    <w:rsid w:val="0037682C"/>
    <w:rsid w:val="003E04BA"/>
    <w:rsid w:val="00497186"/>
    <w:rsid w:val="005F2973"/>
    <w:rsid w:val="00777AF5"/>
    <w:rsid w:val="007B2030"/>
    <w:rsid w:val="007B388E"/>
    <w:rsid w:val="007C1FC7"/>
    <w:rsid w:val="007F1229"/>
    <w:rsid w:val="008518C0"/>
    <w:rsid w:val="00984AA9"/>
    <w:rsid w:val="00A62E59"/>
    <w:rsid w:val="00A9629C"/>
    <w:rsid w:val="00B107B6"/>
    <w:rsid w:val="00BA1622"/>
    <w:rsid w:val="00BC10B3"/>
    <w:rsid w:val="00BF1983"/>
    <w:rsid w:val="00CB70E4"/>
    <w:rsid w:val="00CF1F26"/>
    <w:rsid w:val="00D00818"/>
    <w:rsid w:val="00D04690"/>
    <w:rsid w:val="00D501A5"/>
    <w:rsid w:val="00D87FC1"/>
    <w:rsid w:val="00DA13F9"/>
    <w:rsid w:val="00DE74D6"/>
    <w:rsid w:val="00DF0EC9"/>
    <w:rsid w:val="00E223BE"/>
    <w:rsid w:val="00E2752B"/>
    <w:rsid w:val="00E3786A"/>
    <w:rsid w:val="00F622FF"/>
    <w:rsid w:val="00FA3A83"/>
    <w:rsid w:val="00FF74E2"/>
    <w:rsid w:val="01861558"/>
    <w:rsid w:val="01B2735C"/>
    <w:rsid w:val="02061D84"/>
    <w:rsid w:val="03386D31"/>
    <w:rsid w:val="040114BA"/>
    <w:rsid w:val="04386014"/>
    <w:rsid w:val="04B87A45"/>
    <w:rsid w:val="061A1BDF"/>
    <w:rsid w:val="07C43D4D"/>
    <w:rsid w:val="07C82022"/>
    <w:rsid w:val="07CA74B6"/>
    <w:rsid w:val="08401ED9"/>
    <w:rsid w:val="088F4E2D"/>
    <w:rsid w:val="09F94C8A"/>
    <w:rsid w:val="0A4D6233"/>
    <w:rsid w:val="0A5103A5"/>
    <w:rsid w:val="0B3B5E69"/>
    <w:rsid w:val="0C441043"/>
    <w:rsid w:val="0E280947"/>
    <w:rsid w:val="0E5F39AE"/>
    <w:rsid w:val="0E7E6979"/>
    <w:rsid w:val="10232333"/>
    <w:rsid w:val="118607EA"/>
    <w:rsid w:val="118B7B04"/>
    <w:rsid w:val="12FC6788"/>
    <w:rsid w:val="138925FF"/>
    <w:rsid w:val="138A3589"/>
    <w:rsid w:val="14F6222D"/>
    <w:rsid w:val="155C30D0"/>
    <w:rsid w:val="174A4FB1"/>
    <w:rsid w:val="185C18EA"/>
    <w:rsid w:val="18B904BA"/>
    <w:rsid w:val="19DD04FE"/>
    <w:rsid w:val="19F22A60"/>
    <w:rsid w:val="1A841DF7"/>
    <w:rsid w:val="1AD913D0"/>
    <w:rsid w:val="1CA84AFB"/>
    <w:rsid w:val="1D8D1F74"/>
    <w:rsid w:val="1D9E7E1D"/>
    <w:rsid w:val="1DDB572B"/>
    <w:rsid w:val="1E4E5C4C"/>
    <w:rsid w:val="1FA71AB7"/>
    <w:rsid w:val="2000198D"/>
    <w:rsid w:val="231C3E29"/>
    <w:rsid w:val="25EE15C4"/>
    <w:rsid w:val="285040D1"/>
    <w:rsid w:val="2B362F91"/>
    <w:rsid w:val="2D715719"/>
    <w:rsid w:val="2DBE231D"/>
    <w:rsid w:val="2EA93E3B"/>
    <w:rsid w:val="2F7816B7"/>
    <w:rsid w:val="2F9045E2"/>
    <w:rsid w:val="30956AEC"/>
    <w:rsid w:val="328F659D"/>
    <w:rsid w:val="33526A6B"/>
    <w:rsid w:val="33BA049F"/>
    <w:rsid w:val="36424940"/>
    <w:rsid w:val="36717809"/>
    <w:rsid w:val="3704510A"/>
    <w:rsid w:val="39CF5F7A"/>
    <w:rsid w:val="3B060B6C"/>
    <w:rsid w:val="3B35344D"/>
    <w:rsid w:val="3CE477F3"/>
    <w:rsid w:val="3E164E7B"/>
    <w:rsid w:val="3E2B0FDF"/>
    <w:rsid w:val="401B6606"/>
    <w:rsid w:val="40322CFF"/>
    <w:rsid w:val="411459AA"/>
    <w:rsid w:val="41AF0EC3"/>
    <w:rsid w:val="43991F6B"/>
    <w:rsid w:val="44954C10"/>
    <w:rsid w:val="45D05E64"/>
    <w:rsid w:val="467E16F6"/>
    <w:rsid w:val="473E1026"/>
    <w:rsid w:val="47D41CB6"/>
    <w:rsid w:val="48964581"/>
    <w:rsid w:val="48C176AB"/>
    <w:rsid w:val="48D402D8"/>
    <w:rsid w:val="49DD6BE3"/>
    <w:rsid w:val="4B101AFA"/>
    <w:rsid w:val="4C93212D"/>
    <w:rsid w:val="4CE01504"/>
    <w:rsid w:val="4DED754B"/>
    <w:rsid w:val="4EB0646C"/>
    <w:rsid w:val="525565C0"/>
    <w:rsid w:val="527618D9"/>
    <w:rsid w:val="53EA1E77"/>
    <w:rsid w:val="547340D8"/>
    <w:rsid w:val="54C53940"/>
    <w:rsid w:val="54D944F8"/>
    <w:rsid w:val="553101E2"/>
    <w:rsid w:val="554C2F03"/>
    <w:rsid w:val="55762246"/>
    <w:rsid w:val="55B720A5"/>
    <w:rsid w:val="560735CB"/>
    <w:rsid w:val="562A7FF9"/>
    <w:rsid w:val="56A0094D"/>
    <w:rsid w:val="58144D0D"/>
    <w:rsid w:val="58D9110B"/>
    <w:rsid w:val="59661A46"/>
    <w:rsid w:val="5A0D162E"/>
    <w:rsid w:val="5A7B7BF4"/>
    <w:rsid w:val="5B8A57E6"/>
    <w:rsid w:val="5C9033AA"/>
    <w:rsid w:val="5CAC5364"/>
    <w:rsid w:val="5DB35129"/>
    <w:rsid w:val="5FAF6E76"/>
    <w:rsid w:val="607B12CA"/>
    <w:rsid w:val="60911A3A"/>
    <w:rsid w:val="60CB15FB"/>
    <w:rsid w:val="62183EAD"/>
    <w:rsid w:val="62562501"/>
    <w:rsid w:val="62624CED"/>
    <w:rsid w:val="62BC5D7E"/>
    <w:rsid w:val="62EB2EC8"/>
    <w:rsid w:val="63142636"/>
    <w:rsid w:val="643968D4"/>
    <w:rsid w:val="64DD55CE"/>
    <w:rsid w:val="65E10402"/>
    <w:rsid w:val="66461C59"/>
    <w:rsid w:val="677B3226"/>
    <w:rsid w:val="67C1214A"/>
    <w:rsid w:val="694035F7"/>
    <w:rsid w:val="6A774588"/>
    <w:rsid w:val="6B6B19DF"/>
    <w:rsid w:val="6C8A46B9"/>
    <w:rsid w:val="6D4270CF"/>
    <w:rsid w:val="6D754D05"/>
    <w:rsid w:val="6DF72A84"/>
    <w:rsid w:val="6E6C7B03"/>
    <w:rsid w:val="6EC62080"/>
    <w:rsid w:val="6ECB7DD2"/>
    <w:rsid w:val="6EE1680A"/>
    <w:rsid w:val="6EF06BF9"/>
    <w:rsid w:val="6FBD0C55"/>
    <w:rsid w:val="701B0850"/>
    <w:rsid w:val="7052132B"/>
    <w:rsid w:val="72406392"/>
    <w:rsid w:val="76001C3F"/>
    <w:rsid w:val="791B48F8"/>
    <w:rsid w:val="7A7A6121"/>
    <w:rsid w:val="7BA1172B"/>
    <w:rsid w:val="7D615540"/>
    <w:rsid w:val="7DD535A6"/>
    <w:rsid w:val="7EC97091"/>
    <w:rsid w:val="7F1A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qFormat="1"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iPriority="99" w:semiHidden="0" w:name="Balloon Text"/>
    <w:lsdException w:qFormat="1" w:unhideWhenUsed="0" w:uiPriority="39" w:semiHidden="0" w:name="Table Grid"/>
    <w:lsdException w:qFormat="1" w:uiPriority="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rPr>
      <w:rFonts w:ascii="Times New Roman" w:hAnsi="Times New Roman" w:eastAsia="SimSun" w:cs="Times New Roman"/>
      <w:sz w:val="24"/>
      <w:lang w:val="pt-BR" w:eastAsia="pt-BR" w:bidi="ar-SA"/>
    </w:rPr>
  </w:style>
  <w:style w:type="paragraph" w:styleId="2">
    <w:name w:val="heading 1"/>
    <w:basedOn w:val="1"/>
    <w:next w:val="1"/>
    <w:link w:val="175"/>
    <w:unhideWhenUsed/>
    <w:qFormat/>
    <w:uiPriority w:val="9"/>
    <w:pPr>
      <w:keepNext/>
      <w:spacing w:before="360" w:after="240"/>
      <w:ind w:left="1134"/>
      <w:outlineLvl w:val="0"/>
    </w:pPr>
    <w:rPr>
      <w:rFonts w:ascii="Arial" w:hAnsi="Arial" w:eastAsia="Calibri"/>
      <w:b/>
      <w:kern w:val="28"/>
    </w:rPr>
  </w:style>
  <w:style w:type="paragraph" w:styleId="3">
    <w:name w:val="heading 2"/>
    <w:basedOn w:val="1"/>
    <w:next w:val="1"/>
    <w:link w:val="150"/>
    <w:unhideWhenUsed/>
    <w:qFormat/>
    <w:uiPriority w:val="9"/>
    <w:pPr>
      <w:keepNext/>
      <w:tabs>
        <w:tab w:val="left" w:pos="1701"/>
      </w:tabs>
      <w:ind w:right="-1"/>
      <w:jc w:val="center"/>
      <w:outlineLvl w:val="1"/>
    </w:pPr>
    <w:rPr>
      <w:b/>
      <w:color w:val="000000"/>
    </w:rPr>
  </w:style>
  <w:style w:type="paragraph" w:styleId="4">
    <w:name w:val="heading 3"/>
    <w:basedOn w:val="1"/>
    <w:next w:val="1"/>
    <w:link w:val="148"/>
    <w:unhideWhenUsed/>
    <w:qFormat/>
    <w:uiPriority w:val="9"/>
    <w:pPr>
      <w:keepNext/>
      <w:jc w:val="center"/>
      <w:outlineLvl w:val="2"/>
    </w:pPr>
    <w:rPr>
      <w:b/>
    </w:rPr>
  </w:style>
  <w:style w:type="paragraph" w:styleId="5">
    <w:name w:val="heading 4"/>
    <w:basedOn w:val="1"/>
    <w:next w:val="1"/>
    <w:link w:val="174"/>
    <w:unhideWhenUsed/>
    <w:qFormat/>
    <w:uiPriority w:val="9"/>
    <w:pPr>
      <w:keepNext/>
      <w:tabs>
        <w:tab w:val="left" w:pos="1701"/>
      </w:tabs>
      <w:spacing w:before="360" w:after="240"/>
      <w:jc w:val="both"/>
      <w:outlineLvl w:val="3"/>
    </w:pPr>
    <w:rPr>
      <w:b/>
    </w:rPr>
  </w:style>
  <w:style w:type="paragraph" w:styleId="6">
    <w:name w:val="heading 5"/>
    <w:basedOn w:val="1"/>
    <w:next w:val="1"/>
    <w:link w:val="162"/>
    <w:unhideWhenUsed/>
    <w:qFormat/>
    <w:uiPriority w:val="9"/>
    <w:pPr>
      <w:keepNext/>
      <w:jc w:val="center"/>
      <w:outlineLvl w:val="4"/>
    </w:pPr>
    <w:rPr>
      <w:b/>
    </w:rPr>
  </w:style>
  <w:style w:type="paragraph" w:styleId="7">
    <w:name w:val="heading 6"/>
    <w:basedOn w:val="1"/>
    <w:next w:val="1"/>
    <w:link w:val="165"/>
    <w:unhideWhenUsed/>
    <w:qFormat/>
    <w:uiPriority w:val="9"/>
    <w:pPr>
      <w:keepNext/>
      <w:jc w:val="both"/>
      <w:outlineLvl w:val="5"/>
    </w:pPr>
  </w:style>
  <w:style w:type="paragraph" w:styleId="8">
    <w:name w:val="heading 7"/>
    <w:basedOn w:val="1"/>
    <w:next w:val="1"/>
    <w:link w:val="183"/>
    <w:unhideWhenUsed/>
    <w:qFormat/>
    <w:uiPriority w:val="9"/>
    <w:pPr>
      <w:keepNext/>
      <w:jc w:val="both"/>
      <w:outlineLvl w:val="6"/>
    </w:pPr>
    <w:rPr>
      <w:b/>
      <w:color w:val="FF0000"/>
    </w:rPr>
  </w:style>
  <w:style w:type="paragraph" w:styleId="9">
    <w:name w:val="heading 8"/>
    <w:basedOn w:val="1"/>
    <w:next w:val="1"/>
    <w:link w:val="157"/>
    <w:unhideWhenUsed/>
    <w:qFormat/>
    <w:uiPriority w:val="9"/>
    <w:pPr>
      <w:keepNext/>
      <w:outlineLvl w:val="7"/>
    </w:pPr>
    <w:rPr>
      <w:b/>
    </w:rPr>
  </w:style>
  <w:style w:type="paragraph" w:styleId="10">
    <w:name w:val="heading 9"/>
    <w:basedOn w:val="1"/>
    <w:next w:val="1"/>
    <w:link w:val="147"/>
    <w:unhideWhenUsed/>
    <w:qFormat/>
    <w:uiPriority w:val="9"/>
    <w:pPr>
      <w:keepNext/>
      <w:tabs>
        <w:tab w:val="left" w:pos="1701"/>
      </w:tabs>
      <w:spacing w:after="120" w:line="340" w:lineRule="exact"/>
      <w:outlineLvl w:val="8"/>
    </w:p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unhideWhenUsed/>
    <w:qFormat/>
    <w:uiPriority w:val="22"/>
    <w:rPr>
      <w:rFonts w:hint="default"/>
      <w:b/>
      <w:sz w:val="24"/>
    </w:rPr>
  </w:style>
  <w:style w:type="character" w:styleId="14">
    <w:name w:val="annotation reference"/>
    <w:basedOn w:val="11"/>
    <w:unhideWhenUsed/>
    <w:qFormat/>
    <w:uiPriority w:val="0"/>
    <w:rPr>
      <w:rFonts w:hint="default"/>
      <w:sz w:val="16"/>
    </w:rPr>
  </w:style>
  <w:style w:type="character" w:styleId="15">
    <w:name w:val="FollowedHyperlink"/>
    <w:basedOn w:val="11"/>
    <w:unhideWhenUsed/>
    <w:qFormat/>
    <w:uiPriority w:val="99"/>
    <w:rPr>
      <w:rFonts w:hint="default"/>
      <w:color w:val="800080"/>
      <w:sz w:val="24"/>
      <w:u w:val="single"/>
    </w:rPr>
  </w:style>
  <w:style w:type="character" w:styleId="16">
    <w:name w:val="Emphasis"/>
    <w:basedOn w:val="11"/>
    <w:unhideWhenUsed/>
    <w:qFormat/>
    <w:uiPriority w:val="20"/>
    <w:rPr>
      <w:rFonts w:hint="default"/>
      <w:i/>
      <w:sz w:val="24"/>
    </w:rPr>
  </w:style>
  <w:style w:type="character" w:styleId="17">
    <w:name w:val="footnote reference"/>
    <w:basedOn w:val="11"/>
    <w:unhideWhenUsed/>
    <w:qFormat/>
    <w:uiPriority w:val="0"/>
    <w:rPr>
      <w:rFonts w:hint="default"/>
      <w:sz w:val="24"/>
      <w:vertAlign w:val="superscript"/>
    </w:rPr>
  </w:style>
  <w:style w:type="character" w:styleId="18">
    <w:name w:val="Hyperlink"/>
    <w:basedOn w:val="11"/>
    <w:unhideWhenUsed/>
    <w:qFormat/>
    <w:uiPriority w:val="99"/>
    <w:rPr>
      <w:rFonts w:hint="default"/>
      <w:color w:val="0000FF"/>
      <w:sz w:val="24"/>
      <w:u w:val="single"/>
    </w:rPr>
  </w:style>
  <w:style w:type="character" w:styleId="19">
    <w:name w:val="page number"/>
    <w:basedOn w:val="11"/>
    <w:unhideWhenUsed/>
    <w:qFormat/>
    <w:uiPriority w:val="0"/>
    <w:rPr>
      <w:rFonts w:hint="default"/>
      <w:sz w:val="24"/>
    </w:rPr>
  </w:style>
  <w:style w:type="paragraph" w:styleId="20">
    <w:name w:val="List"/>
    <w:basedOn w:val="1"/>
    <w:unhideWhenUsed/>
    <w:qFormat/>
    <w:uiPriority w:val="0"/>
    <w:pPr>
      <w:ind w:left="283" w:hanging="283"/>
    </w:pPr>
  </w:style>
  <w:style w:type="paragraph" w:styleId="21">
    <w:name w:val="Body Text"/>
    <w:basedOn w:val="1"/>
    <w:link w:val="180"/>
    <w:unhideWhenUsed/>
    <w:qFormat/>
    <w:uiPriority w:val="0"/>
  </w:style>
  <w:style w:type="paragraph" w:styleId="22">
    <w:name w:val="Block Text"/>
    <w:basedOn w:val="1"/>
    <w:unhideWhenUsed/>
    <w:qFormat/>
    <w:uiPriority w:val="0"/>
    <w:pPr>
      <w:tabs>
        <w:tab w:val="left" w:pos="1276"/>
      </w:tabs>
      <w:ind w:left="1560" w:right="2" w:hanging="1560"/>
      <w:jc w:val="both"/>
    </w:pPr>
  </w:style>
  <w:style w:type="paragraph" w:styleId="23">
    <w:name w:val="annotation text"/>
    <w:basedOn w:val="1"/>
    <w:link w:val="172"/>
    <w:unhideWhenUsed/>
    <w:qFormat/>
    <w:uiPriority w:val="99"/>
    <w:pPr>
      <w:spacing w:after="160"/>
    </w:pPr>
    <w:rPr>
      <w:rFonts w:hint="eastAsia" w:ascii="Calibri" w:hAnsi="Calibri" w:eastAsia="Calibri"/>
      <w:lang w:eastAsia="en-US"/>
    </w:rPr>
  </w:style>
  <w:style w:type="paragraph" w:styleId="24">
    <w:name w:val="Body Text Indent 2"/>
    <w:basedOn w:val="1"/>
    <w:link w:val="137"/>
    <w:unhideWhenUsed/>
    <w:qFormat/>
    <w:uiPriority w:val="0"/>
    <w:pPr>
      <w:ind w:firstLine="1560"/>
      <w:jc w:val="both"/>
    </w:pPr>
    <w:rPr>
      <w:strike/>
    </w:rPr>
  </w:style>
  <w:style w:type="paragraph" w:styleId="25">
    <w:name w:val="Title"/>
    <w:basedOn w:val="1"/>
    <w:next w:val="1"/>
    <w:link w:val="156"/>
    <w:unhideWhenUsed/>
    <w:qFormat/>
    <w:uiPriority w:val="10"/>
    <w:pPr>
      <w:widowControl w:val="0"/>
      <w:ind w:right="482"/>
      <w:jc w:val="center"/>
    </w:pPr>
    <w:rPr>
      <w:b/>
      <w:sz w:val="22"/>
    </w:rPr>
  </w:style>
  <w:style w:type="paragraph" w:styleId="26">
    <w:name w:val="Normal (Web)"/>
    <w:basedOn w:val="1"/>
    <w:unhideWhenUsed/>
    <w:qFormat/>
    <w:uiPriority w:val="99"/>
    <w:pPr>
      <w:spacing w:after="360"/>
    </w:pPr>
  </w:style>
  <w:style w:type="paragraph" w:styleId="27">
    <w:name w:val="Salutation"/>
    <w:basedOn w:val="1"/>
    <w:next w:val="1"/>
    <w:qFormat/>
    <w:uiPriority w:val="0"/>
    <w:rPr>
      <w:kern w:val="144"/>
    </w:rPr>
  </w:style>
  <w:style w:type="paragraph" w:styleId="28">
    <w:name w:val="Plain Text"/>
    <w:basedOn w:val="1"/>
    <w:link w:val="177"/>
    <w:unhideWhenUsed/>
    <w:qFormat/>
    <w:uiPriority w:val="0"/>
    <w:rPr>
      <w:rFonts w:hint="eastAsia" w:ascii="Calibri" w:hAnsi="Calibri" w:eastAsia="Calibri"/>
      <w:sz w:val="22"/>
      <w:lang w:eastAsia="en-US"/>
    </w:rPr>
  </w:style>
  <w:style w:type="paragraph" w:styleId="29">
    <w:name w:val="Body Text 3"/>
    <w:basedOn w:val="1"/>
    <w:link w:val="164"/>
    <w:unhideWhenUsed/>
    <w:qFormat/>
    <w:uiPriority w:val="0"/>
    <w:pPr>
      <w:tabs>
        <w:tab w:val="left" w:pos="1701"/>
      </w:tabs>
      <w:spacing w:after="120" w:line="340" w:lineRule="exact"/>
    </w:pPr>
    <w:rPr>
      <w:strike/>
      <w:color w:val="FF0000"/>
    </w:rPr>
  </w:style>
  <w:style w:type="paragraph" w:styleId="30">
    <w:name w:val="Body Text 2"/>
    <w:basedOn w:val="1"/>
    <w:link w:val="187"/>
    <w:unhideWhenUsed/>
    <w:qFormat/>
    <w:uiPriority w:val="0"/>
    <w:pPr>
      <w:tabs>
        <w:tab w:val="left" w:pos="709"/>
      </w:tabs>
      <w:jc w:val="both"/>
    </w:pPr>
  </w:style>
  <w:style w:type="paragraph" w:styleId="31">
    <w:name w:val="header"/>
    <w:basedOn w:val="1"/>
    <w:link w:val="189"/>
    <w:unhideWhenUsed/>
    <w:qFormat/>
    <w:uiPriority w:val="0"/>
    <w:pPr>
      <w:tabs>
        <w:tab w:val="center" w:pos="4419"/>
        <w:tab w:val="right" w:pos="8838"/>
      </w:tabs>
      <w:jc w:val="both"/>
    </w:pPr>
  </w:style>
  <w:style w:type="paragraph" w:styleId="32">
    <w:name w:val="annotation subject"/>
    <w:basedOn w:val="23"/>
    <w:next w:val="23"/>
    <w:link w:val="186"/>
    <w:unhideWhenUsed/>
    <w:qFormat/>
    <w:uiPriority w:val="0"/>
    <w:rPr>
      <w:b/>
    </w:rPr>
  </w:style>
  <w:style w:type="paragraph" w:styleId="33">
    <w:name w:val="footer"/>
    <w:basedOn w:val="1"/>
    <w:link w:val="179"/>
    <w:unhideWhenUsed/>
    <w:qFormat/>
    <w:uiPriority w:val="99"/>
    <w:pPr>
      <w:tabs>
        <w:tab w:val="center" w:pos="4419"/>
        <w:tab w:val="right" w:pos="8838"/>
      </w:tabs>
    </w:pPr>
  </w:style>
  <w:style w:type="paragraph" w:styleId="34">
    <w:name w:val="caption"/>
    <w:basedOn w:val="1"/>
    <w:next w:val="1"/>
    <w:unhideWhenUsed/>
    <w:qFormat/>
    <w:uiPriority w:val="35"/>
    <w:pPr>
      <w:spacing w:after="200"/>
    </w:pPr>
    <w:rPr>
      <w:rFonts w:hint="eastAsia" w:ascii="Calibri" w:hAnsi="Calibri" w:eastAsia="Calibri"/>
      <w:b/>
      <w:color w:val="4F81BD"/>
      <w:sz w:val="18"/>
      <w:lang w:val="en-US" w:eastAsia="en-US"/>
    </w:rPr>
  </w:style>
  <w:style w:type="paragraph" w:styleId="35">
    <w:name w:val="Body Text Indent 3"/>
    <w:basedOn w:val="1"/>
    <w:link w:val="145"/>
    <w:unhideWhenUsed/>
    <w:qFormat/>
    <w:uiPriority w:val="0"/>
    <w:pPr>
      <w:suppressAutoHyphens/>
      <w:ind w:left="1821" w:hanging="360"/>
    </w:pPr>
  </w:style>
  <w:style w:type="paragraph" w:styleId="36">
    <w:name w:val="Balloon Text"/>
    <w:basedOn w:val="1"/>
    <w:link w:val="161"/>
    <w:unhideWhenUsed/>
    <w:qFormat/>
    <w:uiPriority w:val="99"/>
    <w:rPr>
      <w:rFonts w:ascii="Tahoma" w:hAnsi="Tahoma" w:eastAsia="Calibri"/>
      <w:sz w:val="16"/>
    </w:rPr>
  </w:style>
  <w:style w:type="paragraph" w:styleId="37">
    <w:name w:val="Subtitle"/>
    <w:basedOn w:val="1"/>
    <w:next w:val="1"/>
    <w:link w:val="163"/>
    <w:unhideWhenUsed/>
    <w:qFormat/>
    <w:uiPriority w:val="11"/>
    <w:pPr>
      <w:spacing w:after="200" w:line="276" w:lineRule="auto"/>
    </w:pPr>
    <w:rPr>
      <w:rFonts w:ascii="Cambria" w:hAnsi="Cambria" w:eastAsia="Times New Roman"/>
      <w:i/>
      <w:color w:val="4F81BD"/>
      <w:spacing w:val="15"/>
      <w:lang w:val="en-US" w:eastAsia="en-US"/>
    </w:rPr>
  </w:style>
  <w:style w:type="paragraph" w:styleId="38">
    <w:name w:val="footnote text"/>
    <w:basedOn w:val="1"/>
    <w:link w:val="152"/>
    <w:unhideWhenUsed/>
    <w:qFormat/>
    <w:uiPriority w:val="0"/>
  </w:style>
  <w:style w:type="paragraph" w:styleId="39">
    <w:name w:val="List Bullet"/>
    <w:basedOn w:val="1"/>
    <w:unhideWhenUsed/>
    <w:qFormat/>
    <w:uiPriority w:val="0"/>
    <w:pPr>
      <w:numPr>
        <w:ilvl w:val="0"/>
        <w:numId w:val="1"/>
      </w:numPr>
      <w:spacing w:after="200" w:line="276" w:lineRule="auto"/>
    </w:pPr>
    <w:rPr>
      <w:rFonts w:hint="eastAsia" w:ascii="Calibri" w:hAnsi="Calibri" w:eastAsia="Calibri"/>
      <w:sz w:val="22"/>
      <w:lang w:eastAsia="en-US"/>
    </w:rPr>
  </w:style>
  <w:style w:type="paragraph" w:styleId="40">
    <w:name w:val="List Number"/>
    <w:basedOn w:val="1"/>
    <w:unhideWhenUsed/>
    <w:qFormat/>
    <w:uiPriority w:val="0"/>
    <w:pPr>
      <w:numPr>
        <w:ilvl w:val="0"/>
        <w:numId w:val="2"/>
      </w:numPr>
    </w:pPr>
  </w:style>
  <w:style w:type="paragraph" w:styleId="41">
    <w:name w:val="Body Text Indent"/>
    <w:basedOn w:val="1"/>
    <w:link w:val="188"/>
    <w:unhideWhenUsed/>
    <w:qFormat/>
    <w:uiPriority w:val="0"/>
    <w:pPr>
      <w:ind w:left="2694" w:hanging="284"/>
      <w:jc w:val="both"/>
    </w:pPr>
  </w:style>
  <w:style w:type="table" w:styleId="42">
    <w:name w:val="Table Grid"/>
    <w:basedOn w:val="12"/>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xl333"/>
    <w:basedOn w:val="1"/>
    <w:unhideWhenUsed/>
    <w:qFormat/>
    <w:uiPriority w:val="0"/>
    <w:pPr>
      <w:pBdr>
        <w:top w:val="single" w:color="auto" w:sz="4" w:space="0"/>
        <w:bottom w:val="single" w:color="auto" w:sz="4" w:space="0"/>
      </w:pBdr>
      <w:shd w:val="clear" w:color="000000" w:fill="FFFFFF"/>
      <w:spacing w:before="100" w:beforeAutospacing="1" w:after="100" w:afterAutospacing="1"/>
      <w:jc w:val="center"/>
      <w:textAlignment w:val="center"/>
    </w:pPr>
    <w:rPr>
      <w:rFonts w:hint="eastAsia" w:ascii="Calibri" w:hAnsi="Calibri" w:eastAsia="Calibri"/>
      <w:color w:val="000000"/>
      <w:sz w:val="22"/>
    </w:rPr>
  </w:style>
  <w:style w:type="paragraph" w:customStyle="1" w:styleId="44">
    <w:name w:val="xl64"/>
    <w:basedOn w:val="1"/>
    <w:unhideWhenUsed/>
    <w:qFormat/>
    <w:uiPriority w:val="0"/>
    <w:pPr>
      <w:spacing w:before="100" w:beforeAutospacing="1" w:after="100" w:afterAutospacing="1"/>
      <w:jc w:val="center"/>
      <w:textAlignment w:val="center"/>
    </w:pPr>
    <w:rPr>
      <w:rFonts w:hint="eastAsia" w:eastAsia="Times New Roman"/>
    </w:rPr>
  </w:style>
  <w:style w:type="paragraph" w:customStyle="1" w:styleId="45">
    <w:name w:val="PADRÃO"/>
    <w:unhideWhenUsed/>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Times New Roman"/>
      <w:sz w:val="24"/>
      <w:lang w:val="pt-BR" w:eastAsia="zh-CN" w:bidi="ar-SA"/>
    </w:rPr>
  </w:style>
  <w:style w:type="paragraph" w:customStyle="1" w:styleId="46">
    <w:name w:val="PADRAO"/>
    <w:basedOn w:val="1"/>
    <w:unhideWhenUsed/>
    <w:qFormat/>
    <w:uiPriority w:val="0"/>
    <w:pPr>
      <w:spacing w:after="200" w:line="276" w:lineRule="auto"/>
      <w:jc w:val="both"/>
    </w:pPr>
    <w:rPr>
      <w:rFonts w:ascii="Tms Rmn" w:hAnsi="Tms Rmn" w:eastAsia="Times New Roman"/>
      <w:sz w:val="22"/>
      <w:lang w:val="en-US" w:eastAsia="en-US"/>
    </w:rPr>
  </w:style>
  <w:style w:type="paragraph" w:customStyle="1" w:styleId="47">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b/>
      <w:sz w:val="18"/>
    </w:rPr>
  </w:style>
  <w:style w:type="paragraph" w:customStyle="1" w:styleId="48">
    <w:name w:val="xl335"/>
    <w:basedOn w:val="1"/>
    <w:unhideWhenUsed/>
    <w:qFormat/>
    <w:uiPriority w:val="0"/>
    <w:pPr>
      <w:pBdr>
        <w:top w:val="single" w:color="auto" w:sz="4" w:space="0"/>
        <w:bottom w:val="single" w:color="auto" w:sz="4" w:space="0"/>
      </w:pBdr>
      <w:shd w:val="clear" w:color="000000" w:fill="FFFFFF"/>
      <w:spacing w:before="100" w:beforeAutospacing="1" w:after="100" w:afterAutospacing="1"/>
      <w:jc w:val="center"/>
      <w:textAlignment w:val="center"/>
    </w:pPr>
    <w:rPr>
      <w:rFonts w:hint="eastAsia" w:ascii="Calibri" w:hAnsi="Calibri" w:eastAsia="Calibri"/>
      <w:sz w:val="22"/>
    </w:rPr>
  </w:style>
  <w:style w:type="paragraph" w:customStyle="1" w:styleId="49">
    <w:name w:val="#Cabeçalho"/>
    <w:basedOn w:val="1"/>
    <w:unhideWhenUsed/>
    <w:qFormat/>
    <w:uiPriority w:val="0"/>
    <w:pPr>
      <w:spacing w:line="220" w:lineRule="exact"/>
      <w:jc w:val="both"/>
    </w:pPr>
    <w:rPr>
      <w:sz w:val="18"/>
    </w:rPr>
  </w:style>
  <w:style w:type="paragraph" w:customStyle="1" w:styleId="50">
    <w:name w:val="xl328"/>
    <w:basedOn w:val="1"/>
    <w:unhideWhenUsed/>
    <w:qFormat/>
    <w:uiPriority w:val="0"/>
    <w:pPr>
      <w:pBdr>
        <w:top w:val="single" w:color="auto" w:sz="4" w:space="0"/>
        <w:bottom w:val="single" w:color="auto" w:sz="4" w:space="0"/>
      </w:pBdr>
      <w:spacing w:before="100" w:beforeAutospacing="1" w:after="100" w:afterAutospacing="1"/>
      <w:textAlignment w:val="center"/>
    </w:pPr>
    <w:rPr>
      <w:rFonts w:hint="eastAsia" w:ascii="Calibri" w:hAnsi="Calibri" w:eastAsia="Calibri"/>
      <w:sz w:val="22"/>
    </w:rPr>
  </w:style>
  <w:style w:type="paragraph" w:customStyle="1" w:styleId="51">
    <w:name w:val="xl310"/>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52">
    <w:name w:val="n1"/>
    <w:basedOn w:val="1"/>
    <w:unhideWhenUsed/>
    <w:qFormat/>
    <w:uiPriority w:val="0"/>
    <w:pPr>
      <w:tabs>
        <w:tab w:val="left" w:pos="1134"/>
      </w:tabs>
      <w:spacing w:before="240"/>
      <w:jc w:val="both"/>
    </w:pPr>
    <w:rPr>
      <w:rFonts w:ascii="Arial" w:hAnsi="Arial" w:eastAsia="Calibri"/>
    </w:rPr>
  </w:style>
  <w:style w:type="paragraph" w:customStyle="1" w:styleId="53">
    <w:name w:val="xl338"/>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color w:val="000000"/>
      <w:sz w:val="22"/>
    </w:rPr>
  </w:style>
  <w:style w:type="paragraph" w:customStyle="1" w:styleId="54">
    <w:name w:val="xl348"/>
    <w:basedOn w:val="1"/>
    <w:unhideWhenUsed/>
    <w:qFormat/>
    <w:uiPriority w:val="0"/>
    <w:pPr>
      <w:pBdr>
        <w:bottom w:val="single" w:color="auto" w:sz="4" w:space="0"/>
      </w:pBdr>
      <w:shd w:val="clear" w:color="000000" w:fill="auto"/>
      <w:spacing w:before="100" w:beforeAutospacing="1" w:after="100" w:afterAutospacing="1"/>
      <w:jc w:val="center"/>
      <w:textAlignment w:val="center"/>
    </w:pPr>
    <w:rPr>
      <w:rFonts w:hint="eastAsia" w:ascii="Calibri" w:hAnsi="Calibri" w:eastAsia="Calibri"/>
      <w:b/>
      <w:color w:val="000000"/>
      <w:sz w:val="22"/>
    </w:rPr>
  </w:style>
  <w:style w:type="paragraph" w:customStyle="1" w:styleId="55">
    <w:name w:val="xl340"/>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56">
    <w:name w:val="xl344"/>
    <w:basedOn w:val="1"/>
    <w:unhideWhenUsed/>
    <w:qFormat/>
    <w:uiPriority w:val="0"/>
    <w:pPr>
      <w:pBdr>
        <w:top w:val="single" w:color="auto" w:sz="4" w:space="0"/>
        <w:bottom w:val="single" w:color="auto" w:sz="4" w:space="0"/>
      </w:pBdr>
      <w:spacing w:before="100" w:beforeAutospacing="1" w:after="100" w:afterAutospacing="1"/>
      <w:textAlignment w:val="center"/>
    </w:pPr>
    <w:rPr>
      <w:rFonts w:hint="eastAsia" w:ascii="Calibri" w:hAnsi="Calibri" w:eastAsia="Calibri"/>
      <w:i/>
      <w:sz w:val="22"/>
    </w:rPr>
  </w:style>
  <w:style w:type="paragraph" w:customStyle="1" w:styleId="57">
    <w:name w:val="Default"/>
    <w:basedOn w:val="1"/>
    <w:unhideWhenUsed/>
    <w:qFormat/>
    <w:uiPriority w:val="0"/>
    <w:pPr>
      <w:autoSpaceDE w:val="0"/>
      <w:autoSpaceDN w:val="0"/>
    </w:pPr>
    <w:rPr>
      <w:color w:val="000000"/>
    </w:rPr>
  </w:style>
  <w:style w:type="paragraph" w:styleId="58">
    <w:name w:val="No Spacing"/>
    <w:unhideWhenUsed/>
    <w:qFormat/>
    <w:uiPriority w:val="1"/>
    <w:rPr>
      <w:rFonts w:ascii="Times New Roman" w:hAnsi="Times New Roman" w:eastAsia="SimSun" w:cs="Times New Roman"/>
      <w:sz w:val="24"/>
      <w:lang w:val="pt-BR" w:eastAsia="pt-BR" w:bidi="ar-SA"/>
    </w:rPr>
  </w:style>
  <w:style w:type="paragraph" w:customStyle="1" w:styleId="59">
    <w:name w:val="xl316"/>
    <w:basedOn w:val="1"/>
    <w:unhideWhenUsed/>
    <w:qFormat/>
    <w:uiPriority w:val="0"/>
    <w:pPr>
      <w:pBdr>
        <w:top w:val="single" w:color="auto" w:sz="4" w:space="0"/>
      </w:pBdr>
      <w:shd w:val="clear" w:color="000000" w:fill="FFFFFF"/>
      <w:spacing w:before="100" w:beforeAutospacing="1" w:after="100" w:afterAutospacing="1"/>
      <w:jc w:val="center"/>
      <w:textAlignment w:val="center"/>
    </w:pPr>
    <w:rPr>
      <w:rFonts w:hint="eastAsia" w:ascii="Calibri" w:hAnsi="Calibri" w:eastAsia="Calibri"/>
      <w:b/>
      <w:color w:val="FF0000"/>
      <w:sz w:val="22"/>
    </w:rPr>
  </w:style>
  <w:style w:type="paragraph" w:customStyle="1" w:styleId="60">
    <w:name w:val="xl347"/>
    <w:basedOn w:val="1"/>
    <w:unhideWhenUsed/>
    <w:qFormat/>
    <w:uiPriority w:val="0"/>
    <w:pPr>
      <w:pBdr>
        <w:bottom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61">
    <w:name w:val="xl315"/>
    <w:basedOn w:val="1"/>
    <w:unhideWhenUsed/>
    <w:qFormat/>
    <w:uiPriority w:val="0"/>
    <w:pPr>
      <w:pBdr>
        <w:top w:val="single" w:color="auto" w:sz="4" w:space="0"/>
      </w:pBdr>
      <w:shd w:val="clear" w:color="000000" w:fill="FFFFFF"/>
      <w:spacing w:before="100" w:beforeAutospacing="1" w:after="100" w:afterAutospacing="1"/>
      <w:jc w:val="center"/>
      <w:textAlignment w:val="center"/>
    </w:pPr>
    <w:rPr>
      <w:rFonts w:hint="eastAsia" w:ascii="Calibri" w:hAnsi="Calibri" w:eastAsia="Calibri"/>
      <w:b/>
      <w:sz w:val="22"/>
    </w:rPr>
  </w:style>
  <w:style w:type="paragraph" w:customStyle="1" w:styleId="62">
    <w:name w:val="Nivel1"/>
    <w:basedOn w:val="2"/>
    <w:next w:val="1"/>
    <w:unhideWhenUsed/>
    <w:qFormat/>
    <w:uiPriority w:val="0"/>
    <w:pPr>
      <w:spacing w:line="276" w:lineRule="auto"/>
      <w:ind w:left="357" w:hanging="357"/>
      <w:jc w:val="both"/>
    </w:pPr>
    <w:rPr>
      <w:color w:val="000000"/>
      <w:sz w:val="20"/>
    </w:rPr>
  </w:style>
  <w:style w:type="paragraph" w:customStyle="1" w:styleId="63">
    <w:name w:val="xl343"/>
    <w:basedOn w:val="1"/>
    <w:unhideWhenUsed/>
    <w:qFormat/>
    <w:uiPriority w:val="0"/>
    <w:pPr>
      <w:pBdr>
        <w:top w:val="single" w:color="auto" w:sz="4" w:space="0"/>
        <w:bottom w:val="single" w:color="auto" w:sz="4" w:space="0"/>
      </w:pBdr>
      <w:spacing w:before="100" w:beforeAutospacing="1" w:after="100" w:afterAutospacing="1"/>
      <w:textAlignment w:val="center"/>
    </w:pPr>
    <w:rPr>
      <w:rFonts w:hint="eastAsia" w:ascii="Calibri" w:hAnsi="Calibri" w:eastAsia="Calibri"/>
      <w:i/>
      <w:sz w:val="22"/>
    </w:rPr>
  </w:style>
  <w:style w:type="paragraph" w:styleId="64">
    <w:name w:val="Intense Quote"/>
    <w:basedOn w:val="1"/>
    <w:next w:val="1"/>
    <w:link w:val="181"/>
    <w:unhideWhenUsed/>
    <w:qFormat/>
    <w:uiPriority w:val="30"/>
    <w:pPr>
      <w:pBdr>
        <w:bottom w:val="single" w:color="4F81BD" w:sz="4" w:space="4"/>
      </w:pBdr>
      <w:spacing w:before="200" w:after="280" w:line="276" w:lineRule="auto"/>
      <w:ind w:left="936" w:right="936"/>
    </w:pPr>
    <w:rPr>
      <w:rFonts w:hint="eastAsia" w:ascii="Calibri" w:hAnsi="Calibri" w:eastAsia="Calibri"/>
      <w:b/>
      <w:i/>
      <w:color w:val="4F81BD"/>
      <w:sz w:val="22"/>
      <w:lang w:val="en-US" w:eastAsia="en-US"/>
    </w:rPr>
  </w:style>
  <w:style w:type="paragraph" w:customStyle="1" w:styleId="65">
    <w:name w:val="xl331"/>
    <w:basedOn w:val="1"/>
    <w:unhideWhenUsed/>
    <w:qFormat/>
    <w:uiPriority w:val="0"/>
    <w:pPr>
      <w:pBdr>
        <w:top w:val="single" w:color="auto" w:sz="4" w:space="0"/>
        <w:bottom w:val="single" w:color="auto" w:sz="4" w:space="0"/>
      </w:pBdr>
      <w:spacing w:before="100" w:beforeAutospacing="1" w:after="100" w:afterAutospacing="1"/>
      <w:textAlignment w:val="center"/>
    </w:pPr>
    <w:rPr>
      <w:rFonts w:hint="eastAsia" w:ascii="Calibri" w:hAnsi="Calibri" w:eastAsia="Calibri"/>
      <w:i/>
      <w:color w:val="000000"/>
      <w:sz w:val="22"/>
    </w:rPr>
  </w:style>
  <w:style w:type="paragraph" w:customStyle="1" w:styleId="66">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b/>
      <w:sz w:val="18"/>
    </w:rPr>
  </w:style>
  <w:style w:type="paragraph" w:customStyle="1" w:styleId="67">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Autospacing="1" w:after="100" w:afterAutospacing="1"/>
      <w:jc w:val="right"/>
      <w:textAlignment w:val="center"/>
    </w:pPr>
    <w:rPr>
      <w:rFonts w:ascii="Arial" w:hAnsi="Arial" w:eastAsia="Times New Roman"/>
      <w:b/>
      <w:sz w:val="18"/>
    </w:rPr>
  </w:style>
  <w:style w:type="paragraph" w:customStyle="1" w:styleId="68">
    <w:name w:val="xl322"/>
    <w:basedOn w:val="1"/>
    <w:unhideWhenUsed/>
    <w:qFormat/>
    <w:uiPriority w:val="0"/>
    <w:pPr>
      <w:spacing w:before="100" w:beforeAutospacing="1" w:after="100" w:afterAutospacing="1"/>
      <w:jc w:val="center"/>
      <w:textAlignment w:val="center"/>
    </w:pPr>
    <w:rPr>
      <w:rFonts w:hint="eastAsia" w:ascii="Calibri" w:hAnsi="Calibri" w:eastAsia="Calibri"/>
      <w:color w:val="000000"/>
      <w:sz w:val="22"/>
    </w:rPr>
  </w:style>
  <w:style w:type="paragraph" w:customStyle="1" w:styleId="69">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sz w:val="18"/>
    </w:rPr>
  </w:style>
  <w:style w:type="paragraph" w:customStyle="1" w:styleId="70">
    <w:name w:val="xl330"/>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color w:val="000000"/>
      <w:sz w:val="22"/>
    </w:rPr>
  </w:style>
  <w:style w:type="paragraph" w:customStyle="1" w:styleId="71">
    <w:name w:val="xl49"/>
    <w:basedOn w:val="1"/>
    <w:unhideWhenUsed/>
    <w:qFormat/>
    <w:uiPriority w:val="0"/>
    <w:pPr>
      <w:spacing w:before="100" w:after="100"/>
      <w:jc w:val="center"/>
    </w:pPr>
    <w:rPr>
      <w:rFonts w:ascii="Arial" w:hAnsi="Arial" w:eastAsia="Calibri"/>
      <w:b/>
    </w:rPr>
  </w:style>
  <w:style w:type="paragraph" w:customStyle="1" w:styleId="72">
    <w:name w:val="Nivel_01_Titulo"/>
    <w:basedOn w:val="2"/>
    <w:next w:val="1"/>
    <w:unhideWhenUsed/>
    <w:qFormat/>
    <w:uiPriority w:val="0"/>
    <w:pPr>
      <w:numPr>
        <w:ilvl w:val="0"/>
        <w:numId w:val="3"/>
      </w:numPr>
      <w:tabs>
        <w:tab w:val="left" w:pos="567"/>
      </w:tabs>
      <w:spacing w:before="240"/>
      <w:jc w:val="both"/>
    </w:pPr>
    <w:rPr>
      <w:sz w:val="20"/>
    </w:rPr>
  </w:style>
  <w:style w:type="paragraph" w:customStyle="1" w:styleId="73">
    <w:name w:val="xl318"/>
    <w:basedOn w:val="1"/>
    <w:unhideWhenUsed/>
    <w:qFormat/>
    <w:uiPriority w:val="0"/>
    <w:pPr>
      <w:pBdr>
        <w:top w:val="single" w:color="auto" w:sz="4" w:space="0"/>
        <w:bottom w:val="single" w:color="auto" w:sz="4" w:space="0"/>
      </w:pBdr>
      <w:shd w:val="clear" w:color="000000" w:fill="FFFFFF"/>
      <w:spacing w:before="100" w:beforeAutospacing="1" w:after="100" w:afterAutospacing="1"/>
      <w:jc w:val="center"/>
      <w:textAlignment w:val="center"/>
    </w:pPr>
    <w:rPr>
      <w:rFonts w:hint="eastAsia" w:ascii="Calibri" w:hAnsi="Calibri" w:eastAsia="Calibri"/>
      <w:sz w:val="22"/>
    </w:rPr>
  </w:style>
  <w:style w:type="paragraph" w:customStyle="1" w:styleId="74">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sz w:val="18"/>
    </w:rPr>
  </w:style>
  <w:style w:type="paragraph" w:customStyle="1" w:styleId="75">
    <w:name w:val="xl73"/>
    <w:basedOn w:val="1"/>
    <w:unhideWhenUsed/>
    <w:qFormat/>
    <w:uiPriority w:val="0"/>
    <w:pPr>
      <w:spacing w:before="100" w:beforeAutospacing="1" w:after="100" w:afterAutospacing="1"/>
      <w:jc w:val="center"/>
      <w:textAlignment w:val="center"/>
    </w:pPr>
    <w:rPr>
      <w:rFonts w:hint="eastAsia" w:eastAsia="Times New Roman"/>
    </w:rPr>
  </w:style>
  <w:style w:type="paragraph" w:customStyle="1" w:styleId="76">
    <w:name w:val="xl317"/>
    <w:basedOn w:val="1"/>
    <w:unhideWhenUsed/>
    <w:qFormat/>
    <w:uiPriority w:val="0"/>
    <w:pPr>
      <w:pBdr>
        <w:top w:val="single" w:color="auto" w:sz="4" w:space="0"/>
      </w:pBdr>
      <w:shd w:val="clear" w:color="000000" w:fill="FFFFFF"/>
      <w:spacing w:before="100" w:beforeAutospacing="1" w:after="100" w:afterAutospacing="1"/>
      <w:jc w:val="center"/>
      <w:textAlignment w:val="center"/>
    </w:pPr>
    <w:rPr>
      <w:rFonts w:hint="eastAsia" w:ascii="Calibri" w:hAnsi="Calibri" w:eastAsia="Calibri"/>
      <w:b/>
      <w:sz w:val="22"/>
    </w:rPr>
  </w:style>
  <w:style w:type="paragraph" w:customStyle="1" w:styleId="77">
    <w:name w:val="WW-Corpo de texto 3"/>
    <w:basedOn w:val="1"/>
    <w:unhideWhenUsed/>
    <w:qFormat/>
    <w:uiPriority w:val="0"/>
    <w:pPr>
      <w:widowControl w:val="0"/>
      <w:suppressAutoHyphens/>
      <w:jc w:val="both"/>
    </w:pPr>
    <w:rPr>
      <w:rFonts w:ascii="Arial" w:hAnsi="Arial" w:eastAsia="Calibri"/>
    </w:rPr>
  </w:style>
  <w:style w:type="paragraph" w:customStyle="1" w:styleId="78">
    <w:name w:val="Nivel 01"/>
    <w:basedOn w:val="2"/>
    <w:next w:val="1"/>
    <w:unhideWhenUsed/>
    <w:qFormat/>
    <w:uiPriority w:val="0"/>
    <w:pPr>
      <w:numPr>
        <w:ilvl w:val="0"/>
        <w:numId w:val="4"/>
      </w:numPr>
      <w:spacing w:after="120" w:line="276" w:lineRule="auto"/>
      <w:ind w:right="-15"/>
      <w:jc w:val="both"/>
    </w:pPr>
    <w:rPr>
      <w:color w:val="000000"/>
      <w:sz w:val="20"/>
    </w:rPr>
  </w:style>
  <w:style w:type="paragraph" w:customStyle="1" w:styleId="79">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sz w:val="18"/>
    </w:rPr>
  </w:style>
  <w:style w:type="paragraph" w:customStyle="1" w:styleId="80">
    <w:name w:val="xl346"/>
    <w:basedOn w:val="1"/>
    <w:unhideWhenUsed/>
    <w:qFormat/>
    <w:uiPriority w:val="0"/>
    <w:pPr>
      <w:pBdr>
        <w:top w:val="single" w:color="auto" w:sz="4" w:space="0"/>
      </w:pBdr>
      <w:spacing w:before="100" w:beforeAutospacing="1" w:after="100" w:afterAutospacing="1"/>
      <w:jc w:val="center"/>
      <w:textAlignment w:val="center"/>
    </w:pPr>
    <w:rPr>
      <w:rFonts w:hint="eastAsia" w:ascii="Calibri" w:hAnsi="Calibri" w:eastAsia="Calibri"/>
      <w:color w:val="000000"/>
      <w:sz w:val="22"/>
    </w:rPr>
  </w:style>
  <w:style w:type="paragraph" w:customStyle="1" w:styleId="81">
    <w:name w:val="xl311"/>
    <w:basedOn w:val="1"/>
    <w:unhideWhenUsed/>
    <w:qFormat/>
    <w:uiPriority w:val="0"/>
    <w:pPr>
      <w:pBdr>
        <w:top w:val="single" w:color="auto" w:sz="4" w:space="0"/>
        <w:bottom w:val="single" w:color="auto" w:sz="4" w:space="0"/>
      </w:pBdr>
      <w:spacing w:before="100" w:beforeAutospacing="1" w:after="100" w:afterAutospacing="1"/>
      <w:textAlignment w:val="center"/>
    </w:pPr>
    <w:rPr>
      <w:rFonts w:hint="eastAsia" w:ascii="Calibri" w:hAnsi="Calibri" w:eastAsia="Calibri"/>
      <w:sz w:val="22"/>
    </w:rPr>
  </w:style>
  <w:style w:type="paragraph" w:customStyle="1" w:styleId="82">
    <w:name w:val="exp_txt_inicial"/>
    <w:basedOn w:val="1"/>
    <w:unhideWhenUsed/>
    <w:qFormat/>
    <w:uiPriority w:val="0"/>
    <w:pPr>
      <w:tabs>
        <w:tab w:val="right" w:pos="10206"/>
      </w:tabs>
      <w:spacing w:after="240"/>
    </w:pPr>
    <w:rPr>
      <w:spacing w:val="-5"/>
    </w:rPr>
  </w:style>
  <w:style w:type="paragraph" w:customStyle="1" w:styleId="83">
    <w:name w:val="xl325"/>
    <w:basedOn w:val="1"/>
    <w:unhideWhenUsed/>
    <w:qFormat/>
    <w:uiPriority w:val="0"/>
    <w:pPr>
      <w:pBdr>
        <w:top w:val="single" w:color="auto" w:sz="4" w:space="0"/>
        <w:bottom w:val="single" w:color="auto" w:sz="4" w:space="0"/>
      </w:pBdr>
      <w:shd w:val="clear" w:color="000000" w:fill="FFFFFF"/>
      <w:spacing w:before="100" w:beforeAutospacing="1" w:after="100" w:afterAutospacing="1"/>
      <w:jc w:val="center"/>
      <w:textAlignment w:val="center"/>
    </w:pPr>
    <w:rPr>
      <w:rFonts w:hint="eastAsia" w:ascii="Calibri" w:hAnsi="Calibri" w:eastAsia="Calibri"/>
      <w:sz w:val="22"/>
    </w:rPr>
  </w:style>
  <w:style w:type="paragraph" w:customStyle="1" w:styleId="84">
    <w:name w:val="xl334"/>
    <w:basedOn w:val="1"/>
    <w:unhideWhenUsed/>
    <w:qFormat/>
    <w:uiPriority w:val="0"/>
    <w:pPr>
      <w:pBdr>
        <w:top w:val="single" w:color="auto" w:sz="4" w:space="0"/>
        <w:bottom w:val="single" w:color="auto" w:sz="4" w:space="0"/>
      </w:pBdr>
      <w:shd w:val="clear" w:color="000000" w:fill="auto"/>
      <w:spacing w:before="100" w:beforeAutospacing="1" w:after="100" w:afterAutospacing="1"/>
      <w:jc w:val="center"/>
      <w:textAlignment w:val="center"/>
    </w:pPr>
    <w:rPr>
      <w:rFonts w:hint="eastAsia" w:ascii="Calibri" w:hAnsi="Calibri" w:eastAsia="Calibri"/>
      <w:color w:val="000000"/>
      <w:sz w:val="22"/>
    </w:rPr>
  </w:style>
  <w:style w:type="paragraph" w:customStyle="1" w:styleId="85">
    <w:name w:val="Body Text 21"/>
    <w:basedOn w:val="1"/>
    <w:unhideWhenUsed/>
    <w:qFormat/>
    <w:uiPriority w:val="0"/>
    <w:pPr>
      <w:snapToGrid w:val="0"/>
      <w:jc w:val="both"/>
    </w:pPr>
  </w:style>
  <w:style w:type="paragraph" w:styleId="86">
    <w:name w:val="Quote"/>
    <w:basedOn w:val="1"/>
    <w:next w:val="1"/>
    <w:link w:val="159"/>
    <w:unhideWhenUsed/>
    <w:qFormat/>
    <w:uiPriority w:val="29"/>
    <w:pPr>
      <w:pBdr>
        <w:top w:val="single" w:color="auto" w:sz="4" w:space="1"/>
        <w:left w:val="single" w:color="auto" w:sz="4" w:space="4"/>
        <w:bottom w:val="single" w:color="auto" w:sz="4" w:space="1"/>
        <w:right w:val="single" w:color="auto" w:sz="4" w:space="4"/>
      </w:pBdr>
      <w:spacing w:before="120"/>
      <w:jc w:val="both"/>
    </w:pPr>
    <w:rPr>
      <w:rFonts w:hint="eastAsia" w:ascii="Calibri" w:hAnsi="Calibri" w:eastAsia="Calibri"/>
      <w:i/>
      <w:color w:val="000000"/>
      <w:lang w:eastAsia="en-US"/>
    </w:rPr>
  </w:style>
  <w:style w:type="paragraph" w:customStyle="1" w:styleId="87">
    <w:name w:val="xl327"/>
    <w:basedOn w:val="1"/>
    <w:unhideWhenUsed/>
    <w:qFormat/>
    <w:uiPriority w:val="0"/>
    <w:pPr>
      <w:pBdr>
        <w:top w:val="single" w:color="auto" w:sz="4" w:space="0"/>
        <w:bottom w:val="single" w:color="auto" w:sz="4" w:space="0"/>
      </w:pBdr>
      <w:shd w:val="clear" w:color="000000" w:fill="FFFFFF"/>
      <w:spacing w:before="100" w:beforeAutospacing="1" w:after="100" w:afterAutospacing="1"/>
      <w:textAlignment w:val="center"/>
    </w:pPr>
    <w:rPr>
      <w:rFonts w:hint="eastAsia" w:ascii="Calibri" w:hAnsi="Calibri" w:eastAsia="Calibri"/>
      <w:sz w:val="22"/>
    </w:rPr>
  </w:style>
  <w:style w:type="paragraph" w:customStyle="1" w:styleId="88">
    <w:name w:val="Revisão1"/>
    <w:unhideWhenUsed/>
    <w:qFormat/>
    <w:uiPriority w:val="99"/>
    <w:rPr>
      <w:rFonts w:hint="eastAsia" w:ascii="Calibri" w:hAnsi="Calibri" w:eastAsia="Calibri" w:cs="Times New Roman"/>
      <w:sz w:val="22"/>
      <w:lang w:val="pt-BR" w:eastAsia="en-US" w:bidi="ar-SA"/>
    </w:rPr>
  </w:style>
  <w:style w:type="paragraph" w:customStyle="1" w:styleId="89">
    <w:name w:val="xl336"/>
    <w:basedOn w:val="1"/>
    <w:unhideWhenUsed/>
    <w:qFormat/>
    <w:uiPriority w:val="0"/>
    <w:pPr>
      <w:pBdr>
        <w:top w:val="single" w:color="auto" w:sz="4" w:space="0"/>
        <w:bottom w:val="single" w:color="auto" w:sz="4" w:space="0"/>
      </w:pBdr>
      <w:spacing w:before="100" w:beforeAutospacing="1" w:after="100" w:afterAutospacing="1"/>
      <w:textAlignment w:val="center"/>
    </w:pPr>
    <w:rPr>
      <w:rFonts w:hint="eastAsia" w:ascii="Calibri" w:hAnsi="Calibri" w:eastAsia="Calibri"/>
      <w:color w:val="000000"/>
      <w:sz w:val="22"/>
    </w:rPr>
  </w:style>
  <w:style w:type="paragraph" w:customStyle="1" w:styleId="90">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b/>
      <w:sz w:val="18"/>
    </w:rPr>
  </w:style>
  <w:style w:type="paragraph" w:customStyle="1" w:styleId="91">
    <w:name w:val="meramente"/>
    <w:basedOn w:val="1"/>
    <w:unhideWhenUsed/>
    <w:qFormat/>
    <w:uiPriority w:val="0"/>
    <w:pPr>
      <w:spacing w:before="100" w:beforeAutospacing="1" w:after="100" w:afterAutospacing="1" w:line="276" w:lineRule="auto"/>
    </w:pPr>
    <w:rPr>
      <w:rFonts w:hint="eastAsia" w:ascii="Calibri" w:hAnsi="Calibri" w:eastAsia="Calibri"/>
      <w:sz w:val="22"/>
      <w:lang w:val="en-US" w:eastAsia="en-US"/>
    </w:rPr>
  </w:style>
  <w:style w:type="paragraph" w:customStyle="1" w:styleId="92">
    <w:name w:val="xl342"/>
    <w:basedOn w:val="1"/>
    <w:unhideWhenUsed/>
    <w:qFormat/>
    <w:uiPriority w:val="0"/>
    <w:pPr>
      <w:pBdr>
        <w:bottom w:val="single" w:color="auto" w:sz="4" w:space="0"/>
      </w:pBdr>
      <w:spacing w:before="100" w:beforeAutospacing="1" w:after="100" w:afterAutospacing="1"/>
      <w:jc w:val="center"/>
      <w:textAlignment w:val="center"/>
    </w:pPr>
    <w:rPr>
      <w:rFonts w:hint="eastAsia" w:ascii="Calibri" w:hAnsi="Calibri" w:eastAsia="Calibri"/>
      <w:color w:val="000000"/>
      <w:sz w:val="22"/>
    </w:rPr>
  </w:style>
  <w:style w:type="paragraph" w:customStyle="1" w:styleId="93">
    <w:name w:val="xl314"/>
    <w:basedOn w:val="1"/>
    <w:unhideWhenUsed/>
    <w:qFormat/>
    <w:uiPriority w:val="0"/>
    <w:pPr>
      <w:pBdr>
        <w:top w:val="single" w:color="auto" w:sz="4" w:space="0"/>
      </w:pBdr>
      <w:shd w:val="clear" w:color="000000" w:fill="FFFFFF"/>
      <w:spacing w:before="100" w:beforeAutospacing="1" w:after="100" w:afterAutospacing="1"/>
      <w:jc w:val="center"/>
      <w:textAlignment w:val="center"/>
    </w:pPr>
    <w:rPr>
      <w:rFonts w:hint="eastAsia" w:ascii="Calibri" w:hAnsi="Calibri" w:eastAsia="Calibri"/>
      <w:b/>
      <w:color w:val="000000"/>
      <w:sz w:val="22"/>
    </w:rPr>
  </w:style>
  <w:style w:type="paragraph" w:customStyle="1" w:styleId="94">
    <w:name w:val="xl339"/>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95">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Autospacing="1" w:after="100" w:afterAutospacing="1"/>
      <w:jc w:val="center"/>
      <w:textAlignment w:val="center"/>
    </w:pPr>
    <w:rPr>
      <w:rFonts w:ascii="Arial" w:hAnsi="Arial" w:eastAsia="Times New Roman"/>
      <w:b/>
      <w:sz w:val="18"/>
    </w:rPr>
  </w:style>
  <w:style w:type="paragraph" w:customStyle="1" w:styleId="96">
    <w:name w:val="xl63"/>
    <w:basedOn w:val="1"/>
    <w:unhideWhenUsed/>
    <w:qFormat/>
    <w:uiPriority w:val="0"/>
    <w:pPr>
      <w:spacing w:before="100" w:beforeAutospacing="1" w:after="100" w:afterAutospacing="1"/>
      <w:textAlignment w:val="center"/>
    </w:pPr>
    <w:rPr>
      <w:rFonts w:hint="eastAsia" w:eastAsia="Times New Roman"/>
    </w:rPr>
  </w:style>
  <w:style w:type="paragraph" w:customStyle="1" w:styleId="97">
    <w:name w:val="font6"/>
    <w:basedOn w:val="1"/>
    <w:unhideWhenUsed/>
    <w:qFormat/>
    <w:uiPriority w:val="0"/>
    <w:pPr>
      <w:spacing w:before="100" w:beforeAutospacing="1" w:after="100" w:afterAutospacing="1"/>
    </w:pPr>
    <w:rPr>
      <w:rFonts w:ascii="Arial" w:hAnsi="Arial" w:eastAsia="Times New Roman"/>
      <w:color w:val="000000"/>
      <w:sz w:val="18"/>
    </w:rPr>
  </w:style>
  <w:style w:type="paragraph" w:customStyle="1" w:styleId="98">
    <w:name w:val="xl332"/>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color w:val="000000"/>
      <w:sz w:val="22"/>
    </w:rPr>
  </w:style>
  <w:style w:type="paragraph" w:customStyle="1" w:styleId="99">
    <w:name w:val="Solon1"/>
    <w:basedOn w:val="1"/>
    <w:unhideWhenUsed/>
    <w:qFormat/>
    <w:uiPriority w:val="0"/>
    <w:pPr>
      <w:numPr>
        <w:ilvl w:val="0"/>
        <w:numId w:val="5"/>
      </w:numPr>
      <w:tabs>
        <w:tab w:val="left" w:pos="1134"/>
        <w:tab w:val="left" w:pos="1209"/>
      </w:tabs>
      <w:spacing w:after="240"/>
      <w:ind w:left="1209" w:hanging="360"/>
      <w:jc w:val="both"/>
    </w:pPr>
  </w:style>
  <w:style w:type="paragraph" w:customStyle="1" w:styleId="100">
    <w:name w:val="Blockquote"/>
    <w:basedOn w:val="1"/>
    <w:unhideWhenUsed/>
    <w:qFormat/>
    <w:uiPriority w:val="0"/>
    <w:pPr>
      <w:spacing w:before="100" w:after="100"/>
      <w:ind w:left="360" w:right="360"/>
    </w:pPr>
  </w:style>
  <w:style w:type="paragraph" w:customStyle="1" w:styleId="101">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jc w:val="both"/>
    </w:pPr>
    <w:rPr>
      <w:rFonts w:hint="eastAsia" w:ascii="Calibri" w:hAnsi="Calibri" w:eastAsia="Calibri"/>
      <w:i/>
      <w:color w:val="000000"/>
      <w:lang w:eastAsia="en-US"/>
    </w:rPr>
  </w:style>
  <w:style w:type="paragraph" w:customStyle="1" w:styleId="102">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Autospacing="1" w:after="100" w:afterAutospacing="1"/>
      <w:jc w:val="right"/>
      <w:textAlignment w:val="center"/>
    </w:pPr>
    <w:rPr>
      <w:rFonts w:ascii="Arial" w:hAnsi="Arial" w:eastAsia="Times New Roman"/>
      <w:b/>
      <w:sz w:val="18"/>
    </w:rPr>
  </w:style>
  <w:style w:type="paragraph" w:styleId="103">
    <w:name w:val="List Paragraph"/>
    <w:basedOn w:val="1"/>
    <w:unhideWhenUsed/>
    <w:qFormat/>
    <w:uiPriority w:val="99"/>
    <w:pPr>
      <w:ind w:left="720"/>
    </w:pPr>
  </w:style>
  <w:style w:type="paragraph" w:customStyle="1" w:styleId="104">
    <w:name w:val="xl326"/>
    <w:basedOn w:val="1"/>
    <w:unhideWhenUsed/>
    <w:qFormat/>
    <w:uiPriority w:val="0"/>
    <w:pPr>
      <w:spacing w:before="100" w:beforeAutospacing="1" w:after="100" w:afterAutospacing="1"/>
    </w:pPr>
    <w:rPr>
      <w:rFonts w:hint="eastAsia" w:ascii="Calibri" w:hAnsi="Calibri" w:eastAsia="Calibri"/>
      <w:sz w:val="22"/>
    </w:rPr>
  </w:style>
  <w:style w:type="paragraph" w:customStyle="1" w:styleId="105">
    <w:name w:val="N21"/>
    <w:basedOn w:val="1"/>
    <w:unhideWhenUsed/>
    <w:qFormat/>
    <w:uiPriority w:val="0"/>
    <w:pPr>
      <w:spacing w:before="60"/>
      <w:ind w:left="2268" w:hanging="425"/>
      <w:jc w:val="both"/>
    </w:pPr>
    <w:rPr>
      <w:rFonts w:ascii="Arial" w:hAnsi="Arial" w:eastAsia="Calibri"/>
    </w:rPr>
  </w:style>
  <w:style w:type="paragraph" w:customStyle="1" w:styleId="106">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Autospacing="1" w:after="100" w:afterAutospacing="1"/>
      <w:textAlignment w:val="center"/>
    </w:pPr>
    <w:rPr>
      <w:rFonts w:ascii="Arial" w:hAnsi="Arial" w:eastAsia="Times New Roman"/>
      <w:b/>
      <w:sz w:val="18"/>
    </w:rPr>
  </w:style>
  <w:style w:type="paragraph" w:customStyle="1" w:styleId="107">
    <w:name w:val="citação 2"/>
    <w:basedOn w:val="86"/>
    <w:unhideWhenUsed/>
    <w:qFormat/>
    <w:uiPriority w:val="0"/>
  </w:style>
  <w:style w:type="paragraph" w:customStyle="1" w:styleId="108">
    <w:name w:val="Contrato"/>
    <w:basedOn w:val="1"/>
    <w:unhideWhenUsed/>
    <w:qFormat/>
    <w:uiPriority w:val="0"/>
    <w:pPr>
      <w:tabs>
        <w:tab w:val="left" w:pos="360"/>
        <w:tab w:val="left" w:pos="926"/>
      </w:tabs>
      <w:spacing w:after="240"/>
      <w:ind w:left="926" w:hanging="360"/>
      <w:jc w:val="both"/>
    </w:pPr>
  </w:style>
  <w:style w:type="paragraph" w:customStyle="1" w:styleId="109">
    <w:name w:val="xl321"/>
    <w:basedOn w:val="1"/>
    <w:unhideWhenUsed/>
    <w:qFormat/>
    <w:uiPriority w:val="0"/>
    <w:pPr>
      <w:pBdr>
        <w:bottom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110">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eastAsia="Times New Roman"/>
    </w:rPr>
  </w:style>
  <w:style w:type="paragraph" w:customStyle="1" w:styleId="111">
    <w:name w:val="xl337"/>
    <w:basedOn w:val="1"/>
    <w:unhideWhenUsed/>
    <w:qFormat/>
    <w:uiPriority w:val="0"/>
    <w:pPr>
      <w:pBdr>
        <w:top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112">
    <w:name w:val="xl341"/>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color w:val="000000"/>
      <w:sz w:val="22"/>
    </w:rPr>
  </w:style>
  <w:style w:type="paragraph" w:customStyle="1" w:styleId="113">
    <w:name w:val="xl312"/>
    <w:basedOn w:val="1"/>
    <w:unhideWhenUsed/>
    <w:qFormat/>
    <w:uiPriority w:val="0"/>
    <w:pPr>
      <w:spacing w:before="100" w:beforeAutospacing="1" w:after="100" w:afterAutospacing="1"/>
      <w:jc w:val="center"/>
    </w:pPr>
    <w:rPr>
      <w:rFonts w:hint="eastAsia" w:ascii="Calibri" w:hAnsi="Calibri" w:eastAsia="Calibri"/>
      <w:color w:val="000000"/>
      <w:sz w:val="22"/>
    </w:rPr>
  </w:style>
  <w:style w:type="paragraph" w:customStyle="1" w:styleId="114">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Autospacing="1" w:after="100" w:afterAutospacing="1"/>
      <w:jc w:val="center"/>
      <w:textAlignment w:val="center"/>
    </w:pPr>
    <w:rPr>
      <w:rFonts w:ascii="Arial" w:hAnsi="Arial" w:eastAsia="Times New Roman"/>
      <w:b/>
      <w:sz w:val="18"/>
    </w:rPr>
  </w:style>
  <w:style w:type="paragraph" w:customStyle="1" w:styleId="115">
    <w:name w:val="xl324"/>
    <w:basedOn w:val="1"/>
    <w:unhideWhenUsed/>
    <w:qFormat/>
    <w:uiPriority w:val="0"/>
    <w:pPr>
      <w:spacing w:before="100" w:beforeAutospacing="1" w:after="100" w:afterAutospacing="1"/>
      <w:jc w:val="center"/>
    </w:pPr>
    <w:rPr>
      <w:rFonts w:hint="eastAsia" w:ascii="Calibri" w:hAnsi="Calibri" w:eastAsia="Calibri"/>
      <w:sz w:val="22"/>
    </w:rPr>
  </w:style>
  <w:style w:type="paragraph" w:customStyle="1" w:styleId="116">
    <w:name w:val="Título da Tabela"/>
    <w:basedOn w:val="1"/>
    <w:unhideWhenUsed/>
    <w:qFormat/>
    <w:uiPriority w:val="0"/>
    <w:pPr>
      <w:widowControl w:val="0"/>
      <w:suppressLineNumbers/>
      <w:suppressAutoHyphens/>
      <w:spacing w:after="120"/>
      <w:jc w:val="center"/>
    </w:pPr>
    <w:rPr>
      <w:rFonts w:hint="eastAsia" w:eastAsia="Times New Roman"/>
      <w:b/>
      <w:i/>
    </w:rPr>
  </w:style>
  <w:style w:type="paragraph" w:customStyle="1" w:styleId="117">
    <w:name w:val="Estilo1"/>
    <w:basedOn w:val="1"/>
    <w:unhideWhenUsed/>
    <w:qFormat/>
    <w:uiPriority w:val="0"/>
    <w:pPr>
      <w:tabs>
        <w:tab w:val="left" w:pos="2268"/>
      </w:tabs>
      <w:ind w:left="2410" w:hanging="992"/>
      <w:jc w:val="both"/>
    </w:pPr>
  </w:style>
  <w:style w:type="paragraph" w:customStyle="1" w:styleId="118">
    <w:name w:val="Parágrafo da Lista1"/>
    <w:basedOn w:val="1"/>
    <w:unhideWhenUsed/>
    <w:qFormat/>
    <w:uiPriority w:val="0"/>
    <w:pPr>
      <w:ind w:left="720"/>
    </w:pPr>
    <w:rPr>
      <w:rFonts w:ascii="Ecofont_Spranq_eco_Sans" w:hAnsi="Ecofont_Spranq_eco_Sans" w:eastAsia="Calibri"/>
    </w:rPr>
  </w:style>
  <w:style w:type="paragraph" w:customStyle="1" w:styleId="119">
    <w:name w:val="Cabeçalho do Sumário1"/>
    <w:basedOn w:val="2"/>
    <w:next w:val="1"/>
    <w:unhideWhenUsed/>
    <w:qFormat/>
    <w:uiPriority w:val="39"/>
    <w:pPr>
      <w:keepLines/>
      <w:spacing w:before="480" w:after="0" w:line="276" w:lineRule="auto"/>
      <w:ind w:left="0"/>
      <w:outlineLvl w:val="9"/>
    </w:pPr>
    <w:rPr>
      <w:rFonts w:ascii="Cambria" w:hAnsi="Cambria" w:eastAsia="Times New Roman"/>
      <w:kern w:val="0"/>
      <w:sz w:val="28"/>
      <w:lang w:val="en-US" w:eastAsia="en-US"/>
    </w:rPr>
  </w:style>
  <w:style w:type="paragraph" w:customStyle="1" w:styleId="120">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jc w:val="both"/>
    </w:pPr>
    <w:rPr>
      <w:rFonts w:ascii="Ecofont_Spranq_eco_Sans" w:hAnsi="Ecofont_Spranq_eco_Sans" w:eastAsia="Calibri"/>
      <w:i/>
      <w:color w:val="000000"/>
      <w:lang w:eastAsia="en-US"/>
    </w:rPr>
  </w:style>
  <w:style w:type="paragraph" w:customStyle="1" w:styleId="121">
    <w:name w:val="xl345"/>
    <w:basedOn w:val="1"/>
    <w:unhideWhenUsed/>
    <w:qFormat/>
    <w:uiPriority w:val="0"/>
    <w:pPr>
      <w:pBdr>
        <w:top w:val="single" w:color="auto" w:sz="4" w:space="0"/>
        <w:bottom w:val="single" w:color="auto" w:sz="4" w:space="0"/>
      </w:pBdr>
      <w:spacing w:before="100" w:beforeAutospacing="1" w:after="100" w:afterAutospacing="1"/>
      <w:textAlignment w:val="center"/>
    </w:pPr>
    <w:rPr>
      <w:rFonts w:hint="eastAsia" w:ascii="Calibri" w:hAnsi="Calibri" w:eastAsia="Calibri"/>
      <w:color w:val="000000"/>
      <w:sz w:val="22"/>
    </w:rPr>
  </w:style>
  <w:style w:type="paragraph" w:customStyle="1" w:styleId="122">
    <w:name w:val="ContratoTitulo"/>
    <w:basedOn w:val="1"/>
    <w:next w:val="108"/>
    <w:unhideWhenUsed/>
    <w:qFormat/>
    <w:uiPriority w:val="0"/>
    <w:pPr>
      <w:numPr>
        <w:ilvl w:val="1"/>
        <w:numId w:val="6"/>
      </w:numPr>
      <w:spacing w:after="240"/>
      <w:ind w:left="1701" w:hanging="283"/>
    </w:pPr>
    <w:rPr>
      <w:rFonts w:ascii="Arial" w:hAnsi="Arial" w:eastAsia="Calibri"/>
      <w:b/>
    </w:rPr>
  </w:style>
  <w:style w:type="paragraph" w:customStyle="1" w:styleId="123">
    <w:name w:val="xl313"/>
    <w:basedOn w:val="1"/>
    <w:unhideWhenUsed/>
    <w:qFormat/>
    <w:uiPriority w:val="0"/>
    <w:pPr>
      <w:pBdr>
        <w:top w:val="single" w:color="auto" w:sz="4" w:space="0"/>
      </w:pBdr>
      <w:shd w:val="clear" w:color="000000" w:fill="FFFFFF"/>
      <w:spacing w:before="100" w:beforeAutospacing="1" w:after="100" w:afterAutospacing="1"/>
      <w:jc w:val="center"/>
      <w:textAlignment w:val="center"/>
    </w:pPr>
    <w:rPr>
      <w:rFonts w:hint="eastAsia" w:ascii="Calibri" w:hAnsi="Calibri" w:eastAsia="Calibri"/>
      <w:b/>
      <w:color w:val="000000"/>
      <w:sz w:val="22"/>
    </w:rPr>
  </w:style>
  <w:style w:type="paragraph" w:customStyle="1" w:styleId="124">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eastAsia="Calibri"/>
      <w:b/>
      <w:caps/>
      <w:lang w:eastAsia="en-US"/>
    </w:rPr>
  </w:style>
  <w:style w:type="paragraph" w:customStyle="1" w:styleId="125">
    <w:name w:val="western"/>
    <w:basedOn w:val="1"/>
    <w:unhideWhenUsed/>
    <w:qFormat/>
    <w:uiPriority w:val="0"/>
    <w:pPr>
      <w:suppressAutoHyphens/>
      <w:spacing w:before="280" w:after="119"/>
    </w:pPr>
    <w:rPr>
      <w:rFonts w:hint="eastAsia" w:eastAsia="Times New Roman"/>
      <w:lang w:eastAsia="ar-SA"/>
    </w:rPr>
  </w:style>
  <w:style w:type="paragraph" w:customStyle="1" w:styleId="126">
    <w:name w:val="Intro"/>
    <w:unhideWhenUsed/>
    <w:qFormat/>
    <w:uiPriority w:val="0"/>
    <w:pPr>
      <w:suppressAutoHyphens/>
      <w:ind w:firstLine="1418"/>
      <w:jc w:val="both"/>
    </w:pPr>
    <w:rPr>
      <w:rFonts w:ascii="Arial" w:hAnsi="Arial" w:eastAsia="Calibri" w:cs="Times New Roman"/>
      <w:sz w:val="24"/>
      <w:lang w:val="pt-BR" w:eastAsia="ar-SA" w:bidi="ar-SA"/>
    </w:rPr>
  </w:style>
  <w:style w:type="paragraph" w:customStyle="1" w:styleId="127">
    <w:name w:val="xl323"/>
    <w:basedOn w:val="1"/>
    <w:unhideWhenUsed/>
    <w:qFormat/>
    <w:uiPriority w:val="0"/>
    <w:pPr>
      <w:spacing w:before="100" w:beforeAutospacing="1" w:after="100" w:afterAutospacing="1"/>
    </w:pPr>
    <w:rPr>
      <w:rFonts w:hint="eastAsia" w:ascii="Calibri" w:hAnsi="Calibri" w:eastAsia="Calibri"/>
      <w:sz w:val="22"/>
    </w:rPr>
  </w:style>
  <w:style w:type="paragraph" w:customStyle="1" w:styleId="128">
    <w:name w:val="Nível 2"/>
    <w:basedOn w:val="1"/>
    <w:next w:val="1"/>
    <w:unhideWhenUsed/>
    <w:qFormat/>
    <w:uiPriority w:val="0"/>
    <w:pPr>
      <w:spacing w:after="120"/>
      <w:jc w:val="both"/>
    </w:pPr>
    <w:rPr>
      <w:rFonts w:ascii="Arial" w:hAnsi="Arial" w:eastAsia="Calibri"/>
      <w:b/>
    </w:rPr>
  </w:style>
  <w:style w:type="paragraph" w:customStyle="1" w:styleId="129">
    <w:name w:val="Cabeçalho.encabezado1"/>
    <w:basedOn w:val="1"/>
    <w:unhideWhenUsed/>
    <w:qFormat/>
    <w:uiPriority w:val="0"/>
    <w:pPr>
      <w:tabs>
        <w:tab w:val="center" w:pos="4419"/>
        <w:tab w:val="right" w:pos="8838"/>
      </w:tabs>
      <w:spacing w:after="200" w:line="276" w:lineRule="auto"/>
    </w:pPr>
    <w:rPr>
      <w:rFonts w:ascii="Arial" w:hAnsi="Arial" w:eastAsia="Times New Roman"/>
      <w:sz w:val="22"/>
      <w:lang w:val="en-US" w:eastAsia="en-US"/>
    </w:rPr>
  </w:style>
  <w:style w:type="paragraph" w:customStyle="1" w:styleId="130">
    <w:name w:val="xl320"/>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131">
    <w:name w:val="font5"/>
    <w:basedOn w:val="1"/>
    <w:unhideWhenUsed/>
    <w:qFormat/>
    <w:uiPriority w:val="0"/>
    <w:pPr>
      <w:spacing w:before="100" w:beforeAutospacing="1" w:after="100" w:afterAutospacing="1"/>
    </w:pPr>
    <w:rPr>
      <w:rFonts w:ascii="Arial" w:hAnsi="Arial" w:eastAsia="Times New Roman"/>
      <w:b/>
      <w:color w:val="000000"/>
      <w:sz w:val="18"/>
    </w:rPr>
  </w:style>
  <w:style w:type="paragraph" w:customStyle="1" w:styleId="132">
    <w:name w:val="xl319"/>
    <w:basedOn w:val="1"/>
    <w:unhideWhenUsed/>
    <w:qFormat/>
    <w:uiPriority w:val="0"/>
    <w:pPr>
      <w:spacing w:before="100" w:beforeAutospacing="1" w:after="100" w:afterAutospacing="1"/>
    </w:pPr>
    <w:rPr>
      <w:rFonts w:hint="eastAsia" w:ascii="Calibri" w:hAnsi="Calibri" w:eastAsia="Calibri"/>
      <w:color w:val="000000"/>
      <w:sz w:val="22"/>
    </w:rPr>
  </w:style>
  <w:style w:type="paragraph" w:customStyle="1" w:styleId="133">
    <w:name w:val="xl329"/>
    <w:basedOn w:val="1"/>
    <w:unhideWhenUsed/>
    <w:qFormat/>
    <w:uiPriority w:val="0"/>
    <w:pPr>
      <w:pBdr>
        <w:top w:val="single" w:color="auto" w:sz="4" w:space="0"/>
        <w:bottom w:val="single" w:color="auto" w:sz="4" w:space="0"/>
      </w:pBdr>
      <w:spacing w:before="100" w:beforeAutospacing="1" w:after="100" w:afterAutospacing="1"/>
      <w:jc w:val="center"/>
      <w:textAlignment w:val="center"/>
    </w:pPr>
    <w:rPr>
      <w:rFonts w:hint="eastAsia" w:ascii="Calibri" w:hAnsi="Calibri" w:eastAsia="Calibri"/>
      <w:sz w:val="22"/>
    </w:rPr>
  </w:style>
  <w:style w:type="paragraph" w:customStyle="1" w:styleId="134">
    <w:name w:val="ec_msoheader"/>
    <w:basedOn w:val="1"/>
    <w:unhideWhenUsed/>
    <w:qFormat/>
    <w:uiPriority w:val="0"/>
    <w:pPr>
      <w:spacing w:before="100" w:beforeAutospacing="1" w:after="100" w:afterAutospacing="1"/>
    </w:pPr>
  </w:style>
  <w:style w:type="character" w:customStyle="1" w:styleId="135">
    <w:name w:val="yah20mfa"/>
    <w:basedOn w:val="11"/>
    <w:unhideWhenUsed/>
    <w:qFormat/>
    <w:uiPriority w:val="0"/>
    <w:rPr>
      <w:rFonts w:hint="default"/>
      <w:sz w:val="24"/>
    </w:rPr>
  </w:style>
  <w:style w:type="character" w:customStyle="1" w:styleId="136">
    <w:name w:val="f51f35c97"/>
    <w:basedOn w:val="11"/>
    <w:unhideWhenUsed/>
    <w:qFormat/>
    <w:uiPriority w:val="0"/>
    <w:rPr>
      <w:rFonts w:hint="default"/>
      <w:sz w:val="24"/>
    </w:rPr>
  </w:style>
  <w:style w:type="character" w:customStyle="1" w:styleId="137">
    <w:name w:val="Recuo de corpo de texto 2 Char"/>
    <w:basedOn w:val="11"/>
    <w:link w:val="24"/>
    <w:unhideWhenUsed/>
    <w:qFormat/>
    <w:locked/>
    <w:uiPriority w:val="99"/>
    <w:rPr>
      <w:rFonts w:hint="default"/>
      <w:sz w:val="24"/>
    </w:rPr>
  </w:style>
  <w:style w:type="character" w:customStyle="1" w:styleId="138">
    <w:name w:val="apple-converted-space"/>
    <w:basedOn w:val="11"/>
    <w:unhideWhenUsed/>
    <w:qFormat/>
    <w:uiPriority w:val="0"/>
    <w:rPr>
      <w:rFonts w:hint="default"/>
      <w:sz w:val="24"/>
    </w:rPr>
  </w:style>
  <w:style w:type="character" w:customStyle="1" w:styleId="139">
    <w:name w:val="Estilo4"/>
    <w:basedOn w:val="11"/>
    <w:unhideWhenUsed/>
    <w:qFormat/>
    <w:uiPriority w:val="1"/>
    <w:rPr>
      <w:rFonts w:hint="eastAsia" w:ascii="Times New Roman" w:hAnsi="Times New Roman" w:eastAsia="Times New Roman"/>
      <w:b/>
      <w:sz w:val="24"/>
    </w:rPr>
  </w:style>
  <w:style w:type="character" w:customStyle="1" w:styleId="140">
    <w:name w:val="wsleo0881m0"/>
    <w:basedOn w:val="11"/>
    <w:unhideWhenUsed/>
    <w:qFormat/>
    <w:uiPriority w:val="0"/>
    <w:rPr>
      <w:rFonts w:hint="default"/>
      <w:sz w:val="24"/>
    </w:rPr>
  </w:style>
  <w:style w:type="character" w:customStyle="1" w:styleId="141">
    <w:name w:val="Cabeçalho Char"/>
    <w:unhideWhenUsed/>
    <w:qFormat/>
    <w:locked/>
    <w:uiPriority w:val="0"/>
    <w:rPr>
      <w:rFonts w:hint="eastAsia" w:ascii="Times New Roman" w:hAnsi="Times New Roman" w:eastAsia="Times New Roman"/>
      <w:sz w:val="24"/>
    </w:rPr>
  </w:style>
  <w:style w:type="character" w:styleId="142">
    <w:name w:val="Placeholder Text"/>
    <w:basedOn w:val="11"/>
    <w:unhideWhenUsed/>
    <w:qFormat/>
    <w:uiPriority w:val="99"/>
    <w:rPr>
      <w:rFonts w:hint="default"/>
      <w:color w:val="808080"/>
      <w:sz w:val="24"/>
    </w:rPr>
  </w:style>
  <w:style w:type="character" w:customStyle="1" w:styleId="143">
    <w:name w:val="om536z14twd3"/>
    <w:basedOn w:val="11"/>
    <w:unhideWhenUsed/>
    <w:qFormat/>
    <w:uiPriority w:val="0"/>
    <w:rPr>
      <w:rFonts w:hint="default"/>
      <w:sz w:val="24"/>
    </w:rPr>
  </w:style>
  <w:style w:type="character" w:customStyle="1" w:styleId="144">
    <w:name w:val="watch-title"/>
    <w:basedOn w:val="11"/>
    <w:unhideWhenUsed/>
    <w:qFormat/>
    <w:uiPriority w:val="0"/>
    <w:rPr>
      <w:rFonts w:hint="eastAsia" w:ascii="Times New Roman" w:hAnsi="Times New Roman" w:eastAsia="Times New Roman"/>
      <w:sz w:val="20"/>
    </w:rPr>
  </w:style>
  <w:style w:type="character" w:customStyle="1" w:styleId="145">
    <w:name w:val="Recuo de corpo de texto 3 Char"/>
    <w:link w:val="35"/>
    <w:unhideWhenUsed/>
    <w:qFormat/>
    <w:uiPriority w:val="0"/>
    <w:rPr>
      <w:rFonts w:hint="eastAsia" w:ascii="Times New Roman" w:hAnsi="Times New Roman" w:eastAsia="Times New Roman"/>
      <w:sz w:val="24"/>
    </w:rPr>
  </w:style>
  <w:style w:type="character" w:customStyle="1" w:styleId="146">
    <w:name w:val="Referência Intensa1"/>
    <w:unhideWhenUsed/>
    <w:qFormat/>
    <w:uiPriority w:val="32"/>
    <w:rPr>
      <w:rFonts w:hint="eastAsia" w:ascii="Times New Roman" w:hAnsi="Times New Roman" w:eastAsia="Times New Roman"/>
      <w:b/>
      <w:smallCaps/>
      <w:color w:val="auto"/>
      <w:spacing w:val="5"/>
      <w:sz w:val="24"/>
      <w:u w:val="single"/>
    </w:rPr>
  </w:style>
  <w:style w:type="character" w:customStyle="1" w:styleId="147">
    <w:name w:val="Título 9 Char"/>
    <w:basedOn w:val="11"/>
    <w:link w:val="10"/>
    <w:unhideWhenUsed/>
    <w:qFormat/>
    <w:locked/>
    <w:uiPriority w:val="9"/>
    <w:rPr>
      <w:rFonts w:hint="default"/>
      <w:sz w:val="24"/>
    </w:rPr>
  </w:style>
  <w:style w:type="character" w:customStyle="1" w:styleId="148">
    <w:name w:val="Título 3 Char"/>
    <w:basedOn w:val="11"/>
    <w:link w:val="4"/>
    <w:unhideWhenUsed/>
    <w:qFormat/>
    <w:locked/>
    <w:uiPriority w:val="9"/>
    <w:rPr>
      <w:rFonts w:hint="default"/>
      <w:b/>
      <w:sz w:val="24"/>
    </w:rPr>
  </w:style>
  <w:style w:type="character" w:customStyle="1" w:styleId="149">
    <w:name w:val="pre"/>
    <w:basedOn w:val="11"/>
    <w:unhideWhenUsed/>
    <w:qFormat/>
    <w:uiPriority w:val="0"/>
    <w:rPr>
      <w:rFonts w:hint="default"/>
      <w:sz w:val="24"/>
    </w:rPr>
  </w:style>
  <w:style w:type="character" w:customStyle="1" w:styleId="150">
    <w:name w:val="Título 2 Char"/>
    <w:basedOn w:val="11"/>
    <w:link w:val="3"/>
    <w:unhideWhenUsed/>
    <w:qFormat/>
    <w:locked/>
    <w:uiPriority w:val="9"/>
    <w:rPr>
      <w:rFonts w:hint="default"/>
      <w:b/>
      <w:color w:val="000000"/>
      <w:sz w:val="24"/>
    </w:rPr>
  </w:style>
  <w:style w:type="character" w:customStyle="1" w:styleId="151">
    <w:name w:val="Estilo7"/>
    <w:basedOn w:val="11"/>
    <w:unhideWhenUsed/>
    <w:qFormat/>
    <w:uiPriority w:val="1"/>
    <w:rPr>
      <w:rFonts w:hint="eastAsia" w:ascii="Times New Roman" w:hAnsi="Times New Roman" w:eastAsia="Times New Roman"/>
      <w:color w:val="auto"/>
      <w:sz w:val="24"/>
    </w:rPr>
  </w:style>
  <w:style w:type="character" w:customStyle="1" w:styleId="152">
    <w:name w:val="Texto de nota de rodapé Char"/>
    <w:basedOn w:val="11"/>
    <w:link w:val="38"/>
    <w:unhideWhenUsed/>
    <w:qFormat/>
    <w:locked/>
    <w:uiPriority w:val="99"/>
    <w:rPr>
      <w:rFonts w:hint="default"/>
      <w:sz w:val="24"/>
    </w:rPr>
  </w:style>
  <w:style w:type="character" w:customStyle="1" w:styleId="153">
    <w:name w:val="Referência Sutil1"/>
    <w:unhideWhenUsed/>
    <w:qFormat/>
    <w:uiPriority w:val="31"/>
    <w:rPr>
      <w:rFonts w:hint="eastAsia" w:ascii="Times New Roman" w:hAnsi="Times New Roman" w:eastAsia="Times New Roman"/>
      <w:smallCaps/>
      <w:color w:val="auto"/>
      <w:sz w:val="24"/>
      <w:u w:val="single"/>
    </w:rPr>
  </w:style>
  <w:style w:type="character" w:customStyle="1" w:styleId="154">
    <w:name w:val="v702n823zxz"/>
    <w:basedOn w:val="11"/>
    <w:unhideWhenUsed/>
    <w:qFormat/>
    <w:uiPriority w:val="0"/>
    <w:rPr>
      <w:rFonts w:hint="default"/>
      <w:sz w:val="24"/>
    </w:rPr>
  </w:style>
  <w:style w:type="character" w:customStyle="1" w:styleId="155">
    <w:name w:val="font1"/>
    <w:unhideWhenUsed/>
    <w:qFormat/>
    <w:uiPriority w:val="99"/>
    <w:rPr>
      <w:rFonts w:hint="default" w:ascii="Verdana" w:hAnsi="Verdana" w:eastAsia="Calibri"/>
      <w:color w:val="auto"/>
      <w:sz w:val="14"/>
    </w:rPr>
  </w:style>
  <w:style w:type="character" w:customStyle="1" w:styleId="156">
    <w:name w:val="Título Char"/>
    <w:basedOn w:val="11"/>
    <w:link w:val="25"/>
    <w:unhideWhenUsed/>
    <w:qFormat/>
    <w:locked/>
    <w:uiPriority w:val="10"/>
    <w:rPr>
      <w:rFonts w:hint="default"/>
      <w:b/>
      <w:snapToGrid w:val="0"/>
      <w:sz w:val="22"/>
    </w:rPr>
  </w:style>
  <w:style w:type="character" w:customStyle="1" w:styleId="157">
    <w:name w:val="Título 8 Char"/>
    <w:basedOn w:val="11"/>
    <w:link w:val="9"/>
    <w:unhideWhenUsed/>
    <w:qFormat/>
    <w:locked/>
    <w:uiPriority w:val="9"/>
    <w:rPr>
      <w:rFonts w:hint="default"/>
      <w:b/>
      <w:snapToGrid w:val="0"/>
      <w:sz w:val="24"/>
    </w:rPr>
  </w:style>
  <w:style w:type="character" w:customStyle="1" w:styleId="158">
    <w:name w:val="Char Char"/>
    <w:unhideWhenUsed/>
    <w:qFormat/>
    <w:uiPriority w:val="0"/>
    <w:rPr>
      <w:rFonts w:hint="eastAsia" w:ascii="Times New Roman" w:hAnsi="Times New Roman" w:eastAsia="Times New Roman"/>
      <w:b/>
      <w:sz w:val="20"/>
      <w:lang w:eastAsia="pt-BR"/>
    </w:rPr>
  </w:style>
  <w:style w:type="character" w:customStyle="1" w:styleId="159">
    <w:name w:val="Citação Char"/>
    <w:link w:val="86"/>
    <w:unhideWhenUsed/>
    <w:qFormat/>
    <w:uiPriority w:val="29"/>
    <w:rPr>
      <w:rFonts w:hint="eastAsia" w:ascii="Calibri" w:hAnsi="Calibri" w:eastAsia="Calibri"/>
      <w:i/>
      <w:color w:val="000000"/>
      <w:sz w:val="24"/>
      <w:lang w:eastAsia="en-US"/>
    </w:rPr>
  </w:style>
  <w:style w:type="character" w:customStyle="1" w:styleId="160">
    <w:name w:val="textolinha"/>
    <w:basedOn w:val="11"/>
    <w:unhideWhenUsed/>
    <w:qFormat/>
    <w:uiPriority w:val="0"/>
    <w:rPr>
      <w:rFonts w:hint="eastAsia" w:ascii="Times New Roman" w:hAnsi="Times New Roman" w:eastAsia="Times New Roman"/>
      <w:sz w:val="20"/>
    </w:rPr>
  </w:style>
  <w:style w:type="character" w:customStyle="1" w:styleId="161">
    <w:name w:val="Texto de balão Char"/>
    <w:basedOn w:val="11"/>
    <w:link w:val="36"/>
    <w:unhideWhenUsed/>
    <w:qFormat/>
    <w:locked/>
    <w:uiPriority w:val="99"/>
    <w:rPr>
      <w:rFonts w:hint="default" w:ascii="Tahoma" w:hAnsi="Tahoma" w:eastAsia="Calibri"/>
      <w:sz w:val="16"/>
    </w:rPr>
  </w:style>
  <w:style w:type="character" w:customStyle="1" w:styleId="162">
    <w:name w:val="Título 5 Char"/>
    <w:basedOn w:val="11"/>
    <w:link w:val="6"/>
    <w:unhideWhenUsed/>
    <w:qFormat/>
    <w:locked/>
    <w:uiPriority w:val="9"/>
    <w:rPr>
      <w:rFonts w:hint="default"/>
      <w:b/>
      <w:sz w:val="24"/>
    </w:rPr>
  </w:style>
  <w:style w:type="character" w:customStyle="1" w:styleId="163">
    <w:name w:val="Subtítulo Char"/>
    <w:link w:val="37"/>
    <w:unhideWhenUsed/>
    <w:qFormat/>
    <w:uiPriority w:val="11"/>
    <w:rPr>
      <w:rFonts w:hint="default" w:ascii="Cambria" w:hAnsi="Cambria" w:eastAsia="SimSun"/>
      <w:i/>
      <w:color w:val="4F81BD"/>
      <w:spacing w:val="15"/>
      <w:sz w:val="24"/>
    </w:rPr>
  </w:style>
  <w:style w:type="character" w:customStyle="1" w:styleId="164">
    <w:name w:val="Corpo de texto 3 Char"/>
    <w:basedOn w:val="11"/>
    <w:link w:val="29"/>
    <w:unhideWhenUsed/>
    <w:qFormat/>
    <w:locked/>
    <w:uiPriority w:val="99"/>
    <w:rPr>
      <w:rFonts w:hint="default"/>
      <w:sz w:val="16"/>
    </w:rPr>
  </w:style>
  <w:style w:type="character" w:customStyle="1" w:styleId="165">
    <w:name w:val="Título 6 Char"/>
    <w:basedOn w:val="11"/>
    <w:link w:val="7"/>
    <w:unhideWhenUsed/>
    <w:qFormat/>
    <w:locked/>
    <w:uiPriority w:val="9"/>
    <w:rPr>
      <w:rFonts w:hint="default"/>
      <w:sz w:val="24"/>
    </w:rPr>
  </w:style>
  <w:style w:type="character" w:customStyle="1" w:styleId="166">
    <w:name w:val="font_17_azulclaro1"/>
    <w:basedOn w:val="11"/>
    <w:unhideWhenUsed/>
    <w:qFormat/>
    <w:uiPriority w:val="0"/>
    <w:rPr>
      <w:rFonts w:hint="default"/>
      <w:sz w:val="24"/>
    </w:rPr>
  </w:style>
  <w:style w:type="character" w:customStyle="1" w:styleId="167">
    <w:name w:val="Ênfase Sutil1"/>
    <w:unhideWhenUsed/>
    <w:qFormat/>
    <w:uiPriority w:val="19"/>
    <w:rPr>
      <w:rFonts w:hint="eastAsia" w:ascii="Times New Roman" w:hAnsi="Times New Roman" w:eastAsia="Times New Roman"/>
      <w:i/>
      <w:color w:val="808080"/>
      <w:sz w:val="24"/>
    </w:rPr>
  </w:style>
  <w:style w:type="character" w:customStyle="1" w:styleId="168">
    <w:name w:val="Título Char1"/>
    <w:unhideWhenUsed/>
    <w:qFormat/>
    <w:uiPriority w:val="10"/>
    <w:rPr>
      <w:rFonts w:hint="default" w:ascii="Cambria" w:hAnsi="Cambria" w:eastAsia="Times New Roman"/>
      <w:b/>
      <w:kern w:val="28"/>
      <w:sz w:val="32"/>
    </w:rPr>
  </w:style>
  <w:style w:type="character" w:customStyle="1" w:styleId="169">
    <w:name w:val="h1-product-page-content"/>
    <w:basedOn w:val="11"/>
    <w:unhideWhenUsed/>
    <w:qFormat/>
    <w:uiPriority w:val="0"/>
    <w:rPr>
      <w:rFonts w:hint="eastAsia" w:ascii="Times New Roman" w:hAnsi="Times New Roman" w:eastAsia="Times New Roman"/>
      <w:sz w:val="20"/>
    </w:rPr>
  </w:style>
  <w:style w:type="character" w:customStyle="1" w:styleId="170">
    <w:name w:val="A0"/>
    <w:unhideWhenUsed/>
    <w:qFormat/>
    <w:uiPriority w:val="0"/>
    <w:rPr>
      <w:rFonts w:hint="default"/>
      <w:color w:val="000000"/>
      <w:sz w:val="22"/>
    </w:rPr>
  </w:style>
  <w:style w:type="character" w:customStyle="1" w:styleId="171">
    <w:name w:val="Título 1 Char"/>
    <w:unhideWhenUsed/>
    <w:qFormat/>
    <w:uiPriority w:val="9"/>
    <w:rPr>
      <w:rFonts w:hint="default" w:ascii="Cambria" w:hAnsi="Cambria" w:eastAsia="Times New Roman"/>
      <w:b/>
      <w:color w:val="auto"/>
      <w:sz w:val="28"/>
    </w:rPr>
  </w:style>
  <w:style w:type="character" w:customStyle="1" w:styleId="172">
    <w:name w:val="Texto de comentário Char"/>
    <w:basedOn w:val="11"/>
    <w:link w:val="23"/>
    <w:unhideWhenUsed/>
    <w:qFormat/>
    <w:locked/>
    <w:uiPriority w:val="99"/>
    <w:rPr>
      <w:rFonts w:hint="eastAsia" w:ascii="Calibri" w:hAnsi="Calibri" w:eastAsia="Calibri"/>
      <w:sz w:val="24"/>
      <w:lang w:eastAsia="en-US"/>
    </w:rPr>
  </w:style>
  <w:style w:type="character" w:customStyle="1" w:styleId="173">
    <w:name w:val="Corpo de texto Char"/>
    <w:basedOn w:val="11"/>
    <w:unhideWhenUsed/>
    <w:qFormat/>
    <w:locked/>
    <w:uiPriority w:val="99"/>
    <w:rPr>
      <w:rFonts w:hint="default"/>
      <w:snapToGrid w:val="0"/>
      <w:sz w:val="24"/>
    </w:rPr>
  </w:style>
  <w:style w:type="character" w:customStyle="1" w:styleId="174">
    <w:name w:val="Título 4 Char"/>
    <w:basedOn w:val="11"/>
    <w:link w:val="5"/>
    <w:unhideWhenUsed/>
    <w:qFormat/>
    <w:locked/>
    <w:uiPriority w:val="9"/>
    <w:rPr>
      <w:rFonts w:hint="default"/>
      <w:b/>
      <w:sz w:val="24"/>
    </w:rPr>
  </w:style>
  <w:style w:type="character" w:customStyle="1" w:styleId="175">
    <w:name w:val="Título 1 Char1"/>
    <w:basedOn w:val="11"/>
    <w:link w:val="2"/>
    <w:unhideWhenUsed/>
    <w:qFormat/>
    <w:locked/>
    <w:uiPriority w:val="9"/>
    <w:rPr>
      <w:rFonts w:hint="default" w:ascii="Arial" w:hAnsi="Arial" w:eastAsia="Calibri"/>
      <w:b/>
      <w:snapToGrid w:val="0"/>
      <w:kern w:val="28"/>
      <w:sz w:val="24"/>
    </w:rPr>
  </w:style>
  <w:style w:type="character" w:customStyle="1" w:styleId="176">
    <w:name w:val="g8631vu0929z"/>
    <w:basedOn w:val="11"/>
    <w:unhideWhenUsed/>
    <w:qFormat/>
    <w:uiPriority w:val="0"/>
    <w:rPr>
      <w:rFonts w:hint="default"/>
      <w:sz w:val="24"/>
    </w:rPr>
  </w:style>
  <w:style w:type="character" w:customStyle="1" w:styleId="177">
    <w:name w:val="Texto sem Formatação Char"/>
    <w:basedOn w:val="11"/>
    <w:link w:val="28"/>
    <w:unhideWhenUsed/>
    <w:qFormat/>
    <w:locked/>
    <w:uiPriority w:val="99"/>
    <w:rPr>
      <w:rFonts w:hint="eastAsia" w:ascii="Calibri" w:hAnsi="Calibri" w:eastAsia="Calibri"/>
      <w:sz w:val="21"/>
      <w:lang w:eastAsia="en-US"/>
    </w:rPr>
  </w:style>
  <w:style w:type="character" w:customStyle="1" w:styleId="178">
    <w:name w:val="haq44l6560"/>
    <w:basedOn w:val="11"/>
    <w:unhideWhenUsed/>
    <w:qFormat/>
    <w:uiPriority w:val="0"/>
    <w:rPr>
      <w:rFonts w:hint="default"/>
      <w:sz w:val="24"/>
    </w:rPr>
  </w:style>
  <w:style w:type="character" w:customStyle="1" w:styleId="179">
    <w:name w:val="Rodapé Char"/>
    <w:basedOn w:val="11"/>
    <w:link w:val="33"/>
    <w:unhideWhenUsed/>
    <w:qFormat/>
    <w:locked/>
    <w:uiPriority w:val="99"/>
    <w:rPr>
      <w:rFonts w:hint="default"/>
      <w:sz w:val="24"/>
    </w:rPr>
  </w:style>
  <w:style w:type="character" w:customStyle="1" w:styleId="180">
    <w:name w:val="Corpo de texto Char1"/>
    <w:link w:val="21"/>
    <w:unhideWhenUsed/>
    <w:qFormat/>
    <w:locked/>
    <w:uiPriority w:val="0"/>
    <w:rPr>
      <w:rFonts w:hint="default" w:ascii="Arial" w:hAnsi="Arial" w:eastAsia="SimSun"/>
      <w:sz w:val="24"/>
    </w:rPr>
  </w:style>
  <w:style w:type="character" w:customStyle="1" w:styleId="181">
    <w:name w:val="Citação Intensa Char"/>
    <w:link w:val="64"/>
    <w:unhideWhenUsed/>
    <w:qFormat/>
    <w:uiPriority w:val="30"/>
    <w:rPr>
      <w:rFonts w:hint="eastAsia" w:ascii="Times New Roman" w:hAnsi="Times New Roman" w:eastAsia="Times New Roman"/>
      <w:b/>
      <w:i/>
      <w:color w:val="4F81BD"/>
      <w:sz w:val="24"/>
    </w:rPr>
  </w:style>
  <w:style w:type="character" w:customStyle="1" w:styleId="182">
    <w:name w:val="Ênfase Intensa1"/>
    <w:unhideWhenUsed/>
    <w:qFormat/>
    <w:uiPriority w:val="21"/>
    <w:rPr>
      <w:rFonts w:hint="eastAsia" w:ascii="Times New Roman" w:hAnsi="Times New Roman" w:eastAsia="Times New Roman"/>
      <w:b/>
      <w:i/>
      <w:color w:val="4F81BD"/>
      <w:sz w:val="24"/>
    </w:rPr>
  </w:style>
  <w:style w:type="character" w:customStyle="1" w:styleId="183">
    <w:name w:val="Título 7 Char"/>
    <w:basedOn w:val="11"/>
    <w:link w:val="8"/>
    <w:unhideWhenUsed/>
    <w:qFormat/>
    <w:locked/>
    <w:uiPriority w:val="9"/>
    <w:rPr>
      <w:rFonts w:hint="default"/>
      <w:b/>
      <w:color w:val="FF0000"/>
      <w:sz w:val="24"/>
    </w:rPr>
  </w:style>
  <w:style w:type="character" w:customStyle="1" w:styleId="184">
    <w:name w:val="Título do Livro1"/>
    <w:unhideWhenUsed/>
    <w:qFormat/>
    <w:uiPriority w:val="33"/>
    <w:rPr>
      <w:rFonts w:hint="eastAsia" w:ascii="Times New Roman" w:hAnsi="Times New Roman" w:eastAsia="Times New Roman"/>
      <w:b/>
      <w:smallCaps/>
      <w:spacing w:val="5"/>
      <w:sz w:val="24"/>
    </w:rPr>
  </w:style>
  <w:style w:type="character" w:customStyle="1" w:styleId="185">
    <w:name w:val="Char Char1"/>
    <w:unhideWhenUsed/>
    <w:qFormat/>
    <w:uiPriority w:val="0"/>
    <w:rPr>
      <w:rFonts w:hint="eastAsia" w:ascii="Times New Roman" w:hAnsi="Times New Roman" w:eastAsia="Times New Roman"/>
      <w:b/>
      <w:sz w:val="20"/>
      <w:lang w:eastAsia="pt-BR"/>
    </w:rPr>
  </w:style>
  <w:style w:type="character" w:customStyle="1" w:styleId="186">
    <w:name w:val="Assunto do comentário Char"/>
    <w:basedOn w:val="172"/>
    <w:link w:val="32"/>
    <w:unhideWhenUsed/>
    <w:qFormat/>
    <w:locked/>
    <w:uiPriority w:val="99"/>
    <w:rPr>
      <w:rFonts w:hint="eastAsia" w:ascii="Calibri" w:hAnsi="Calibri" w:eastAsia="Calibri"/>
      <w:b/>
      <w:sz w:val="24"/>
      <w:lang w:eastAsia="en-US"/>
    </w:rPr>
  </w:style>
  <w:style w:type="character" w:customStyle="1" w:styleId="187">
    <w:name w:val="Corpo de texto 2 Char"/>
    <w:basedOn w:val="11"/>
    <w:link w:val="30"/>
    <w:unhideWhenUsed/>
    <w:qFormat/>
    <w:locked/>
    <w:uiPriority w:val="99"/>
    <w:rPr>
      <w:rFonts w:hint="default"/>
      <w:sz w:val="24"/>
    </w:rPr>
  </w:style>
  <w:style w:type="character" w:customStyle="1" w:styleId="188">
    <w:name w:val="Recuo de corpo de texto Char"/>
    <w:basedOn w:val="11"/>
    <w:link w:val="41"/>
    <w:unhideWhenUsed/>
    <w:qFormat/>
    <w:locked/>
    <w:uiPriority w:val="99"/>
    <w:rPr>
      <w:rFonts w:hint="default"/>
      <w:sz w:val="24"/>
    </w:rPr>
  </w:style>
  <w:style w:type="character" w:customStyle="1" w:styleId="189">
    <w:name w:val="Cabeçalho Char1"/>
    <w:basedOn w:val="11"/>
    <w:link w:val="31"/>
    <w:unhideWhenUsed/>
    <w:qFormat/>
    <w:locked/>
    <w:uiPriority w:val="99"/>
    <w:rPr>
      <w:rFonts w:hint="default"/>
      <w:sz w:val="24"/>
    </w:rPr>
  </w:style>
  <w:style w:type="paragraph" w:customStyle="1" w:styleId="190">
    <w:name w:val="msonospacing"/>
    <w:qFormat/>
    <w:uiPriority w:val="0"/>
    <w:rPr>
      <w:rFonts w:ascii="Times New Roman" w:hAnsi="Times New Roman" w:eastAsia="SimSun" w:cs="Times New Roman"/>
      <w:sz w:val="24"/>
      <w:lang w:val="en-US" w:eastAsia="zh-CN" w:bidi="ar-SA"/>
    </w:rPr>
  </w:style>
  <w:style w:type="character" w:customStyle="1" w:styleId="191">
    <w:name w:val="font01"/>
    <w:qFormat/>
    <w:uiPriority w:val="0"/>
    <w:rPr>
      <w:rFonts w:hint="default" w:ascii="Calibri" w:hAnsi="Calibri" w:eastAsia="Calibri" w:cs="Calibri"/>
      <w:b/>
      <w:color w:val="000000"/>
      <w:u w:val="none"/>
    </w:rPr>
  </w:style>
  <w:style w:type="character" w:customStyle="1" w:styleId="192">
    <w:name w:val="font11"/>
    <w:qFormat/>
    <w:uiPriority w:val="0"/>
    <w:rPr>
      <w:rFonts w:hint="default" w:ascii="Calibri" w:hAnsi="Calibri" w:eastAsia="Calibri" w:cs="Calibri"/>
      <w:color w:val="000000"/>
      <w:u w:val="none"/>
    </w:rPr>
  </w:style>
  <w:style w:type="paragraph" w:customStyle="1" w:styleId="193">
    <w:name w:val="Table Paragraph"/>
    <w:basedOn w:val="1"/>
    <w:unhideWhenUsed/>
    <w:qFormat/>
    <w:uiPriority w:val="1"/>
    <w:pPr>
      <w:widowControl w:val="0"/>
      <w:autoSpaceDE w:val="0"/>
      <w:autoSpaceDN w:val="0"/>
    </w:pPr>
    <w:rPr>
      <w:rFonts w:hint="eastAsia" w:ascii="Arial" w:hAnsi="Arial"/>
      <w:sz w:val="22"/>
      <w:szCs w:val="24"/>
    </w:rPr>
  </w:style>
  <w:style w:type="paragraph" w:customStyle="1" w:styleId="194">
    <w:name w:val="Nivel 4"/>
    <w:basedOn w:val="195"/>
    <w:qFormat/>
    <w:uiPriority w:val="0"/>
    <w:pPr>
      <w:numPr>
        <w:ilvl w:val="3"/>
      </w:numPr>
      <w:ind w:left="851" w:firstLine="0"/>
    </w:pPr>
    <w:rPr>
      <w:color w:val="auto"/>
    </w:rPr>
  </w:style>
  <w:style w:type="paragraph" w:customStyle="1" w:styleId="195">
    <w:name w:val="Nivel 3"/>
    <w:basedOn w:val="196"/>
    <w:qFormat/>
    <w:uiPriority w:val="0"/>
    <w:pPr>
      <w:numPr>
        <w:ilvl w:val="2"/>
      </w:numPr>
      <w:ind w:left="425" w:firstLine="0"/>
    </w:pPr>
  </w:style>
  <w:style w:type="paragraph" w:customStyle="1" w:styleId="196">
    <w:name w:val="Nivel 2"/>
    <w:basedOn w:val="1"/>
    <w:qFormat/>
    <w:uiPriority w:val="0"/>
    <w:pPr>
      <w:numPr>
        <w:ilvl w:val="1"/>
        <w:numId w:val="4"/>
      </w:numPr>
      <w:spacing w:before="120" w:after="120" w:line="276" w:lineRule="auto"/>
      <w:ind w:left="0" w:firstLine="0"/>
      <w:jc w:val="both"/>
    </w:pPr>
    <w:rPr>
      <w:rFonts w:ascii="Arial" w:hAnsi="Arial" w:cs="Arial"/>
      <w:color w:val="000000"/>
      <w:sz w:val="20"/>
    </w:rPr>
  </w:style>
  <w:style w:type="character" w:customStyle="1" w:styleId="197">
    <w:name w:val="font101"/>
    <w:qFormat/>
    <w:uiPriority w:val="0"/>
    <w:rPr>
      <w:rFonts w:hint="default" w:ascii="Times New Roman" w:hAnsi="Times New Roman" w:cs="Times New Roman"/>
      <w:b/>
      <w:color w:val="0033CC"/>
      <w:u w:val="none"/>
    </w:rPr>
  </w:style>
  <w:style w:type="character" w:customStyle="1" w:styleId="198">
    <w:name w:val="font51"/>
    <w:qFormat/>
    <w:uiPriority w:val="0"/>
    <w:rPr>
      <w:rFonts w:hint="default" w:ascii="Times New Roman" w:hAnsi="Times New Roman" w:cs="Times New Roman"/>
      <w:b/>
      <w:color w:val="000000"/>
      <w:u w:val="none"/>
    </w:rPr>
  </w:style>
  <w:style w:type="paragraph" w:customStyle="1" w:styleId="199">
    <w:name w:val="Revision"/>
    <w:hidden/>
    <w:unhideWhenUsed/>
    <w:qFormat/>
    <w:uiPriority w:val="99"/>
    <w:rPr>
      <w:rFonts w:ascii="Times New Roman" w:hAnsi="Times New Roman" w:eastAsia="SimSun" w:cs="Times New Roman"/>
      <w:sz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E6E47-0711-4E41-8C61-F2706A067FD0}">
  <ds:schemaRefs/>
</ds:datastoreItem>
</file>

<file path=docProps/app.xml><?xml version="1.0" encoding="utf-8"?>
<Properties xmlns="http://schemas.openxmlformats.org/officeDocument/2006/extended-properties" xmlns:vt="http://schemas.openxmlformats.org/officeDocument/2006/docPropsVTypes">
  <Template>Normal</Template>
  <Pages>3</Pages>
  <Words>51451</Words>
  <Characters>277836</Characters>
  <Lines>2315</Lines>
  <Paragraphs>657</Paragraphs>
  <TotalTime>6</TotalTime>
  <ScaleCrop>false</ScaleCrop>
  <LinksUpToDate>false</LinksUpToDate>
  <CharactersWithSpaces>328630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2024-01-26T17:16:00Z</dcterms:created>
  <dcterms:modified xsi:type="dcterms:W3CDTF">2024-01-30T15:24:09Z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D5BB6D9CFB974B32B196609A486A48D4_13</vt:lpwstr>
  </property>
</Properties>
</file>