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tbl>
      <w:tblPr>
        <w:tblStyle w:val="12"/>
        <w:tblW w:w="9964" w:type="dxa"/>
        <w:jc w:val="center"/>
        <w:tblBorders>
          <w:top w:val="threeDEngrave" w:color="auto" w:sz="24" w:space="0"/>
          <w:left w:val="threeDEngrave" w:color="auto" w:sz="24" w:space="0"/>
          <w:bottom w:val="threeDEngrave" w:color="auto" w:sz="24" w:space="0"/>
          <w:right w:val="threeDEmboss" w:color="auto" w:sz="24" w:space="0"/>
          <w:insideH w:val="none" w:color="auto" w:sz="0" w:space="0"/>
          <w:insideV w:val="none" w:color="auto" w:sz="0" w:space="0"/>
        </w:tblBorders>
        <w:tblLayout w:type="fixed"/>
        <w:tblCellMar>
          <w:top w:w="0" w:type="dxa"/>
          <w:left w:w="108" w:type="dxa"/>
          <w:bottom w:w="0" w:type="dxa"/>
          <w:right w:w="108" w:type="dxa"/>
        </w:tblCellMar>
      </w:tblPr>
      <w:tblGrid>
        <w:gridCol w:w="9964"/>
      </w:tblGrid>
      <w:tr>
        <w:tblPrEx>
          <w:tblBorders>
            <w:top w:val="threeDEngrave" w:color="auto" w:sz="24" w:space="0"/>
            <w:left w:val="threeDEngrave" w:color="auto" w:sz="24" w:space="0"/>
            <w:bottom w:val="threeDEngrave" w:color="auto" w:sz="24" w:space="0"/>
            <w:right w:val="threeDEmboss" w:color="auto" w:sz="24" w:space="0"/>
            <w:insideH w:val="none" w:color="auto" w:sz="0" w:space="0"/>
            <w:insideV w:val="none" w:color="auto" w:sz="0" w:space="0"/>
          </w:tblBorders>
          <w:tblCellMar>
            <w:top w:w="0" w:type="dxa"/>
            <w:left w:w="108" w:type="dxa"/>
            <w:bottom w:w="0" w:type="dxa"/>
            <w:right w:w="108" w:type="dxa"/>
          </w:tblCellMar>
        </w:tblPrEx>
        <w:trPr>
          <w:trHeight w:val="1902" w:hRule="atLeast"/>
          <w:jc w:val="center"/>
        </w:trPr>
        <w:tc>
          <w:tcPr>
            <w:tcW w:w="9964" w:type="dxa"/>
            <w:shd w:val="clear" w:color="auto" w:fill="auto"/>
          </w:tcPr>
          <w:p>
            <w:pPr>
              <w:rPr>
                <w:sz w:val="2"/>
                <w:szCs w:val="2"/>
              </w:rPr>
            </w:pPr>
            <w:r>
              <w:rPr>
                <w:sz w:val="2"/>
                <w:szCs w:val="2"/>
              </w:rPr>
              <w:t xml:space="preserve"> </w:t>
            </w:r>
          </w:p>
          <w:tbl>
            <w:tblPr>
              <w:tblStyle w:val="12"/>
              <w:tblW w:w="9666" w:type="dxa"/>
              <w:tblInd w:w="7" w:type="dxa"/>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shd w:val="pct10" w:color="auto" w:fill="auto"/>
              <w:tblLayout w:type="fixed"/>
              <w:tblCellMar>
                <w:top w:w="0" w:type="dxa"/>
                <w:left w:w="108" w:type="dxa"/>
                <w:bottom w:w="0" w:type="dxa"/>
                <w:right w:w="108" w:type="dxa"/>
              </w:tblCellMar>
            </w:tblPr>
            <w:tblGrid>
              <w:gridCol w:w="9666"/>
            </w:tblGrid>
            <w:tr>
              <w:tblPrEx>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shd w:val="pct10" w:color="auto" w:fill="auto"/>
                <w:tblCellMar>
                  <w:top w:w="0" w:type="dxa"/>
                  <w:left w:w="108" w:type="dxa"/>
                  <w:bottom w:w="0" w:type="dxa"/>
                  <w:right w:w="108" w:type="dxa"/>
                </w:tblCellMar>
              </w:tblPrEx>
              <w:trPr>
                <w:trHeight w:val="1029" w:hRule="atLeast"/>
              </w:trPr>
              <w:tc>
                <w:tcPr>
                  <w:tcW w:w="9666" w:type="dxa"/>
                  <w:tcBorders>
                    <w:top w:val="thinThickSmallGap" w:color="auto" w:sz="12" w:space="0"/>
                    <w:left w:val="thinThickSmallGap" w:color="auto" w:sz="12" w:space="0"/>
                    <w:bottom w:val="thickThinSmallGap" w:color="auto" w:sz="12" w:space="0"/>
                    <w:right w:val="thickThinSmallGap" w:color="auto" w:sz="12" w:space="0"/>
                  </w:tcBorders>
                  <w:shd w:val="pct10" w:color="auto" w:fill="auto"/>
                  <w:vAlign w:val="center"/>
                </w:tcPr>
                <w:p>
                  <w:pPr>
                    <w:jc w:val="center"/>
                    <w:rPr>
                      <w:rFonts w:ascii="Arial" w:hAnsi="Arial" w:cs="Arial"/>
                      <w:b/>
                      <w:sz w:val="21"/>
                      <w:szCs w:val="21"/>
                    </w:rPr>
                  </w:pPr>
                  <w:r>
                    <w:rPr>
                      <w:rFonts w:ascii="Arial" w:hAnsi="Arial" w:cs="Arial"/>
                      <w:b/>
                      <w:sz w:val="21"/>
                      <w:szCs w:val="21"/>
                    </w:rPr>
                    <w:t xml:space="preserve"> EDITAL DE LICITAÇÃO</w:t>
                  </w:r>
                </w:p>
                <w:p>
                  <w:pPr>
                    <w:widowControl w:val="0"/>
                    <w:tabs>
                      <w:tab w:val="left" w:pos="4230"/>
                    </w:tabs>
                    <w:autoSpaceDE w:val="0"/>
                    <w:autoSpaceDN w:val="0"/>
                    <w:adjustRightInd w:val="0"/>
                    <w:jc w:val="center"/>
                    <w:rPr>
                      <w:rFonts w:ascii="Arial" w:hAnsi="Arial" w:cs="Arial"/>
                      <w:b/>
                      <w:sz w:val="21"/>
                      <w:szCs w:val="21"/>
                    </w:rPr>
                  </w:pPr>
                  <w:r>
                    <w:rPr>
                      <w:rFonts w:ascii="Arial" w:hAnsi="Arial" w:cs="Arial"/>
                      <w:b/>
                      <w:sz w:val="21"/>
                      <w:szCs w:val="21"/>
                    </w:rPr>
                    <w:t>TOMADA DE PREÇO</w:t>
                  </w:r>
                  <w:r>
                    <w:rPr>
                      <w:rFonts w:hint="default" w:ascii="Arial" w:hAnsi="Arial" w:cs="Arial"/>
                      <w:b/>
                      <w:sz w:val="21"/>
                      <w:szCs w:val="21"/>
                      <w:lang w:val="pt-BR"/>
                    </w:rPr>
                    <w:t>S</w:t>
                  </w:r>
                  <w:r>
                    <w:rPr>
                      <w:rFonts w:ascii="Arial" w:hAnsi="Arial" w:cs="Arial"/>
                      <w:b/>
                      <w:sz w:val="21"/>
                      <w:szCs w:val="21"/>
                    </w:rPr>
                    <w:t xml:space="preserve"> N° </w:t>
                  </w:r>
                  <w:r>
                    <w:rPr>
                      <w:rFonts w:ascii="Arial" w:hAnsi="Arial" w:cs="Arial"/>
                      <w:b/>
                      <w:sz w:val="21"/>
                      <w:szCs w:val="21"/>
                      <w:lang w:val="pt-BR"/>
                    </w:rPr>
                    <w:t>005/2023</w:t>
                  </w:r>
                  <w:r>
                    <w:rPr>
                      <w:rFonts w:ascii="Arial" w:hAnsi="Arial" w:cs="Arial"/>
                      <w:b/>
                      <w:sz w:val="21"/>
                      <w:szCs w:val="21"/>
                    </w:rPr>
                    <w:t xml:space="preserve"> </w:t>
                  </w:r>
                </w:p>
                <w:p>
                  <w:pPr>
                    <w:jc w:val="center"/>
                    <w:rPr>
                      <w:rFonts w:hint="default" w:ascii="Arial" w:hAnsi="Arial" w:cs="Arial"/>
                      <w:sz w:val="22"/>
                      <w:szCs w:val="22"/>
                      <w:lang w:val="pt-BR"/>
                    </w:rPr>
                  </w:pPr>
                  <w:r>
                    <w:rPr>
                      <w:rFonts w:ascii="Arial" w:hAnsi="Arial" w:cs="Arial"/>
                      <w:b/>
                      <w:sz w:val="21"/>
                      <w:szCs w:val="21"/>
                    </w:rPr>
                    <w:t>PROCESSO ADMINISTRATIVO N°</w:t>
                  </w:r>
                  <w:r>
                    <w:rPr>
                      <w:rFonts w:hint="default" w:ascii="Arial" w:hAnsi="Arial" w:cs="Arial"/>
                      <w:b/>
                      <w:sz w:val="21"/>
                      <w:szCs w:val="21"/>
                      <w:lang w:val="pt-BR"/>
                    </w:rPr>
                    <w:t xml:space="preserve"> </w:t>
                  </w:r>
                  <w:r>
                    <w:rPr>
                      <w:rFonts w:ascii="Arial" w:hAnsi="Arial" w:cs="Arial"/>
                      <w:b/>
                      <w:sz w:val="21"/>
                      <w:szCs w:val="21"/>
                      <w:lang w:val="pt-BR"/>
                    </w:rPr>
                    <w:t>1058/2023</w:t>
                  </w:r>
                </w:p>
              </w:tc>
            </w:tr>
            <w:tr>
              <w:tblPrEx>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811" w:hRule="atLeast"/>
              </w:trPr>
              <w:tc>
                <w:tcPr>
                  <w:tcW w:w="9666" w:type="dxa"/>
                  <w:shd w:val="clear" w:color="auto" w:fill="auto"/>
                  <w:vAlign w:val="center"/>
                </w:tcPr>
                <w:p>
                  <w:pPr>
                    <w:jc w:val="center"/>
                    <w:rPr>
                      <w:rFonts w:ascii="Arial" w:hAnsi="Arial" w:cs="Arial"/>
                      <w:b/>
                      <w:sz w:val="21"/>
                      <w:szCs w:val="21"/>
                    </w:rPr>
                  </w:pPr>
                  <w:r>
                    <w:rPr>
                      <w:rFonts w:ascii="Arial" w:hAnsi="Arial" w:cs="Arial"/>
                      <w:b/>
                      <w:sz w:val="21"/>
                      <w:szCs w:val="21"/>
                    </w:rPr>
                    <w:t>LEGISLAÇÃO APLICÁVEL</w:t>
                  </w:r>
                </w:p>
                <w:p>
                  <w:pPr>
                    <w:jc w:val="both"/>
                    <w:rPr>
                      <w:rFonts w:ascii="Arial" w:hAnsi="Arial" w:cs="Arial"/>
                      <w:sz w:val="18"/>
                      <w:szCs w:val="18"/>
                    </w:rPr>
                  </w:pPr>
                  <w:r>
                    <w:rPr>
                      <w:rFonts w:ascii="Arial" w:hAnsi="Arial" w:cs="Arial"/>
                      <w:sz w:val="18"/>
                      <w:szCs w:val="18"/>
                    </w:rPr>
                    <w:t>Regido pela Lei Nº 8.666/93 e alterações posteriores,</w:t>
                  </w:r>
                  <w:r>
                    <w:rPr>
                      <w:rFonts w:hint="default" w:ascii="Arial" w:hAnsi="Arial" w:cs="Arial"/>
                      <w:sz w:val="18"/>
                      <w:szCs w:val="18"/>
                      <w:lang w:val="pt-BR"/>
                    </w:rPr>
                    <w:t xml:space="preserve"> Lei Municipal 1.953/2021, </w:t>
                  </w:r>
                  <w:r>
                    <w:rPr>
                      <w:rFonts w:ascii="Arial" w:hAnsi="Arial" w:cs="Arial"/>
                      <w:sz w:val="18"/>
                      <w:szCs w:val="18"/>
                    </w:rPr>
                    <w:t xml:space="preserve"> Lei Complementar nº. 123 de 14 de dezembro de 2006 e alterações posteriores, </w:t>
                  </w:r>
                  <w:r>
                    <w:rPr>
                      <w:sz w:val="22"/>
                      <w:szCs w:val="22"/>
                    </w:rPr>
                    <w:fldChar w:fldCharType="begin"/>
                  </w:r>
                  <w:r>
                    <w:rPr>
                      <w:sz w:val="22"/>
                      <w:szCs w:val="22"/>
                    </w:rPr>
                    <w:instrText xml:space="preserve"> HYPERLINK "http://legislacao.planalto.gov.br/legisla/legislacao.nsf/Viw_Identificacao/DEC%209.412-2018?OpenDocument" </w:instrText>
                  </w:r>
                  <w:r>
                    <w:rPr>
                      <w:sz w:val="22"/>
                      <w:szCs w:val="22"/>
                    </w:rPr>
                    <w:fldChar w:fldCharType="separate"/>
                  </w:r>
                  <w:r>
                    <w:rPr>
                      <w:rFonts w:ascii="Arial" w:hAnsi="Arial" w:cs="Arial"/>
                      <w:sz w:val="18"/>
                      <w:szCs w:val="18"/>
                    </w:rPr>
                    <w:t>Decreto nº 9.412/18</w:t>
                  </w:r>
                  <w:r>
                    <w:rPr>
                      <w:rFonts w:ascii="Arial" w:hAnsi="Arial" w:cs="Arial"/>
                      <w:sz w:val="18"/>
                      <w:szCs w:val="18"/>
                    </w:rPr>
                    <w:fldChar w:fldCharType="end"/>
                  </w:r>
                  <w:r>
                    <w:rPr>
                      <w:rFonts w:ascii="Arial" w:hAnsi="Arial" w:cs="Arial"/>
                      <w:sz w:val="18"/>
                      <w:szCs w:val="18"/>
                    </w:rPr>
                    <w:t xml:space="preserve"> e demais legislações complementares. </w:t>
                  </w:r>
                </w:p>
              </w:tc>
            </w:tr>
          </w:tbl>
          <w:p>
            <w:pPr>
              <w:rPr>
                <w:rFonts w:ascii="Arial" w:hAnsi="Arial" w:cs="Arial"/>
                <w:sz w:val="22"/>
                <w:szCs w:val="22"/>
              </w:rPr>
            </w:pPr>
          </w:p>
          <w:tbl>
            <w:tblPr>
              <w:tblStyle w:val="12"/>
              <w:tblW w:w="9651" w:type="dxa"/>
              <w:tblInd w:w="7" w:type="dxa"/>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Layout w:type="fixed"/>
              <w:tblCellMar>
                <w:top w:w="0" w:type="dxa"/>
                <w:left w:w="108" w:type="dxa"/>
                <w:bottom w:w="0" w:type="dxa"/>
                <w:right w:w="108" w:type="dxa"/>
              </w:tblCellMar>
            </w:tblPr>
            <w:tblGrid>
              <w:gridCol w:w="1568"/>
              <w:gridCol w:w="1971"/>
              <w:gridCol w:w="6112"/>
            </w:tblGrid>
            <w:tr>
              <w:tblPrEx>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CellMar>
                  <w:top w:w="0" w:type="dxa"/>
                  <w:left w:w="108" w:type="dxa"/>
                  <w:bottom w:w="0" w:type="dxa"/>
                  <w:right w:w="108" w:type="dxa"/>
                </w:tblCellMar>
              </w:tblPrEx>
              <w:trPr>
                <w:trHeight w:val="226" w:hRule="atLeast"/>
              </w:trPr>
              <w:tc>
                <w:tcPr>
                  <w:tcW w:w="1568" w:type="dxa"/>
                  <w:shd w:val="clear" w:color="auto" w:fill="auto"/>
                  <w:vAlign w:val="center"/>
                </w:tcPr>
                <w:p>
                  <w:pPr>
                    <w:jc w:val="center"/>
                    <w:rPr>
                      <w:rFonts w:ascii="Arial" w:hAnsi="Arial" w:cs="Arial"/>
                      <w:b/>
                      <w:sz w:val="21"/>
                      <w:szCs w:val="21"/>
                    </w:rPr>
                  </w:pPr>
                  <w:r>
                    <w:rPr>
                      <w:rFonts w:ascii="Arial" w:hAnsi="Arial" w:cs="Arial"/>
                      <w:b/>
                      <w:sz w:val="21"/>
                      <w:szCs w:val="21"/>
                    </w:rPr>
                    <w:t>TIPO:</w:t>
                  </w:r>
                </w:p>
              </w:tc>
              <w:tc>
                <w:tcPr>
                  <w:tcW w:w="8083" w:type="dxa"/>
                  <w:gridSpan w:val="2"/>
                  <w:shd w:val="clear" w:color="auto" w:fill="auto"/>
                  <w:vAlign w:val="center"/>
                </w:tcPr>
                <w:p>
                  <w:pPr>
                    <w:pStyle w:val="3"/>
                    <w:keepNext w:val="0"/>
                    <w:jc w:val="center"/>
                    <w:rPr>
                      <w:rFonts w:hint="default"/>
                      <w:sz w:val="24"/>
                      <w:szCs w:val="24"/>
                      <w:lang w:val="pt-BR"/>
                    </w:rPr>
                  </w:pPr>
                  <w:r>
                    <w:rPr>
                      <w:rFonts w:cs="Arial"/>
                      <w:i w:val="0"/>
                      <w:sz w:val="21"/>
                      <w:szCs w:val="21"/>
                      <w:lang w:val="pt-BR"/>
                    </w:rPr>
                    <w:t>MELHOR TÉCNICA E PREÇO</w:t>
                  </w:r>
                </w:p>
              </w:tc>
            </w:tr>
            <w:tr>
              <w:tblPrEx>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CellMar>
                  <w:top w:w="0" w:type="dxa"/>
                  <w:left w:w="108" w:type="dxa"/>
                  <w:bottom w:w="0" w:type="dxa"/>
                  <w:right w:w="108" w:type="dxa"/>
                </w:tblCellMar>
              </w:tblPrEx>
              <w:trPr>
                <w:trHeight w:val="229" w:hRule="atLeast"/>
              </w:trPr>
              <w:tc>
                <w:tcPr>
                  <w:tcW w:w="1568" w:type="dxa"/>
                  <w:shd w:val="clear" w:color="auto" w:fill="auto"/>
                  <w:vAlign w:val="center"/>
                </w:tcPr>
                <w:p>
                  <w:pPr>
                    <w:jc w:val="center"/>
                    <w:rPr>
                      <w:rFonts w:ascii="Arial" w:hAnsi="Arial" w:cs="Arial"/>
                      <w:b/>
                      <w:sz w:val="18"/>
                      <w:szCs w:val="18"/>
                    </w:rPr>
                  </w:pPr>
                  <w:r>
                    <w:rPr>
                      <w:rFonts w:ascii="Arial" w:hAnsi="Arial" w:cs="Arial"/>
                      <w:b/>
                      <w:sz w:val="21"/>
                      <w:szCs w:val="21"/>
                    </w:rPr>
                    <w:t>REGIME DE EXECUÇÃO</w:t>
                  </w:r>
                </w:p>
              </w:tc>
              <w:tc>
                <w:tcPr>
                  <w:tcW w:w="8083" w:type="dxa"/>
                  <w:gridSpan w:val="2"/>
                  <w:shd w:val="clear" w:color="auto" w:fill="auto"/>
                  <w:vAlign w:val="center"/>
                </w:tcPr>
                <w:p>
                  <w:pPr>
                    <w:pStyle w:val="3"/>
                    <w:keepNext w:val="0"/>
                    <w:jc w:val="center"/>
                    <w:rPr>
                      <w:rFonts w:ascii="Arial" w:hAnsi="Arial" w:eastAsia="Times New Roman" w:cs="Arial"/>
                      <w:b/>
                      <w:bCs/>
                      <w:i w:val="0"/>
                      <w:iCs/>
                      <w:sz w:val="21"/>
                      <w:szCs w:val="21"/>
                      <w:lang w:val="pt-BR" w:eastAsia="pt-BR" w:bidi="ar-SA"/>
                    </w:rPr>
                  </w:pPr>
                  <w:r>
                    <w:rPr>
                      <w:rFonts w:hint="default" w:cs="Arial"/>
                      <w:b/>
                      <w:bCs/>
                      <w:i w:val="0"/>
                      <w:iCs/>
                      <w:sz w:val="21"/>
                      <w:szCs w:val="21"/>
                      <w:lang w:val="en-US" w:eastAsia="pt-BR" w:bidi="ar-SA"/>
                    </w:rPr>
                    <w:t xml:space="preserve">INDIRENTA: </w:t>
                  </w:r>
                  <w:r>
                    <w:rPr>
                      <w:rFonts w:ascii="Arial" w:hAnsi="Arial" w:eastAsia="Times New Roman" w:cs="Arial"/>
                      <w:b/>
                      <w:bCs/>
                      <w:i w:val="0"/>
                      <w:iCs/>
                      <w:sz w:val="21"/>
                      <w:szCs w:val="21"/>
                      <w:lang w:val="pt-BR" w:eastAsia="pt-BR" w:bidi="ar-SA"/>
                    </w:rPr>
                    <w:t>EMPREITADA POR PREÇO UNITÁRIO</w:t>
                  </w:r>
                </w:p>
              </w:tc>
            </w:tr>
            <w:tr>
              <w:tblPrEx>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CellMar>
                  <w:top w:w="0" w:type="dxa"/>
                  <w:left w:w="108" w:type="dxa"/>
                  <w:bottom w:w="0" w:type="dxa"/>
                  <w:right w:w="108" w:type="dxa"/>
                </w:tblCellMar>
              </w:tblPrEx>
              <w:trPr>
                <w:trHeight w:val="264" w:hRule="atLeast"/>
              </w:trPr>
              <w:tc>
                <w:tcPr>
                  <w:tcW w:w="1568" w:type="dxa"/>
                  <w:shd w:val="clear" w:color="auto" w:fill="auto"/>
                  <w:vAlign w:val="center"/>
                </w:tcPr>
                <w:p>
                  <w:pPr>
                    <w:jc w:val="center"/>
                    <w:rPr>
                      <w:rFonts w:ascii="Arial" w:hAnsi="Arial" w:cs="Arial"/>
                      <w:b/>
                      <w:sz w:val="21"/>
                      <w:szCs w:val="21"/>
                    </w:rPr>
                  </w:pPr>
                  <w:r>
                    <w:rPr>
                      <w:rFonts w:ascii="Arial" w:hAnsi="Arial" w:cs="Arial"/>
                      <w:b/>
                      <w:sz w:val="21"/>
                      <w:szCs w:val="21"/>
                    </w:rPr>
                    <w:t>ÓRGÃO:</w:t>
                  </w:r>
                </w:p>
              </w:tc>
              <w:tc>
                <w:tcPr>
                  <w:tcW w:w="8083" w:type="dxa"/>
                  <w:gridSpan w:val="2"/>
                  <w:shd w:val="clear" w:color="auto" w:fill="auto"/>
                  <w:vAlign w:val="center"/>
                </w:tcPr>
                <w:p>
                  <w:pPr>
                    <w:jc w:val="center"/>
                    <w:rPr>
                      <w:rFonts w:hint="default" w:ascii="Arial" w:hAnsi="Arial" w:eastAsia="Times New Roman" w:cs="Arial"/>
                      <w:b/>
                      <w:bCs/>
                      <w:i w:val="0"/>
                      <w:iCs/>
                      <w:sz w:val="21"/>
                      <w:szCs w:val="21"/>
                      <w:lang w:val="pt-BR" w:eastAsia="pt-BR" w:bidi="ar-SA"/>
                    </w:rPr>
                  </w:pPr>
                  <w:r>
                    <w:rPr>
                      <w:rFonts w:ascii="Arial" w:hAnsi="Arial" w:eastAsia="Times New Roman" w:cs="Arial"/>
                      <w:b/>
                      <w:bCs/>
                      <w:i w:val="0"/>
                      <w:iCs/>
                      <w:sz w:val="21"/>
                      <w:szCs w:val="21"/>
                      <w:lang w:val="pt-BR" w:eastAsia="pt-BR" w:bidi="ar-SA"/>
                    </w:rPr>
                    <w:t xml:space="preserve">SECRETARIA MUNICIPAL DE </w:t>
                  </w:r>
                  <w:r>
                    <w:rPr>
                      <w:rFonts w:hint="default" w:ascii="Arial" w:hAnsi="Arial" w:eastAsia="Times New Roman" w:cs="Arial"/>
                      <w:b/>
                      <w:bCs/>
                      <w:i w:val="0"/>
                      <w:iCs/>
                      <w:sz w:val="21"/>
                      <w:szCs w:val="21"/>
                      <w:lang w:val="pt-BR" w:eastAsia="pt-BR" w:bidi="ar-SA"/>
                    </w:rPr>
                    <w:t>INFRAESTRUTURA</w:t>
                  </w:r>
                </w:p>
              </w:tc>
            </w:tr>
            <w:tr>
              <w:tblPrEx>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CellMar>
                  <w:top w:w="0" w:type="dxa"/>
                  <w:left w:w="108" w:type="dxa"/>
                  <w:bottom w:w="0" w:type="dxa"/>
                  <w:right w:w="108" w:type="dxa"/>
                </w:tblCellMar>
              </w:tblPrEx>
              <w:trPr>
                <w:trHeight w:val="1513" w:hRule="atLeast"/>
              </w:trPr>
              <w:tc>
                <w:tcPr>
                  <w:tcW w:w="1568" w:type="dxa"/>
                  <w:shd w:val="clear" w:color="auto" w:fill="auto"/>
                  <w:vAlign w:val="center"/>
                </w:tcPr>
                <w:p>
                  <w:pPr>
                    <w:jc w:val="center"/>
                    <w:rPr>
                      <w:rFonts w:ascii="Arial" w:hAnsi="Arial" w:cs="Arial"/>
                      <w:b/>
                      <w:sz w:val="21"/>
                      <w:szCs w:val="21"/>
                    </w:rPr>
                  </w:pPr>
                  <w:r>
                    <w:rPr>
                      <w:rFonts w:ascii="Arial" w:hAnsi="Arial" w:cs="Arial"/>
                      <w:b/>
                      <w:sz w:val="21"/>
                      <w:szCs w:val="21"/>
                    </w:rPr>
                    <w:t>Objeto:</w:t>
                  </w:r>
                </w:p>
              </w:tc>
              <w:tc>
                <w:tcPr>
                  <w:tcW w:w="8083" w:type="dxa"/>
                  <w:gridSpan w:val="2"/>
                  <w:shd w:val="clear" w:color="auto" w:fill="auto"/>
                  <w:vAlign w:val="center"/>
                </w:tcPr>
                <w:p>
                  <w:pPr>
                    <w:pStyle w:val="348"/>
                    <w:rPr>
                      <w:sz w:val="21"/>
                      <w:szCs w:val="21"/>
                    </w:rPr>
                  </w:pPr>
                  <w:r>
                    <w:rPr>
                      <w:rFonts w:hint="default"/>
                      <w:sz w:val="21"/>
                      <w:szCs w:val="21"/>
                      <w:lang w:val="pt-BR"/>
                    </w:rPr>
                    <w:t>CONTRATAÇÃO DE PESSOA JURÍDICA ESPECIALIZADA NA ELABORAÇÃO DE PROJETO BÁSICO E EXECUTIVO DE UMA REDE DE DRENAGEM URBANA PARA O TRANSPORTE DE ÁGUAS PLUVIAIS DE UMA ÁREA LOCALIZADA NO CENTRO DO MUNICÍPIO (MAPA 01) PARA O DESTINO FINAL LOCALIZADO NA ÁREA DE MATA APÓS, APROXIMADAMENTE 550 METROS, O PRÉDIO QUE SE ENCONTRA INSTALADO O JORNAL O DIÁRIO (AS MARGENS DA RODOVIA FEDERAL BR 070). O TRECHO DESDE DO INICIO ATÉ O PONTO FINAL POSSUI  APROXIMADAMENTE DE 2.550 METROS DE EXTENSÃO</w:t>
                  </w:r>
                  <w:r>
                    <w:rPr>
                      <w:sz w:val="21"/>
                      <w:szCs w:val="21"/>
                    </w:rPr>
                    <w:t>.</w:t>
                  </w:r>
                </w:p>
              </w:tc>
            </w:tr>
            <w:tr>
              <w:tblPrEx>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shd w:val="pct10" w:color="auto" w:fill="auto"/>
                <w:tblCellMar>
                  <w:top w:w="0" w:type="dxa"/>
                  <w:left w:w="108" w:type="dxa"/>
                  <w:bottom w:w="0" w:type="dxa"/>
                  <w:right w:w="108" w:type="dxa"/>
                </w:tblCellMar>
              </w:tblPrEx>
              <w:trPr>
                <w:trHeight w:val="234" w:hRule="atLeast"/>
              </w:trPr>
              <w:tc>
                <w:tcPr>
                  <w:tcW w:w="3539" w:type="dxa"/>
                  <w:gridSpan w:val="2"/>
                  <w:shd w:val="pct10" w:color="auto" w:fill="auto"/>
                  <w:vAlign w:val="center"/>
                </w:tcPr>
                <w:p>
                  <w:pPr>
                    <w:jc w:val="center"/>
                    <w:rPr>
                      <w:rFonts w:hint="default" w:ascii="Arial" w:hAnsi="Arial" w:cs="Arial"/>
                      <w:b/>
                      <w:sz w:val="21"/>
                      <w:szCs w:val="21"/>
                      <w:lang w:val="pt-BR"/>
                    </w:rPr>
                  </w:pPr>
                  <w:r>
                    <w:rPr>
                      <w:rFonts w:ascii="Arial" w:hAnsi="Arial" w:cs="Arial"/>
                      <w:b/>
                      <w:sz w:val="21"/>
                      <w:szCs w:val="21"/>
                    </w:rPr>
                    <w:t xml:space="preserve">Data da Abertura: </w:t>
                  </w:r>
                  <w:r>
                    <w:rPr>
                      <w:rFonts w:hint="default" w:ascii="Arial" w:hAnsi="Arial" w:cs="Arial"/>
                      <w:b/>
                      <w:sz w:val="21"/>
                      <w:szCs w:val="21"/>
                      <w:lang w:val="pt-BR"/>
                    </w:rPr>
                    <w:t>29/11/2023</w:t>
                  </w:r>
                </w:p>
              </w:tc>
              <w:tc>
                <w:tcPr>
                  <w:tcW w:w="6112" w:type="dxa"/>
                  <w:shd w:val="pct10" w:color="auto" w:fill="auto"/>
                  <w:vAlign w:val="center"/>
                </w:tcPr>
                <w:p>
                  <w:pPr>
                    <w:jc w:val="center"/>
                    <w:rPr>
                      <w:rFonts w:ascii="Arial" w:hAnsi="Arial" w:cs="Arial"/>
                      <w:b/>
                      <w:sz w:val="21"/>
                      <w:szCs w:val="21"/>
                    </w:rPr>
                  </w:pPr>
                  <w:r>
                    <w:rPr>
                      <w:rFonts w:ascii="Arial" w:hAnsi="Arial" w:cs="Arial"/>
                      <w:b/>
                      <w:sz w:val="21"/>
                      <w:szCs w:val="21"/>
                    </w:rPr>
                    <w:t>Horário:</w:t>
                  </w:r>
                  <w:r>
                    <w:rPr>
                      <w:rFonts w:hint="default" w:ascii="Arial" w:hAnsi="Arial" w:cs="Arial"/>
                      <w:b/>
                      <w:sz w:val="21"/>
                      <w:szCs w:val="21"/>
                      <w:lang w:val="pt-BR"/>
                    </w:rPr>
                    <w:t xml:space="preserve"> 07h30min</w:t>
                  </w:r>
                  <w:r>
                    <w:rPr>
                      <w:rFonts w:ascii="Arial" w:hAnsi="Arial" w:cs="Arial"/>
                      <w:b/>
                      <w:sz w:val="21"/>
                      <w:szCs w:val="21"/>
                    </w:rPr>
                    <w:t xml:space="preserve"> (Fuso Horário de Cuiabá</w:t>
                  </w:r>
                  <w:r>
                    <w:rPr>
                      <w:rFonts w:hint="default" w:ascii="Arial" w:hAnsi="Arial" w:cs="Arial"/>
                      <w:b/>
                      <w:sz w:val="21"/>
                      <w:szCs w:val="21"/>
                      <w:lang w:val="pt-BR"/>
                    </w:rPr>
                    <w:t xml:space="preserve"> - MT</w:t>
                  </w:r>
                  <w:r>
                    <w:rPr>
                      <w:rFonts w:ascii="Arial" w:hAnsi="Arial" w:cs="Arial"/>
                      <w:b/>
                      <w:sz w:val="21"/>
                      <w:szCs w:val="21"/>
                    </w:rPr>
                    <w:t>)</w:t>
                  </w:r>
                </w:p>
              </w:tc>
            </w:tr>
          </w:tbl>
          <w:p>
            <w:pPr>
              <w:rPr>
                <w:rFonts w:ascii="Arial" w:hAnsi="Arial" w:cs="Arial"/>
                <w:sz w:val="21"/>
                <w:szCs w:val="21"/>
              </w:rPr>
            </w:pPr>
          </w:p>
          <w:tbl>
            <w:tblPr>
              <w:tblStyle w:val="12"/>
              <w:tblW w:w="9651" w:type="dxa"/>
              <w:tblInd w:w="7" w:type="dxa"/>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Layout w:type="fixed"/>
              <w:tblCellMar>
                <w:top w:w="0" w:type="dxa"/>
                <w:left w:w="108" w:type="dxa"/>
                <w:bottom w:w="0" w:type="dxa"/>
                <w:right w:w="108" w:type="dxa"/>
              </w:tblCellMar>
            </w:tblPr>
            <w:tblGrid>
              <w:gridCol w:w="1556"/>
              <w:gridCol w:w="8095"/>
            </w:tblGrid>
            <w:tr>
              <w:tblPrEx>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CellMar>
                  <w:top w:w="0" w:type="dxa"/>
                  <w:left w:w="108" w:type="dxa"/>
                  <w:bottom w:w="0" w:type="dxa"/>
                  <w:right w:w="108" w:type="dxa"/>
                </w:tblCellMar>
              </w:tblPrEx>
              <w:trPr>
                <w:trHeight w:val="806" w:hRule="atLeast"/>
              </w:trPr>
              <w:tc>
                <w:tcPr>
                  <w:tcW w:w="1556" w:type="dxa"/>
                  <w:shd w:val="clear" w:color="auto" w:fill="auto"/>
                  <w:vAlign w:val="center"/>
                </w:tcPr>
                <w:p>
                  <w:pPr>
                    <w:jc w:val="center"/>
                    <w:rPr>
                      <w:rFonts w:ascii="Arial" w:hAnsi="Arial" w:cs="Arial"/>
                      <w:b/>
                      <w:sz w:val="21"/>
                      <w:szCs w:val="21"/>
                    </w:rPr>
                  </w:pPr>
                  <w:r>
                    <w:rPr>
                      <w:rFonts w:ascii="Arial" w:hAnsi="Arial" w:cs="Arial"/>
                      <w:b/>
                      <w:sz w:val="21"/>
                      <w:szCs w:val="21"/>
                    </w:rPr>
                    <w:t>Local:</w:t>
                  </w:r>
                </w:p>
              </w:tc>
              <w:tc>
                <w:tcPr>
                  <w:tcW w:w="8095" w:type="dxa"/>
                  <w:shd w:val="clear" w:color="auto" w:fill="auto"/>
                  <w:vAlign w:val="center"/>
                </w:tcPr>
                <w:p>
                  <w:pPr>
                    <w:jc w:val="both"/>
                    <w:rPr>
                      <w:rFonts w:ascii="Arial" w:hAnsi="Arial" w:cs="Arial"/>
                      <w:sz w:val="18"/>
                      <w:szCs w:val="18"/>
                    </w:rPr>
                  </w:pPr>
                  <w:r>
                    <w:rPr>
                      <w:rFonts w:ascii="Arial" w:hAnsi="Arial" w:cs="Arial"/>
                      <w:sz w:val="18"/>
                      <w:szCs w:val="18"/>
                    </w:rPr>
                    <w:t>A</w:t>
                  </w:r>
                  <w:r>
                    <w:rPr>
                      <w:rFonts w:ascii="Arial" w:hAnsi="Arial" w:cs="Arial"/>
                      <w:sz w:val="21"/>
                      <w:szCs w:val="21"/>
                    </w:rPr>
                    <w:t xml:space="preserve"> </w:t>
                  </w:r>
                  <w:r>
                    <w:rPr>
                      <w:rFonts w:ascii="Arial" w:hAnsi="Arial" w:cs="Arial"/>
                      <w:b/>
                      <w:sz w:val="21"/>
                      <w:szCs w:val="21"/>
                      <w:u w:val="none"/>
                    </w:rPr>
                    <w:t>TOMADA DE PREÇO</w:t>
                  </w:r>
                  <w:r>
                    <w:rPr>
                      <w:rFonts w:hint="default" w:ascii="Arial" w:hAnsi="Arial" w:cs="Arial"/>
                      <w:b/>
                      <w:sz w:val="21"/>
                      <w:szCs w:val="21"/>
                      <w:u w:val="none"/>
                      <w:lang w:val="pt-BR"/>
                    </w:rPr>
                    <w:t>S</w:t>
                  </w:r>
                  <w:r>
                    <w:rPr>
                      <w:rFonts w:ascii="Arial" w:hAnsi="Arial" w:cs="Arial"/>
                      <w:sz w:val="21"/>
                      <w:szCs w:val="21"/>
                    </w:rPr>
                    <w:t xml:space="preserve"> será realizada em sessão pública, no Auditório de Licitações localizada na Prefeitura Municipal de Primavera do Leste - situado na Rua Maringá, nº 444 - Bairro: Centro - Município de Primavera do Leste/MT.</w:t>
                  </w:r>
                </w:p>
              </w:tc>
            </w:tr>
          </w:tbl>
          <w:p>
            <w:pPr>
              <w:rPr>
                <w:rFonts w:ascii="Arial" w:hAnsi="Arial" w:cs="Arial"/>
                <w:sz w:val="21"/>
                <w:szCs w:val="21"/>
              </w:rPr>
            </w:pPr>
          </w:p>
          <w:tbl>
            <w:tblPr>
              <w:tblStyle w:val="12"/>
              <w:tblW w:w="9651" w:type="dxa"/>
              <w:tblInd w:w="7" w:type="dxa"/>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Layout w:type="fixed"/>
              <w:tblCellMar>
                <w:top w:w="0" w:type="dxa"/>
                <w:left w:w="108" w:type="dxa"/>
                <w:bottom w:w="0" w:type="dxa"/>
                <w:right w:w="108" w:type="dxa"/>
              </w:tblCellMar>
            </w:tblPr>
            <w:tblGrid>
              <w:gridCol w:w="1582"/>
              <w:gridCol w:w="8069"/>
            </w:tblGrid>
            <w:tr>
              <w:tblPrEx>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CellMar>
                  <w:top w:w="0" w:type="dxa"/>
                  <w:left w:w="108" w:type="dxa"/>
                  <w:bottom w:w="0" w:type="dxa"/>
                  <w:right w:w="108" w:type="dxa"/>
                </w:tblCellMar>
              </w:tblPrEx>
              <w:trPr>
                <w:trHeight w:val="472" w:hRule="atLeast"/>
              </w:trPr>
              <w:tc>
                <w:tcPr>
                  <w:tcW w:w="1582" w:type="dxa"/>
                  <w:shd w:val="clear" w:color="auto" w:fill="auto"/>
                  <w:vAlign w:val="center"/>
                </w:tcPr>
                <w:p>
                  <w:pPr>
                    <w:jc w:val="center"/>
                    <w:rPr>
                      <w:rFonts w:ascii="Arial" w:hAnsi="Arial" w:cs="Arial"/>
                      <w:b/>
                      <w:sz w:val="21"/>
                      <w:szCs w:val="21"/>
                    </w:rPr>
                  </w:pPr>
                  <w:r>
                    <w:rPr>
                      <w:rFonts w:ascii="Arial" w:hAnsi="Arial" w:cs="Arial"/>
                      <w:b/>
                      <w:sz w:val="21"/>
                      <w:szCs w:val="21"/>
                    </w:rPr>
                    <w:t>End. para retirada do Edital:</w:t>
                  </w:r>
                </w:p>
              </w:tc>
              <w:tc>
                <w:tcPr>
                  <w:tcW w:w="8069" w:type="dxa"/>
                  <w:shd w:val="clear" w:color="auto" w:fill="auto"/>
                  <w:vAlign w:val="center"/>
                </w:tcPr>
                <w:p>
                  <w:pPr>
                    <w:jc w:val="both"/>
                    <w:rPr>
                      <w:rFonts w:ascii="Arial" w:hAnsi="Arial" w:cs="Arial"/>
                      <w:sz w:val="21"/>
                      <w:szCs w:val="21"/>
                    </w:rPr>
                  </w:pPr>
                  <w:r>
                    <w:rPr>
                      <w:rFonts w:ascii="Arial" w:hAnsi="Arial" w:cs="Arial"/>
                      <w:sz w:val="21"/>
                      <w:szCs w:val="21"/>
                    </w:rPr>
                    <w:t>O Edital</w:t>
                  </w:r>
                  <w:r>
                    <w:rPr>
                      <w:rFonts w:hint="default" w:ascii="Arial" w:hAnsi="Arial" w:cs="Arial"/>
                      <w:sz w:val="21"/>
                      <w:szCs w:val="21"/>
                      <w:lang w:val="pt-BR"/>
                    </w:rPr>
                    <w:t xml:space="preserve"> </w:t>
                  </w:r>
                  <w:r>
                    <w:rPr>
                      <w:rFonts w:ascii="Arial" w:hAnsi="Arial" w:cs="Arial"/>
                      <w:sz w:val="21"/>
                      <w:szCs w:val="21"/>
                    </w:rPr>
                    <w:t>completo</w:t>
                  </w:r>
                  <w:r>
                    <w:rPr>
                      <w:rFonts w:hint="default" w:ascii="Arial" w:hAnsi="Arial" w:cs="Arial"/>
                      <w:sz w:val="21"/>
                      <w:szCs w:val="21"/>
                      <w:lang w:val="pt-BR"/>
                    </w:rPr>
                    <w:t xml:space="preserve">, termo de Referência  </w:t>
                  </w:r>
                  <w:r>
                    <w:rPr>
                      <w:rFonts w:ascii="Arial" w:hAnsi="Arial" w:cs="Arial"/>
                      <w:sz w:val="21"/>
                      <w:szCs w:val="21"/>
                    </w:rPr>
                    <w:t>poder</w:t>
                  </w:r>
                  <w:r>
                    <w:rPr>
                      <w:rFonts w:hint="default" w:ascii="Arial" w:hAnsi="Arial" w:cs="Arial"/>
                      <w:sz w:val="21"/>
                      <w:szCs w:val="21"/>
                      <w:lang w:val="pt-BR"/>
                    </w:rPr>
                    <w:t>ão</w:t>
                  </w:r>
                  <w:r>
                    <w:rPr>
                      <w:rFonts w:ascii="Arial" w:hAnsi="Arial" w:cs="Arial"/>
                      <w:sz w:val="21"/>
                      <w:szCs w:val="21"/>
                    </w:rPr>
                    <w:t xml:space="preserve"> ser retirado</w:t>
                  </w:r>
                  <w:r>
                    <w:rPr>
                      <w:rFonts w:hint="default" w:ascii="Arial" w:hAnsi="Arial" w:cs="Arial"/>
                      <w:sz w:val="21"/>
                      <w:szCs w:val="21"/>
                      <w:lang w:val="pt-BR"/>
                    </w:rPr>
                    <w:t>s</w:t>
                  </w:r>
                  <w:r>
                    <w:rPr>
                      <w:rFonts w:ascii="Arial" w:hAnsi="Arial" w:cs="Arial"/>
                      <w:sz w:val="21"/>
                      <w:szCs w:val="21"/>
                    </w:rPr>
                    <w:t xml:space="preserve"> no site da Prefeitura Municipal de Primavera do Leste por meio do endereço</w:t>
                  </w:r>
                  <w:r>
                    <w:rPr>
                      <w:rFonts w:hint="default" w:ascii="Arial" w:hAnsi="Arial" w:cs="Arial"/>
                      <w:sz w:val="21"/>
                      <w:szCs w:val="21"/>
                      <w:lang w:val="pt-BR"/>
                    </w:rPr>
                    <w:t xml:space="preserve"> eletrônico</w:t>
                  </w:r>
                  <w:r>
                    <w:rPr>
                      <w:rFonts w:ascii="Arial" w:hAnsi="Arial" w:cs="Arial"/>
                      <w:sz w:val="21"/>
                      <w:szCs w:val="21"/>
                    </w:rPr>
                    <w:t xml:space="preserve">: </w:t>
                  </w:r>
                  <w:r>
                    <w:rPr>
                      <w:sz w:val="22"/>
                      <w:szCs w:val="22"/>
                    </w:rPr>
                    <w:fldChar w:fldCharType="begin"/>
                  </w:r>
                  <w:r>
                    <w:rPr>
                      <w:sz w:val="22"/>
                      <w:szCs w:val="22"/>
                    </w:rPr>
                    <w:instrText xml:space="preserve"> HYPERLINK "http://www.pva.mt.gov.br/" </w:instrText>
                  </w:r>
                  <w:r>
                    <w:rPr>
                      <w:sz w:val="22"/>
                      <w:szCs w:val="22"/>
                    </w:rPr>
                    <w:fldChar w:fldCharType="separate"/>
                  </w:r>
                  <w:r>
                    <w:rPr>
                      <w:rStyle w:val="17"/>
                      <w:rFonts w:ascii="Arial" w:hAnsi="Arial" w:cs="Arial"/>
                      <w:bCs/>
                      <w:sz w:val="21"/>
                      <w:szCs w:val="21"/>
                    </w:rPr>
                    <w:t>http://www.primaveradoleste.mt.gov.br</w:t>
                  </w:r>
                  <w:r>
                    <w:rPr>
                      <w:rStyle w:val="17"/>
                      <w:rFonts w:ascii="Arial" w:hAnsi="Arial" w:cs="Arial"/>
                      <w:bCs/>
                      <w:sz w:val="21"/>
                      <w:szCs w:val="21"/>
                    </w:rPr>
                    <w:fldChar w:fldCharType="end"/>
                  </w:r>
                  <w:r>
                    <w:rPr>
                      <w:rFonts w:ascii="Arial" w:hAnsi="Arial" w:cs="Arial"/>
                      <w:sz w:val="21"/>
                      <w:szCs w:val="21"/>
                    </w:rPr>
                    <w:t xml:space="preserve">, na </w:t>
                  </w:r>
                  <w:r>
                    <w:rPr>
                      <w:rFonts w:hint="default" w:ascii="Arial" w:hAnsi="Arial" w:cs="Arial"/>
                      <w:sz w:val="21"/>
                      <w:szCs w:val="21"/>
                      <w:lang w:val="pt-BR"/>
                    </w:rPr>
                    <w:t xml:space="preserve">aba </w:t>
                  </w:r>
                  <w:r>
                    <w:rPr>
                      <w:rFonts w:ascii="Arial" w:hAnsi="Arial" w:cs="Arial"/>
                      <w:sz w:val="21"/>
                      <w:szCs w:val="21"/>
                    </w:rPr>
                    <w:t>“</w:t>
                  </w:r>
                  <w:r>
                    <w:rPr>
                      <w:rFonts w:hint="default" w:ascii="Arial" w:hAnsi="Arial" w:cs="Arial"/>
                      <w:sz w:val="21"/>
                      <w:szCs w:val="21"/>
                      <w:lang w:val="pt-BR"/>
                    </w:rPr>
                    <w:t>EMPRESA</w:t>
                  </w:r>
                  <w:r>
                    <w:rPr>
                      <w:rFonts w:ascii="Arial" w:hAnsi="Arial" w:cs="Arial"/>
                      <w:sz w:val="21"/>
                      <w:szCs w:val="21"/>
                    </w:rPr>
                    <w:t xml:space="preserve">”, </w:t>
                  </w:r>
                  <w:r>
                    <w:rPr>
                      <w:rFonts w:hint="default" w:ascii="Arial" w:hAnsi="Arial" w:cs="Arial"/>
                      <w:sz w:val="21"/>
                      <w:szCs w:val="21"/>
                      <w:lang w:val="pt-BR"/>
                    </w:rPr>
                    <w:t>sub-aba</w:t>
                  </w:r>
                  <w:r>
                    <w:rPr>
                      <w:rFonts w:ascii="Arial" w:hAnsi="Arial" w:cs="Arial"/>
                      <w:sz w:val="21"/>
                      <w:szCs w:val="21"/>
                    </w:rPr>
                    <w:t xml:space="preserve"> “Editais e Licitações”.</w:t>
                  </w:r>
                </w:p>
              </w:tc>
            </w:tr>
          </w:tbl>
          <w:p>
            <w:pPr>
              <w:rPr>
                <w:rFonts w:ascii="Arial" w:hAnsi="Arial" w:cs="Arial"/>
                <w:sz w:val="21"/>
                <w:szCs w:val="21"/>
              </w:rPr>
            </w:pPr>
          </w:p>
          <w:tbl>
            <w:tblPr>
              <w:tblStyle w:val="12"/>
              <w:tblW w:w="9651" w:type="dxa"/>
              <w:tblInd w:w="7" w:type="dxa"/>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Layout w:type="fixed"/>
              <w:tblCellMar>
                <w:top w:w="0" w:type="dxa"/>
                <w:left w:w="108" w:type="dxa"/>
                <w:bottom w:w="0" w:type="dxa"/>
                <w:right w:w="108" w:type="dxa"/>
              </w:tblCellMar>
            </w:tblPr>
            <w:tblGrid>
              <w:gridCol w:w="1598"/>
              <w:gridCol w:w="8053"/>
            </w:tblGrid>
            <w:tr>
              <w:tblPrEx>
                <w:tblBorders>
                  <w:top w:val="double" w:color="auto" w:sz="12" w:space="0"/>
                  <w:left w:val="double" w:color="auto" w:sz="12" w:space="0"/>
                  <w:bottom w:val="double" w:color="auto" w:sz="12" w:space="0"/>
                  <w:right w:val="double" w:color="auto" w:sz="12" w:space="0"/>
                  <w:insideH w:val="double" w:color="auto" w:sz="12" w:space="0"/>
                  <w:insideV w:val="double" w:color="auto" w:sz="12" w:space="0"/>
                </w:tblBorders>
                <w:tblCellMar>
                  <w:top w:w="0" w:type="dxa"/>
                  <w:left w:w="108" w:type="dxa"/>
                  <w:bottom w:w="0" w:type="dxa"/>
                  <w:right w:w="108" w:type="dxa"/>
                </w:tblCellMar>
              </w:tblPrEx>
              <w:trPr>
                <w:trHeight w:val="578" w:hRule="atLeast"/>
              </w:trPr>
              <w:tc>
                <w:tcPr>
                  <w:tcW w:w="1598" w:type="dxa"/>
                  <w:shd w:val="clear" w:color="auto" w:fill="auto"/>
                  <w:vAlign w:val="center"/>
                </w:tcPr>
                <w:p>
                  <w:pPr>
                    <w:jc w:val="center"/>
                    <w:rPr>
                      <w:rFonts w:ascii="Arial" w:hAnsi="Arial" w:cs="Arial"/>
                      <w:b/>
                      <w:sz w:val="21"/>
                      <w:szCs w:val="21"/>
                    </w:rPr>
                  </w:pPr>
                  <w:r>
                    <w:rPr>
                      <w:rFonts w:ascii="Arial" w:hAnsi="Arial" w:cs="Arial"/>
                      <w:b/>
                      <w:sz w:val="21"/>
                      <w:szCs w:val="21"/>
                    </w:rPr>
                    <w:t>Informações:</w:t>
                  </w:r>
                </w:p>
              </w:tc>
              <w:tc>
                <w:tcPr>
                  <w:tcW w:w="8053" w:type="dxa"/>
                  <w:shd w:val="clear" w:color="auto" w:fill="auto"/>
                  <w:vAlign w:val="center"/>
                </w:tcPr>
                <w:p>
                  <w:pPr>
                    <w:jc w:val="both"/>
                    <w:rPr>
                      <w:rFonts w:ascii="Arial" w:hAnsi="Arial" w:cs="Arial"/>
                      <w:color w:val="FF0000"/>
                      <w:sz w:val="21"/>
                      <w:szCs w:val="21"/>
                    </w:rPr>
                  </w:pPr>
                  <w:r>
                    <w:rPr>
                      <w:rFonts w:hint="default" w:ascii="Arial" w:hAnsi="Arial" w:cs="Arial"/>
                      <w:sz w:val="21"/>
                      <w:szCs w:val="21"/>
                      <w:lang w:val="pt-BR"/>
                    </w:rPr>
                    <w:t xml:space="preserve">Através do </w:t>
                  </w:r>
                  <w:r>
                    <w:rPr>
                      <w:rFonts w:ascii="Arial" w:hAnsi="Arial" w:cs="Arial"/>
                      <w:sz w:val="21"/>
                      <w:szCs w:val="21"/>
                    </w:rPr>
                    <w:t>Setor de Licitações - Telefone: (66) 3498-3333 Ramal 215. Atendimento: 07h</w:t>
                  </w:r>
                  <w:r>
                    <w:rPr>
                      <w:rFonts w:hint="default" w:ascii="Arial" w:hAnsi="Arial" w:cs="Arial"/>
                      <w:sz w:val="21"/>
                      <w:szCs w:val="21"/>
                      <w:lang w:val="pt-BR"/>
                    </w:rPr>
                    <w:t>00min</w:t>
                  </w:r>
                  <w:r>
                    <w:rPr>
                      <w:rFonts w:ascii="Arial" w:hAnsi="Arial" w:cs="Arial"/>
                      <w:sz w:val="21"/>
                      <w:szCs w:val="21"/>
                    </w:rPr>
                    <w:t xml:space="preserve"> ás</w:t>
                  </w:r>
                  <w:r>
                    <w:rPr>
                      <w:rFonts w:hint="default" w:ascii="Arial" w:hAnsi="Arial" w:cs="Arial"/>
                      <w:sz w:val="21"/>
                      <w:szCs w:val="21"/>
                      <w:lang w:val="pt-BR"/>
                    </w:rPr>
                    <w:t xml:space="preserve"> </w:t>
                  </w:r>
                  <w:r>
                    <w:rPr>
                      <w:rFonts w:ascii="Arial" w:hAnsi="Arial" w:cs="Arial"/>
                      <w:sz w:val="21"/>
                      <w:szCs w:val="21"/>
                    </w:rPr>
                    <w:t>1</w:t>
                  </w:r>
                  <w:r>
                    <w:rPr>
                      <w:rFonts w:hint="default" w:ascii="Arial" w:hAnsi="Arial" w:cs="Arial"/>
                      <w:sz w:val="21"/>
                      <w:szCs w:val="21"/>
                      <w:lang w:val="pt-BR"/>
                    </w:rPr>
                    <w:t>3</w:t>
                  </w:r>
                  <w:r>
                    <w:rPr>
                      <w:rFonts w:ascii="Arial" w:hAnsi="Arial" w:cs="Arial"/>
                      <w:sz w:val="21"/>
                      <w:szCs w:val="21"/>
                    </w:rPr>
                    <w:t>h</w:t>
                  </w:r>
                  <w:r>
                    <w:rPr>
                      <w:rFonts w:hint="default" w:ascii="Arial" w:hAnsi="Arial" w:cs="Arial"/>
                      <w:sz w:val="21"/>
                      <w:szCs w:val="21"/>
                      <w:lang w:val="pt-BR"/>
                    </w:rPr>
                    <w:t>00min</w:t>
                  </w:r>
                  <w:r>
                    <w:rPr>
                      <w:rFonts w:ascii="Arial" w:hAnsi="Arial" w:cs="Arial"/>
                      <w:sz w:val="21"/>
                      <w:szCs w:val="21"/>
                    </w:rPr>
                    <w:t xml:space="preserve">. E-mail: </w:t>
                  </w:r>
                  <w:r>
                    <w:rPr>
                      <w:sz w:val="22"/>
                      <w:szCs w:val="22"/>
                    </w:rPr>
                    <w:fldChar w:fldCharType="begin"/>
                  </w:r>
                  <w:r>
                    <w:rPr>
                      <w:sz w:val="22"/>
                      <w:szCs w:val="22"/>
                    </w:rPr>
                    <w:instrText xml:space="preserve"> HYPERLINK "mailto:licita3@pva.mt.gov.br" </w:instrText>
                  </w:r>
                  <w:r>
                    <w:rPr>
                      <w:sz w:val="22"/>
                      <w:szCs w:val="22"/>
                    </w:rPr>
                    <w:fldChar w:fldCharType="separate"/>
                  </w:r>
                  <w:r>
                    <w:rPr>
                      <w:rStyle w:val="17"/>
                      <w:rFonts w:ascii="Arial" w:hAnsi="Arial" w:cs="Arial"/>
                      <w:sz w:val="21"/>
                      <w:szCs w:val="21"/>
                    </w:rPr>
                    <w:t>licita3@pva.mt.gov.br</w:t>
                  </w:r>
                  <w:r>
                    <w:rPr>
                      <w:rStyle w:val="17"/>
                      <w:rFonts w:ascii="Arial" w:hAnsi="Arial" w:cs="Arial"/>
                      <w:sz w:val="21"/>
                      <w:szCs w:val="21"/>
                    </w:rPr>
                    <w:fldChar w:fldCharType="end"/>
                  </w:r>
                </w:p>
              </w:tc>
            </w:tr>
          </w:tbl>
          <w:p>
            <w:pPr>
              <w:jc w:val="right"/>
              <w:rPr>
                <w:sz w:val="22"/>
                <w:szCs w:val="22"/>
              </w:rPr>
            </w:pPr>
          </w:p>
        </w:tc>
      </w:tr>
    </w:tbl>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jc w:val="center"/>
        <w:rPr>
          <w:rFonts w:ascii="Arial" w:hAnsi="Arial" w:cs="Arial"/>
          <w:b/>
        </w:rPr>
      </w:pPr>
    </w:p>
    <w:p>
      <w:pPr>
        <w:pStyle w:val="146"/>
        <w:spacing w:line="276" w:lineRule="auto"/>
        <w:rPr>
          <w:rFonts w:ascii="Arial" w:hAnsi="Arial" w:cs="Arial"/>
          <w:szCs w:val="24"/>
        </w:rPr>
      </w:pPr>
      <w:r>
        <w:rPr>
          <w:rFonts w:ascii="Arial" w:hAnsi="Arial" w:cs="Arial"/>
          <w:szCs w:val="24"/>
        </w:rPr>
        <w:t>EDITAL</w:t>
      </w:r>
    </w:p>
    <w:p>
      <w:pPr>
        <w:pStyle w:val="347"/>
        <w:pBdr>
          <w:bottom w:val="single" w:color="auto" w:sz="4" w:space="1"/>
        </w:pBdr>
        <w:spacing w:line="276" w:lineRule="auto"/>
        <w:rPr>
          <w:rFonts w:ascii="Arial" w:hAnsi="Arial" w:cs="Arial"/>
          <w:b/>
          <w:szCs w:val="24"/>
        </w:rPr>
      </w:pPr>
      <w:bookmarkStart w:id="0" w:name="_Toc380557810"/>
      <w:r>
        <w:rPr>
          <w:rFonts w:ascii="Arial" w:hAnsi="Arial" w:cs="Arial"/>
          <w:b/>
        </w:rPr>
        <w:t>TOMADA DE PREÇOS</w:t>
      </w:r>
      <w:r>
        <w:rPr>
          <w:rFonts w:ascii="Arial" w:hAnsi="Arial" w:cs="Arial"/>
          <w:b/>
          <w:szCs w:val="24"/>
        </w:rPr>
        <w:t xml:space="preserve"> Nº. </w:t>
      </w:r>
      <w:bookmarkEnd w:id="0"/>
      <w:r>
        <w:rPr>
          <w:rFonts w:ascii="Arial" w:hAnsi="Arial" w:cs="Arial"/>
          <w:b/>
          <w:szCs w:val="24"/>
          <w:lang w:val="pt-BR"/>
        </w:rPr>
        <w:t>005/2023</w:t>
      </w:r>
      <w:r>
        <w:rPr>
          <w:rFonts w:ascii="Arial" w:hAnsi="Arial" w:cs="Arial"/>
          <w:b/>
          <w:szCs w:val="24"/>
        </w:rPr>
        <w:t xml:space="preserve"> </w:t>
      </w:r>
    </w:p>
    <w:p>
      <w:pPr>
        <w:pStyle w:val="347"/>
        <w:pBdr>
          <w:bottom w:val="single" w:color="auto" w:sz="4" w:space="1"/>
        </w:pBdr>
        <w:spacing w:line="276" w:lineRule="auto"/>
        <w:rPr>
          <w:rFonts w:hint="default" w:ascii="Arial" w:hAnsi="Arial" w:cs="Arial"/>
          <w:b/>
          <w:szCs w:val="24"/>
          <w:lang w:val="pt-BR"/>
        </w:rPr>
      </w:pPr>
      <w:r>
        <w:rPr>
          <w:rFonts w:ascii="Arial" w:hAnsi="Arial" w:cs="Arial"/>
          <w:b/>
          <w:szCs w:val="24"/>
        </w:rPr>
        <w:t xml:space="preserve">PROCESSO ADMINISTRATIVO Nº </w:t>
      </w:r>
      <w:r>
        <w:rPr>
          <w:rFonts w:ascii="Arial" w:hAnsi="Arial" w:cs="Arial"/>
          <w:b/>
          <w:szCs w:val="24"/>
          <w:lang w:val="pt-BR"/>
        </w:rPr>
        <w:t>1058/2023</w:t>
      </w:r>
    </w:p>
    <w:p>
      <w:bookmarkStart w:id="1" w:name="_Toc380557811"/>
    </w:p>
    <w:p>
      <w:pPr>
        <w:pStyle w:val="145"/>
        <w:keepNext w:val="0"/>
        <w:keepLines w:val="0"/>
        <w:pageBreakBefore w:val="0"/>
        <w:widowControl/>
        <w:kinsoku/>
        <w:wordWrap/>
        <w:overflowPunct/>
        <w:topLinePunct w:val="0"/>
        <w:autoSpaceDE/>
        <w:autoSpaceDN/>
        <w:bidi w:val="0"/>
        <w:adjustRightInd/>
        <w:snapToGrid/>
        <w:spacing w:before="0"/>
        <w:textAlignment w:val="auto"/>
      </w:pPr>
      <w:bookmarkStart w:id="2" w:name="_Toc514666328"/>
      <w:r>
        <w:rPr>
          <w:rFonts w:hint="default"/>
          <w:lang w:val="pt-BR"/>
        </w:rPr>
        <w:t xml:space="preserve"> </w:t>
      </w:r>
      <w:r>
        <w:t>PREÂMBULO</w:t>
      </w:r>
      <w:bookmarkEnd w:id="1"/>
      <w:bookmarkEnd w:id="2"/>
    </w:p>
    <w:p>
      <w:pPr>
        <w:pStyle w:val="348"/>
        <w:keepNext w:val="0"/>
        <w:keepLines w:val="0"/>
        <w:pageBreakBefore w:val="0"/>
        <w:widowControl/>
        <w:kinsoku/>
        <w:wordWrap/>
        <w:overflowPunct/>
        <w:topLinePunct w:val="0"/>
        <w:autoSpaceDE/>
        <w:autoSpaceDN/>
        <w:bidi w:val="0"/>
        <w:adjustRightInd/>
        <w:snapToGrid/>
        <w:spacing w:before="0" w:beforeAutospacing="0" w:line="240" w:lineRule="auto"/>
        <w:textAlignment w:val="auto"/>
      </w:pPr>
      <w:r>
        <w:rPr>
          <w:rFonts w:hint="default"/>
          <w:b/>
          <w:bCs w:val="0"/>
          <w:lang w:val="pt-BR"/>
        </w:rPr>
        <w:t xml:space="preserve">1.1. </w:t>
      </w:r>
      <w:r>
        <w:t xml:space="preserve">O Município de Primavera do Leste por intermédio da </w:t>
      </w:r>
      <w:r>
        <w:rPr>
          <w:i/>
        </w:rPr>
        <w:t xml:space="preserve">Secretaria Municipal de </w:t>
      </w:r>
      <w:r>
        <w:rPr>
          <w:rFonts w:hint="default"/>
          <w:i/>
          <w:lang w:val="pt-BR"/>
        </w:rPr>
        <w:t xml:space="preserve">Infraestrutura, </w:t>
      </w:r>
      <w:r>
        <w:t>através da Comissão Permanente de Licitação, designada pela PORTARIA N°</w:t>
      </w:r>
      <w:r>
        <w:rPr>
          <w:rFonts w:hint="default"/>
          <w:lang w:val="pt-BR"/>
        </w:rPr>
        <w:t>621/2023</w:t>
      </w:r>
      <w:r>
        <w:t>, torna público para conhecimento dos interessados, que, na data, horário e local abaixo indicado, realizará licitação na modalidade TOMADA DE PREÇO</w:t>
      </w:r>
      <w:r>
        <w:rPr>
          <w:rFonts w:hint="default"/>
          <w:lang w:val="pt-BR"/>
        </w:rPr>
        <w:t>S</w:t>
      </w:r>
      <w:r>
        <w:t>, do tipo “</w:t>
      </w:r>
      <w:r>
        <w:rPr>
          <w:lang w:val="pt-BR"/>
        </w:rPr>
        <w:t>MELHOR TÉCNICA E PREÇO</w:t>
      </w:r>
      <w:r>
        <w:t>”, empreitada por preço unitário, conforme descrições contidas no presente instrumento convocatório e seus Anexos.</w:t>
      </w:r>
    </w:p>
    <w:p>
      <w:pPr>
        <w:pStyle w:val="145"/>
      </w:pPr>
      <w:bookmarkStart w:id="3" w:name="_Toc380557812"/>
      <w:bookmarkStart w:id="4" w:name="_Toc514666329"/>
      <w:r>
        <w:rPr>
          <w:rFonts w:hint="default"/>
          <w:lang w:val="pt-BR"/>
        </w:rPr>
        <w:t xml:space="preserve"> </w:t>
      </w:r>
      <w:r>
        <w:t>DO SUPORTE LEGAL</w:t>
      </w:r>
      <w:bookmarkEnd w:id="3"/>
      <w:bookmarkEnd w:id="4"/>
    </w:p>
    <w:p>
      <w:pPr>
        <w:pStyle w:val="348"/>
        <w:keepNext w:val="0"/>
        <w:keepLines w:val="0"/>
        <w:pageBreakBefore w:val="0"/>
        <w:widowControl/>
        <w:kinsoku/>
        <w:wordWrap/>
        <w:overflowPunct/>
        <w:topLinePunct w:val="0"/>
        <w:autoSpaceDE/>
        <w:autoSpaceDN/>
        <w:bidi w:val="0"/>
        <w:adjustRightInd/>
        <w:snapToGrid/>
        <w:spacing w:before="0" w:beforeAutospacing="0"/>
        <w:textAlignment w:val="auto"/>
      </w:pPr>
      <w:r>
        <w:rPr>
          <w:rFonts w:hint="default"/>
          <w:b/>
          <w:bCs w:val="0"/>
          <w:lang w:val="pt-BR"/>
        </w:rPr>
        <w:t xml:space="preserve">2.1. </w:t>
      </w:r>
      <w:r>
        <w:t xml:space="preserve">Esta licitação tem fundamento legal na Lei nº 8.666, de 21 de junho de 1993 e alterações subsequentes, </w:t>
      </w:r>
      <w:r>
        <w:rPr>
          <w:rFonts w:hint="default"/>
        </w:rPr>
        <w:t>Lei Municipal 1.953/2021</w:t>
      </w:r>
      <w:r>
        <w:rPr>
          <w:rFonts w:hint="default"/>
          <w:lang w:val="pt-BR"/>
        </w:rPr>
        <w:t xml:space="preserve">, </w:t>
      </w:r>
      <w:r>
        <w:t xml:space="preserve">na Lei Complementar nº. 123 de 14 de dezembro de 2006 e alterações posteriores, </w:t>
      </w:r>
      <w:r>
        <w:fldChar w:fldCharType="begin"/>
      </w:r>
      <w:r>
        <w:instrText xml:space="preserve"> HYPERLINK "http://legislacao.planalto.gov.br/legisla/legislacao.nsf/Viw_Identificacao/DEC%209.412-2018?OpenDocument" </w:instrText>
      </w:r>
      <w:r>
        <w:fldChar w:fldCharType="separate"/>
      </w:r>
      <w:r>
        <w:t>Decreto nº 9.412/18</w:t>
      </w:r>
      <w:r>
        <w:fldChar w:fldCharType="end"/>
      </w:r>
      <w:r>
        <w:t xml:space="preserve"> e demais legislações complementares, estando devidamente autorizada pela SECRETARIA MUNICIPAL DE </w:t>
      </w:r>
      <w:r>
        <w:rPr>
          <w:rFonts w:hint="default"/>
          <w:lang w:val="pt-BR"/>
        </w:rPr>
        <w:t>INFRAESTRUTURA</w:t>
      </w:r>
      <w:r>
        <w:t xml:space="preserve">, conforme consta no Processo Administrativo nº </w:t>
      </w:r>
      <w:r>
        <w:rPr>
          <w:lang w:val="pt-BR"/>
        </w:rPr>
        <w:t>1058/2023</w:t>
      </w:r>
      <w:r>
        <w:t>, após exame e aprovação pela Procuradoria Geral do Município, conforme art. 38 § Único da Lei nº. 8.666/93.</w:t>
      </w:r>
    </w:p>
    <w:p>
      <w:pPr>
        <w:pStyle w:val="145"/>
      </w:pPr>
      <w:bookmarkStart w:id="5" w:name="_Toc514666330"/>
      <w:r>
        <w:rPr>
          <w:rFonts w:hint="default"/>
          <w:lang w:val="pt-BR"/>
        </w:rPr>
        <w:t xml:space="preserve"> </w:t>
      </w:r>
      <w:r>
        <w:t>DO TIPO DE LICITAÇÃO</w:t>
      </w:r>
      <w:bookmarkEnd w:id="5"/>
    </w:p>
    <w:p>
      <w:pPr>
        <w:pStyle w:val="348"/>
        <w:keepNext w:val="0"/>
        <w:keepLines w:val="0"/>
        <w:pageBreakBefore w:val="0"/>
        <w:widowControl/>
        <w:kinsoku/>
        <w:wordWrap/>
        <w:overflowPunct/>
        <w:topLinePunct w:val="0"/>
        <w:autoSpaceDE/>
        <w:autoSpaceDN/>
        <w:bidi w:val="0"/>
        <w:adjustRightInd/>
        <w:snapToGrid/>
        <w:spacing w:before="0" w:beforeAutospacing="0"/>
        <w:textAlignment w:val="auto"/>
      </w:pPr>
      <w:r>
        <w:rPr>
          <w:rFonts w:hint="default"/>
          <w:b/>
          <w:bCs w:val="0"/>
          <w:lang w:val="pt-BR"/>
        </w:rPr>
        <w:t xml:space="preserve">3.1. </w:t>
      </w:r>
      <w:r>
        <w:t xml:space="preserve">A sessão para a recepção dos envelopes de “HABILITAÇÃO” </w:t>
      </w:r>
      <w:r>
        <w:rPr>
          <w:rFonts w:hint="default"/>
          <w:lang w:val="pt-BR"/>
        </w:rPr>
        <w:t xml:space="preserve">PROPOSTA TÉCNICA </w:t>
      </w:r>
      <w:r>
        <w:t>E “PROPOSTA DE PREÇOS” será realizada da seguinte forma.</w:t>
      </w:r>
    </w:p>
    <w:p>
      <w:pPr>
        <w:pStyle w:val="86"/>
        <w:numPr>
          <w:ilvl w:val="0"/>
          <w:numId w:val="16"/>
        </w:numPr>
        <w:autoSpaceDE w:val="0"/>
        <w:autoSpaceDN w:val="0"/>
        <w:adjustRightInd w:val="0"/>
        <w:spacing w:line="276" w:lineRule="auto"/>
        <w:jc w:val="both"/>
        <w:rPr>
          <w:rFonts w:ascii="Arial" w:hAnsi="Arial" w:cs="Arial"/>
          <w:bCs/>
          <w:sz w:val="22"/>
          <w:szCs w:val="22"/>
        </w:rPr>
      </w:pPr>
      <w:r>
        <w:rPr>
          <w:rFonts w:ascii="Arial" w:hAnsi="Arial" w:cs="Arial"/>
          <w:b/>
          <w:sz w:val="22"/>
          <w:szCs w:val="22"/>
        </w:rPr>
        <w:t>TIP</w:t>
      </w:r>
      <w:r>
        <w:rPr>
          <w:rFonts w:ascii="Arial" w:hAnsi="Arial" w:cs="Arial"/>
          <w:b/>
          <w:bCs/>
          <w:sz w:val="22"/>
          <w:szCs w:val="22"/>
        </w:rPr>
        <w:t>O DE LICITAÇÃO:</w:t>
      </w:r>
      <w:r>
        <w:rPr>
          <w:rFonts w:ascii="Arial" w:hAnsi="Arial" w:cs="Arial"/>
          <w:bCs/>
          <w:sz w:val="22"/>
          <w:szCs w:val="22"/>
        </w:rPr>
        <w:t xml:space="preserve"> </w:t>
      </w:r>
      <w:r>
        <w:rPr>
          <w:rFonts w:ascii="Arial" w:hAnsi="Arial" w:cs="Arial"/>
          <w:b w:val="0"/>
          <w:bCs/>
          <w:sz w:val="22"/>
          <w:szCs w:val="22"/>
        </w:rPr>
        <w:t>“</w:t>
      </w:r>
      <w:r>
        <w:rPr>
          <w:rFonts w:ascii="Arial" w:hAnsi="Arial" w:cs="Arial"/>
          <w:b w:val="0"/>
          <w:bCs/>
          <w:sz w:val="22"/>
          <w:szCs w:val="22"/>
          <w:lang w:val="pt-BR"/>
        </w:rPr>
        <w:t>MELHOR TÉCNICA E PREÇO</w:t>
      </w:r>
      <w:r>
        <w:rPr>
          <w:rFonts w:ascii="Arial" w:hAnsi="Arial" w:cs="Arial"/>
          <w:b w:val="0"/>
          <w:bCs/>
          <w:sz w:val="22"/>
          <w:szCs w:val="22"/>
        </w:rPr>
        <w:t xml:space="preserve">” </w:t>
      </w:r>
      <w:r>
        <w:rPr>
          <w:rFonts w:ascii="Arial" w:hAnsi="Arial" w:cs="Arial"/>
          <w:b/>
          <w:bCs/>
          <w:sz w:val="22"/>
          <w:szCs w:val="22"/>
        </w:rPr>
        <w:t xml:space="preserve">- </w:t>
      </w:r>
      <w:r>
        <w:rPr>
          <w:rFonts w:ascii="Arial" w:hAnsi="Arial" w:cs="Arial"/>
          <w:bCs/>
          <w:sz w:val="22"/>
          <w:szCs w:val="22"/>
        </w:rPr>
        <w:t>A</w:t>
      </w:r>
      <w:r>
        <w:rPr>
          <w:rFonts w:ascii="Arial" w:hAnsi="Arial" w:cs="Arial"/>
          <w:sz w:val="22"/>
          <w:szCs w:val="22"/>
        </w:rPr>
        <w:t xml:space="preserve">rtigo 45, § 1º, inciso </w:t>
      </w:r>
      <w:r>
        <w:rPr>
          <w:rFonts w:hint="default" w:ascii="Arial" w:hAnsi="Arial" w:cs="Arial"/>
          <w:sz w:val="22"/>
          <w:szCs w:val="22"/>
          <w:lang w:val="pt-BR"/>
        </w:rPr>
        <w:t>II</w:t>
      </w:r>
      <w:r>
        <w:rPr>
          <w:rFonts w:ascii="Arial" w:hAnsi="Arial" w:cs="Arial"/>
          <w:sz w:val="22"/>
          <w:szCs w:val="22"/>
        </w:rPr>
        <w:t>I, da Lei n° 8.666/93;</w:t>
      </w:r>
    </w:p>
    <w:p>
      <w:pPr>
        <w:pStyle w:val="86"/>
        <w:numPr>
          <w:ilvl w:val="0"/>
          <w:numId w:val="16"/>
        </w:numPr>
        <w:autoSpaceDE w:val="0"/>
        <w:autoSpaceDN w:val="0"/>
        <w:adjustRightInd w:val="0"/>
        <w:spacing w:line="276" w:lineRule="auto"/>
        <w:jc w:val="both"/>
        <w:rPr>
          <w:rFonts w:ascii="Arial" w:hAnsi="Arial" w:cs="Arial"/>
          <w:bCs/>
          <w:sz w:val="22"/>
          <w:szCs w:val="22"/>
        </w:rPr>
      </w:pPr>
      <w:r>
        <w:rPr>
          <w:rFonts w:ascii="Arial" w:hAnsi="Arial" w:cs="Arial"/>
          <w:b/>
          <w:bCs/>
          <w:sz w:val="22"/>
          <w:szCs w:val="22"/>
        </w:rPr>
        <w:t xml:space="preserve">DATA: </w:t>
      </w:r>
      <w:r>
        <w:rPr>
          <w:rFonts w:hint="default" w:ascii="Arial" w:hAnsi="Arial" w:cs="Arial"/>
          <w:b/>
          <w:bCs/>
          <w:sz w:val="22"/>
          <w:szCs w:val="22"/>
          <w:lang w:val="pt-BR"/>
        </w:rPr>
        <w:t>29/11/2023</w:t>
      </w:r>
      <w:r>
        <w:rPr>
          <w:rFonts w:ascii="Arial" w:hAnsi="Arial" w:cs="Arial"/>
          <w:bCs/>
          <w:sz w:val="22"/>
          <w:szCs w:val="22"/>
        </w:rPr>
        <w:t>;</w:t>
      </w:r>
    </w:p>
    <w:p>
      <w:pPr>
        <w:pStyle w:val="86"/>
        <w:numPr>
          <w:ilvl w:val="0"/>
          <w:numId w:val="16"/>
        </w:numPr>
        <w:autoSpaceDE w:val="0"/>
        <w:autoSpaceDN w:val="0"/>
        <w:adjustRightInd w:val="0"/>
        <w:spacing w:line="276" w:lineRule="auto"/>
        <w:jc w:val="both"/>
        <w:rPr>
          <w:rFonts w:ascii="Arial" w:hAnsi="Arial" w:cs="Arial"/>
          <w:bCs/>
          <w:sz w:val="22"/>
          <w:szCs w:val="22"/>
        </w:rPr>
      </w:pPr>
      <w:r>
        <w:rPr>
          <w:rFonts w:ascii="Arial" w:hAnsi="Arial" w:cs="Arial"/>
          <w:b/>
          <w:bCs/>
          <w:sz w:val="22"/>
          <w:szCs w:val="22"/>
        </w:rPr>
        <w:t xml:space="preserve">HORÁRIO: </w:t>
      </w:r>
      <w:r>
        <w:rPr>
          <w:rFonts w:hint="default" w:ascii="Arial" w:hAnsi="Arial" w:cs="Arial"/>
          <w:b/>
          <w:bCs/>
          <w:sz w:val="22"/>
          <w:szCs w:val="22"/>
          <w:lang w:val="pt-BR"/>
        </w:rPr>
        <w:t>07:30</w:t>
      </w:r>
      <w:r>
        <w:rPr>
          <w:rFonts w:ascii="Arial" w:hAnsi="Arial" w:cs="Arial"/>
          <w:b/>
          <w:bCs/>
          <w:sz w:val="22"/>
          <w:szCs w:val="22"/>
        </w:rPr>
        <w:t xml:space="preserve"> Horas (Fuso horário de Cuiabá</w:t>
      </w:r>
      <w:r>
        <w:rPr>
          <w:rFonts w:hint="default" w:ascii="Arial" w:hAnsi="Arial" w:cs="Arial"/>
          <w:b/>
          <w:bCs/>
          <w:sz w:val="22"/>
          <w:szCs w:val="22"/>
          <w:lang w:val="pt-BR"/>
        </w:rPr>
        <w:t xml:space="preserve"> - </w:t>
      </w:r>
      <w:r>
        <w:rPr>
          <w:rFonts w:ascii="Arial" w:hAnsi="Arial" w:cs="Arial"/>
          <w:b/>
          <w:bCs/>
          <w:sz w:val="22"/>
          <w:szCs w:val="22"/>
        </w:rPr>
        <w:t>MT)</w:t>
      </w:r>
      <w:r>
        <w:rPr>
          <w:rFonts w:ascii="Arial" w:hAnsi="Arial" w:cs="Arial"/>
          <w:bCs/>
          <w:sz w:val="22"/>
          <w:szCs w:val="22"/>
        </w:rPr>
        <w:t>;</w:t>
      </w:r>
    </w:p>
    <w:p>
      <w:pPr>
        <w:pStyle w:val="86"/>
        <w:numPr>
          <w:ilvl w:val="0"/>
          <w:numId w:val="16"/>
        </w:numPr>
        <w:autoSpaceDE w:val="0"/>
        <w:autoSpaceDN w:val="0"/>
        <w:adjustRightInd w:val="0"/>
        <w:spacing w:line="276" w:lineRule="auto"/>
        <w:jc w:val="both"/>
        <w:rPr>
          <w:rFonts w:ascii="Arial" w:hAnsi="Arial" w:cs="Arial"/>
          <w:bCs/>
          <w:sz w:val="22"/>
          <w:szCs w:val="22"/>
        </w:rPr>
      </w:pPr>
      <w:r>
        <w:rPr>
          <w:rFonts w:ascii="Arial" w:hAnsi="Arial" w:cs="Arial"/>
          <w:b/>
          <w:bCs/>
          <w:sz w:val="22"/>
          <w:szCs w:val="22"/>
        </w:rPr>
        <w:t>LOCAL:</w:t>
      </w:r>
      <w:r>
        <w:rPr>
          <w:rFonts w:ascii="Arial" w:hAnsi="Arial" w:cs="Arial"/>
          <w:bCs/>
          <w:sz w:val="22"/>
          <w:szCs w:val="22"/>
        </w:rPr>
        <w:t xml:space="preserve"> </w:t>
      </w:r>
      <w:r>
        <w:rPr>
          <w:rFonts w:ascii="Arial" w:hAnsi="Arial" w:cs="Arial"/>
          <w:sz w:val="22"/>
          <w:szCs w:val="22"/>
        </w:rPr>
        <w:t>Auditório de Licitações localizada na Prefeitura Municipal de Primavera do Leste - situado na Rua Maringá, nº 444 - Bairro: Centro - Município de Primavera do Leste/MT.</w:t>
      </w:r>
    </w:p>
    <w:p>
      <w:pPr>
        <w:pStyle w:val="145"/>
      </w:pPr>
      <w:bookmarkStart w:id="6" w:name="_Toc380557814"/>
      <w:bookmarkStart w:id="7" w:name="_Toc514666331"/>
      <w:r>
        <w:rPr>
          <w:rFonts w:hint="default"/>
          <w:lang w:val="pt-BR"/>
        </w:rPr>
        <w:t xml:space="preserve"> </w:t>
      </w:r>
      <w:r>
        <w:t>DO OBJETO</w:t>
      </w:r>
      <w:bookmarkEnd w:id="6"/>
      <w:bookmarkEnd w:id="7"/>
    </w:p>
    <w:p>
      <w:pPr>
        <w:pStyle w:val="348"/>
        <w:keepNext w:val="0"/>
        <w:keepLines w:val="0"/>
        <w:pageBreakBefore w:val="0"/>
        <w:widowControl/>
        <w:kinsoku/>
        <w:wordWrap/>
        <w:overflowPunct/>
        <w:topLinePunct w:val="0"/>
        <w:autoSpaceDE/>
        <w:autoSpaceDN/>
        <w:bidi w:val="0"/>
        <w:adjustRightInd/>
        <w:snapToGrid/>
        <w:spacing w:before="0" w:beforeAutospacing="0"/>
        <w:textAlignment w:val="auto"/>
      </w:pPr>
      <w:r>
        <w:rPr>
          <w:b/>
        </w:rPr>
        <w:t>4.1.</w:t>
      </w:r>
      <w:r>
        <w:t xml:space="preserve"> </w:t>
      </w:r>
      <w:r>
        <w:rPr>
          <w:rFonts w:hint="default"/>
          <w:sz w:val="21"/>
          <w:szCs w:val="21"/>
          <w:lang w:val="pt-BR"/>
        </w:rPr>
        <w:t>CONTRATAÇÃO DE PESSOA JURÍDICA ESPECIALIZADA NA ELABORAÇÃO DE PROJETO BÁSICO E EXECUTIVO DE UMA REDE DE DRENAGEM URBANA PARA O TRANSPORTE DE ÁGUAS PLUVIAIS DE UMA ÁREA LOCALIZADA NO CENTRO DO MUNICÍPIO (MAPA 01) PARA O DESTINO FINAL LOCALIZADO NA ÁREA DE MATA APÓS, APROXIMADAMENTE 550 METROS, O PRÉDIO QUE SE ENCONTRA INSTALADO O JORNAL O DIÁRIO (AS MARGENS DA RODOVIA FEDERAL BR 070). O TRECHO DESDE DO INICIO ATÉ O PONTO FINAL POSSUI  APROXIMADAMENTE DE 2.550 METROS DE EXTENSÃO</w:t>
      </w:r>
      <w:r>
        <w:t>:</w:t>
      </w:r>
    </w:p>
    <w:tbl>
      <w:tblPr>
        <w:tblStyle w:val="12"/>
        <w:tblW w:w="9639" w:type="dxa"/>
        <w:tblInd w:w="5" w:type="dxa"/>
        <w:tblLayout w:type="fixed"/>
        <w:tblCellMar>
          <w:top w:w="0" w:type="dxa"/>
          <w:left w:w="0" w:type="dxa"/>
          <w:bottom w:w="0" w:type="dxa"/>
          <w:right w:w="0" w:type="dxa"/>
        </w:tblCellMar>
      </w:tblPr>
      <w:tblGrid>
        <w:gridCol w:w="426"/>
        <w:gridCol w:w="425"/>
        <w:gridCol w:w="709"/>
        <w:gridCol w:w="6368"/>
        <w:gridCol w:w="1711"/>
      </w:tblGrid>
      <w:tr>
        <w:tblPrEx>
          <w:tblCellMar>
            <w:top w:w="0" w:type="dxa"/>
            <w:left w:w="0" w:type="dxa"/>
            <w:bottom w:w="0" w:type="dxa"/>
            <w:right w:w="0" w:type="dxa"/>
          </w:tblCellMar>
        </w:tblPrEx>
        <w:trPr>
          <w:trHeight w:val="398" w:hRule="atLeast"/>
        </w:trPr>
        <w:tc>
          <w:tcPr>
            <w:tcW w:w="426"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b/>
                <w:sz w:val="20"/>
                <w:szCs w:val="20"/>
              </w:rPr>
            </w:pPr>
            <w:r>
              <w:rPr>
                <w:rFonts w:ascii="Arial" w:hAnsi="Arial" w:cs="Arial"/>
                <w:b/>
                <w:sz w:val="20"/>
                <w:szCs w:val="20"/>
              </w:rPr>
              <w:t>Item</w:t>
            </w:r>
          </w:p>
        </w:tc>
        <w:tc>
          <w:tcPr>
            <w:tcW w:w="425"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b/>
                <w:sz w:val="20"/>
                <w:szCs w:val="20"/>
              </w:rPr>
            </w:pPr>
            <w:r>
              <w:rPr>
                <w:rFonts w:ascii="Arial" w:hAnsi="Arial" w:cs="Arial"/>
                <w:b/>
                <w:sz w:val="20"/>
                <w:szCs w:val="20"/>
              </w:rPr>
              <w:t>Qtd</w:t>
            </w:r>
          </w:p>
        </w:tc>
        <w:tc>
          <w:tcPr>
            <w:tcW w:w="709"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b/>
                <w:sz w:val="20"/>
                <w:szCs w:val="20"/>
              </w:rPr>
            </w:pPr>
            <w:r>
              <w:rPr>
                <w:rFonts w:ascii="Arial" w:hAnsi="Arial" w:cs="Arial"/>
                <w:b/>
                <w:sz w:val="20"/>
                <w:szCs w:val="20"/>
              </w:rPr>
              <w:t>Und</w:t>
            </w:r>
          </w:p>
        </w:tc>
        <w:tc>
          <w:tcPr>
            <w:tcW w:w="6368"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b/>
                <w:sz w:val="20"/>
                <w:szCs w:val="20"/>
              </w:rPr>
            </w:pPr>
            <w:r>
              <w:rPr>
                <w:rFonts w:ascii="Arial" w:hAnsi="Arial" w:cs="Arial"/>
                <w:b/>
                <w:sz w:val="20"/>
                <w:szCs w:val="20"/>
              </w:rPr>
              <w:t>Descrição Resumida do Objeto</w:t>
            </w:r>
          </w:p>
        </w:tc>
        <w:tc>
          <w:tcPr>
            <w:tcW w:w="1711" w:type="dxa"/>
            <w:tcBorders>
              <w:top w:val="single" w:color="000000" w:sz="4" w:space="0"/>
              <w:left w:val="single" w:color="000000" w:sz="4" w:space="0"/>
              <w:bottom w:val="single" w:color="000000" w:sz="4" w:space="0"/>
              <w:right w:val="single" w:color="000000" w:sz="4" w:space="0"/>
            </w:tcBorders>
            <w:vAlign w:val="center"/>
          </w:tcPr>
          <w:p>
            <w:pPr>
              <w:pStyle w:val="203"/>
              <w:snapToGrid w:val="0"/>
              <w:spacing w:before="120" w:after="120"/>
              <w:jc w:val="both"/>
              <w:rPr>
                <w:rFonts w:ascii="Arial" w:hAnsi="Arial" w:cs="Arial"/>
                <w:b/>
                <w:sz w:val="20"/>
                <w:szCs w:val="20"/>
              </w:rPr>
            </w:pPr>
            <w:r>
              <w:rPr>
                <w:rFonts w:ascii="Arial" w:hAnsi="Arial" w:cs="Arial"/>
                <w:b/>
                <w:sz w:val="20"/>
                <w:szCs w:val="20"/>
              </w:rPr>
              <w:t>Valor Planilha Estimado R$</w:t>
            </w:r>
          </w:p>
        </w:tc>
      </w:tr>
      <w:tr>
        <w:tblPrEx>
          <w:tblCellMar>
            <w:top w:w="0" w:type="dxa"/>
            <w:left w:w="0" w:type="dxa"/>
            <w:bottom w:w="0" w:type="dxa"/>
            <w:right w:w="0" w:type="dxa"/>
          </w:tblCellMar>
        </w:tblPrEx>
        <w:trPr>
          <w:trHeight w:val="699" w:hRule="atLeast"/>
        </w:trPr>
        <w:tc>
          <w:tcPr>
            <w:tcW w:w="426"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sz w:val="22"/>
                <w:szCs w:val="22"/>
              </w:rPr>
            </w:pPr>
            <w:r>
              <w:rPr>
                <w:rFonts w:ascii="Arial" w:hAnsi="Arial" w:cs="Arial"/>
                <w:sz w:val="22"/>
                <w:szCs w:val="22"/>
              </w:rPr>
              <w:t>01</w:t>
            </w:r>
          </w:p>
        </w:tc>
        <w:tc>
          <w:tcPr>
            <w:tcW w:w="425"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sz w:val="22"/>
                <w:szCs w:val="22"/>
              </w:rPr>
            </w:pPr>
            <w:r>
              <w:rPr>
                <w:rFonts w:ascii="Arial" w:hAnsi="Arial" w:cs="Arial"/>
                <w:sz w:val="22"/>
                <w:szCs w:val="22"/>
              </w:rPr>
              <w:t>01</w:t>
            </w:r>
          </w:p>
        </w:tc>
        <w:tc>
          <w:tcPr>
            <w:tcW w:w="709"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hint="default" w:ascii="Arial" w:hAnsi="Arial" w:cs="Arial"/>
                <w:sz w:val="22"/>
                <w:szCs w:val="22"/>
                <w:lang w:val="pt-BR"/>
              </w:rPr>
            </w:pPr>
            <w:r>
              <w:rPr>
                <w:rFonts w:hint="default" w:ascii="Arial" w:hAnsi="Arial" w:cs="Arial"/>
                <w:sz w:val="22"/>
                <w:szCs w:val="22"/>
                <w:lang w:val="pt-BR"/>
              </w:rPr>
              <w:t>SERV</w:t>
            </w:r>
          </w:p>
        </w:tc>
        <w:tc>
          <w:tcPr>
            <w:tcW w:w="6368" w:type="dxa"/>
            <w:tcBorders>
              <w:top w:val="single" w:color="000000" w:sz="4" w:space="0"/>
              <w:left w:val="single" w:color="000000" w:sz="4" w:space="0"/>
              <w:bottom w:val="single" w:color="000000" w:sz="4" w:space="0"/>
            </w:tcBorders>
            <w:vAlign w:val="center"/>
          </w:tcPr>
          <w:p>
            <w:pPr>
              <w:autoSpaceDE w:val="0"/>
              <w:autoSpaceDN w:val="0"/>
              <w:adjustRightInd w:val="0"/>
              <w:spacing w:before="120" w:after="120"/>
              <w:jc w:val="both"/>
              <w:rPr>
                <w:rFonts w:ascii="Arial" w:hAnsi="Arial" w:cs="Arial"/>
                <w:sz w:val="22"/>
                <w:szCs w:val="22"/>
              </w:rPr>
            </w:pPr>
            <w:r>
              <w:rPr>
                <w:rFonts w:hint="default"/>
                <w:sz w:val="18"/>
                <w:szCs w:val="18"/>
                <w:lang w:val="pt-BR"/>
              </w:rPr>
              <w:t>CONTRATAÇÃO DE PESSOA JURÍDICA ESPECIALIZADA NA ELABORAÇÃO DE PROJETO BÁSICO E EXECUTIVO DE UMA REDE DE DRENAGEM URBANA PARA O TRANSPORTE DE ÁGUAS PLUVIAIS DE UMA ÁREA LOCALIZADA NO CENTRO DO MUNICÍPIO (MAPA 01) PARA O DESTINO FINAL LOCALIZADO NA ÁREA DE MATA APÓS, APROXIMADAMENTE 550 METROS, O PRÉDIO QUE SE ENCONTRA INSTALADO O JORNAL O DIÁRIO (AS MARGENS DA RODOVIA FEDERAL BR 070). O TRECHO DESDE DO INICIO ATÉ O PONTO FINAL POSSUI  APROXIMADAMENTE DE 2.550 METROS DE EXTENSÃO</w:t>
            </w:r>
          </w:p>
        </w:tc>
        <w:tc>
          <w:tcPr>
            <w:tcW w:w="1711" w:type="dxa"/>
            <w:tcBorders>
              <w:top w:val="single" w:color="000000" w:sz="4" w:space="0"/>
              <w:left w:val="single" w:color="000000" w:sz="4" w:space="0"/>
              <w:bottom w:val="single" w:color="000000" w:sz="4" w:space="0"/>
              <w:right w:val="single" w:color="000000" w:sz="4" w:space="0"/>
            </w:tcBorders>
            <w:vAlign w:val="center"/>
          </w:tcPr>
          <w:p>
            <w:pPr>
              <w:pStyle w:val="203"/>
              <w:snapToGrid w:val="0"/>
              <w:spacing w:before="120" w:after="120"/>
              <w:jc w:val="center"/>
              <w:rPr>
                <w:rFonts w:hint="default" w:ascii="Arial" w:hAnsi="Arial" w:cs="Arial"/>
                <w:color w:val="FF0000"/>
                <w:sz w:val="22"/>
                <w:szCs w:val="22"/>
                <w:highlight w:val="yellow"/>
                <w:lang w:val="pt-BR"/>
              </w:rPr>
            </w:pPr>
            <w:r>
              <w:rPr>
                <w:rFonts w:hint="default" w:ascii="Arial" w:hAnsi="Arial" w:cs="Arial"/>
                <w:sz w:val="22"/>
                <w:szCs w:val="22"/>
                <w:highlight w:val="none"/>
                <w:lang w:val="pt-BR"/>
              </w:rPr>
              <w:t xml:space="preserve">R$ </w:t>
            </w:r>
            <w:r>
              <w:rPr>
                <w:rFonts w:hint="default" w:ascii="Arial" w:hAnsi="Arial"/>
                <w:sz w:val="22"/>
                <w:szCs w:val="22"/>
                <w:highlight w:val="none"/>
                <w:lang w:val="pt-BR"/>
              </w:rPr>
              <w:t>86.412,50</w:t>
            </w:r>
          </w:p>
        </w:tc>
      </w:tr>
    </w:tbl>
    <w:p>
      <w:pPr>
        <w:pStyle w:val="348"/>
        <w:keepNext w:val="0"/>
        <w:keepLines w:val="0"/>
        <w:pageBreakBefore w:val="0"/>
        <w:widowControl/>
        <w:kinsoku/>
        <w:wordWrap/>
        <w:overflowPunct/>
        <w:topLinePunct w:val="0"/>
        <w:autoSpaceDE/>
        <w:autoSpaceDN/>
        <w:bidi w:val="0"/>
        <w:adjustRightInd/>
        <w:snapToGrid/>
        <w:spacing w:before="0" w:beforeAutospacing="0" w:after="0" w:afterAutospacing="0"/>
        <w:textAlignment w:val="auto"/>
        <w:rPr>
          <w:b/>
        </w:rPr>
      </w:pP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hint="default"/>
          <w:lang w:val="pt-BR"/>
        </w:rPr>
      </w:pPr>
      <w:r>
        <w:rPr>
          <w:b/>
        </w:rPr>
        <w:t>4.2.</w:t>
      </w:r>
      <w:r>
        <w:t xml:space="preserve"> Ao efetuar</w:t>
      </w:r>
      <w:r>
        <w:rPr>
          <w:rFonts w:hint="default"/>
          <w:lang w:val="pt-BR"/>
        </w:rPr>
        <w:t xml:space="preserve"> e apresentar</w:t>
      </w:r>
      <w:r>
        <w:t xml:space="preserve"> a proposta, </w:t>
      </w:r>
      <w:r>
        <w:rPr>
          <w:rFonts w:hint="default"/>
          <w:lang w:val="pt-BR"/>
        </w:rPr>
        <w:t>a</w:t>
      </w:r>
      <w:r>
        <w:t xml:space="preserve"> Licitante deverá estar ciente </w:t>
      </w:r>
      <w:r>
        <w:rPr>
          <w:rFonts w:hint="default"/>
          <w:lang w:val="pt-BR"/>
        </w:rPr>
        <w:t xml:space="preserve">de </w:t>
      </w:r>
      <w:r>
        <w:t>que está concordando integral e incondicionalmente com os termos do presente edital e seus anexos e, entende a Administração, que</w:t>
      </w:r>
      <w:r>
        <w:rPr>
          <w:rFonts w:hint="default"/>
          <w:lang w:val="pt-BR"/>
        </w:rPr>
        <w:t xml:space="preserve"> a</w:t>
      </w:r>
      <w:r>
        <w:t xml:space="preserve"> mesm</w:t>
      </w:r>
      <w:r>
        <w:rPr>
          <w:rFonts w:hint="default"/>
          <w:lang w:val="pt-BR"/>
        </w:rPr>
        <w:t>a</w:t>
      </w:r>
      <w:r>
        <w:t xml:space="preserve"> tomou conhecimento da situação existente e que dispõe de equipamento e pessoal para execução d</w:t>
      </w:r>
      <w:r>
        <w:rPr>
          <w:rFonts w:hint="default"/>
          <w:lang w:val="pt-BR"/>
        </w:rPr>
        <w:t>o projeto</w:t>
      </w:r>
      <w:r>
        <w:t>, conforme</w:t>
      </w:r>
      <w:r>
        <w:rPr>
          <w:rFonts w:hint="default"/>
          <w:lang w:val="pt-BR"/>
        </w:rPr>
        <w:t xml:space="preserve"> Anexo I e II;</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ascii="Arial" w:hAnsi="Arial" w:cs="Arial"/>
          <w:bCs/>
          <w:caps/>
          <w:sz w:val="22"/>
          <w:szCs w:val="22"/>
        </w:rPr>
      </w:pPr>
      <w:r>
        <w:rPr>
          <w:rFonts w:ascii="Arial" w:hAnsi="Arial" w:cs="Arial"/>
          <w:b/>
          <w:bCs/>
          <w:sz w:val="22"/>
          <w:szCs w:val="22"/>
        </w:rPr>
        <w:t xml:space="preserve">4.3. </w:t>
      </w:r>
      <w:r>
        <w:rPr>
          <w:rFonts w:ascii="Arial" w:hAnsi="Arial" w:cs="Arial"/>
          <w:bCs/>
          <w:caps/>
          <w:sz w:val="22"/>
          <w:szCs w:val="22"/>
        </w:rPr>
        <w:t xml:space="preserve">A proposta deverá ser formulada </w:t>
      </w:r>
      <w:r>
        <w:rPr>
          <w:rFonts w:ascii="Arial" w:hAnsi="Arial" w:cs="Arial"/>
          <w:b/>
          <w:bCs/>
          <w:caps/>
          <w:sz w:val="22"/>
          <w:szCs w:val="22"/>
        </w:rPr>
        <w:t>respeitando os valores máximos unitárioS e totais</w:t>
      </w:r>
      <w:r>
        <w:rPr>
          <w:rFonts w:ascii="Arial" w:hAnsi="Arial" w:cs="Arial"/>
          <w:bCs/>
          <w:caps/>
          <w:sz w:val="22"/>
          <w:szCs w:val="22"/>
        </w:rPr>
        <w:t>, estipulados nas planilhas orçamentárias CONSTANTES NO EDITAL, Sob pena de desclassificação;</w:t>
      </w:r>
    </w:p>
    <w:p>
      <w:pPr>
        <w:pStyle w:val="348"/>
        <w:keepNext w:val="0"/>
        <w:keepLines w:val="0"/>
        <w:pageBreakBefore w:val="0"/>
        <w:kinsoku/>
        <w:wordWrap/>
        <w:overflowPunct/>
        <w:topLinePunct w:val="0"/>
        <w:bidi w:val="0"/>
        <w:snapToGrid/>
        <w:spacing w:before="0" w:beforeAutospacing="0" w:after="120" w:afterAutospacing="0"/>
        <w:textAlignment w:val="auto"/>
        <w:rPr>
          <w:b w:val="0"/>
          <w:bCs w:val="0"/>
        </w:rPr>
      </w:pPr>
      <w:r>
        <w:rPr>
          <w:rFonts w:hint="default"/>
          <w:b/>
          <w:bCs/>
          <w:lang w:val="pt-BR"/>
        </w:rPr>
        <w:t>4.3.1</w:t>
      </w:r>
      <w:r>
        <w:rPr>
          <w:rFonts w:hint="default"/>
          <w:b w:val="0"/>
          <w:bCs w:val="0"/>
          <w:lang w:val="pt-BR"/>
        </w:rPr>
        <w:t xml:space="preserve"> </w:t>
      </w:r>
      <w:r>
        <w:rPr>
          <w:b w:val="0"/>
          <w:bCs w:val="0"/>
        </w:rPr>
        <w:t xml:space="preserve">As propostas deverão permanecer válidas em condições de aceitação por um período de 60 (sessenta) dias, contados da data da entrega das mesmas.e nos comprometemos em assinar o contrato, caso nos seja adjudicado o objeto da licitação, no prazo que for estabelecido na respectiva convocação, além de que declaramos que os preços apresentados compreendem todos os custos e despesas para a perfeita execução do objeto.  </w:t>
      </w:r>
    </w:p>
    <w:p>
      <w:pPr>
        <w:keepNext w:val="0"/>
        <w:keepLines w:val="0"/>
        <w:pageBreakBefore w:val="0"/>
        <w:widowControl/>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bCs/>
          <w:caps/>
          <w:sz w:val="22"/>
          <w:szCs w:val="22"/>
        </w:rPr>
        <w:t xml:space="preserve">4.4. </w:t>
      </w:r>
      <w:r>
        <w:rPr>
          <w:rFonts w:ascii="Arial" w:hAnsi="Arial" w:cs="Arial"/>
          <w:sz w:val="22"/>
          <w:szCs w:val="22"/>
        </w:rPr>
        <w:t xml:space="preserve">A licitação compõe-se de lote único, sagrando-se vencedor o licitante que ofertar o </w:t>
      </w:r>
      <w:r>
        <w:rPr>
          <w:rFonts w:ascii="Arial" w:hAnsi="Arial" w:cs="Arial"/>
          <w:sz w:val="22"/>
          <w:szCs w:val="22"/>
          <w:lang w:val="pt-BR"/>
        </w:rPr>
        <w:t>MELHOR TÉCNICA E PREÇO</w:t>
      </w:r>
      <w:r>
        <w:rPr>
          <w:rFonts w:ascii="Arial" w:hAnsi="Arial" w:cs="Arial"/>
          <w:sz w:val="22"/>
          <w:szCs w:val="22"/>
        </w:rPr>
        <w:t>.</w:t>
      </w:r>
    </w:p>
    <w:p>
      <w:pPr>
        <w:pStyle w:val="145"/>
        <w:keepNext w:val="0"/>
        <w:keepLines w:val="0"/>
        <w:pageBreakBefore w:val="0"/>
        <w:widowControl/>
        <w:kinsoku/>
        <w:wordWrap/>
        <w:overflowPunct/>
        <w:topLinePunct w:val="0"/>
        <w:autoSpaceDE/>
        <w:autoSpaceDN/>
        <w:bidi w:val="0"/>
        <w:adjustRightInd/>
        <w:snapToGrid/>
        <w:spacing w:before="0"/>
        <w:textAlignment w:val="auto"/>
      </w:pPr>
      <w:bookmarkStart w:id="8" w:name="_Toc514666332"/>
      <w:bookmarkStart w:id="9" w:name="_Toc380557815"/>
      <w:r>
        <w:rPr>
          <w:rFonts w:hint="default"/>
          <w:lang w:val="pt-BR"/>
        </w:rPr>
        <w:t xml:space="preserve"> </w:t>
      </w:r>
      <w:r>
        <w:t>DAS CONDIÇÕES PARA PARTICIPAÇÃO</w:t>
      </w:r>
      <w:bookmarkEnd w:id="8"/>
      <w:bookmarkEnd w:id="9"/>
    </w:p>
    <w:p>
      <w:pPr>
        <w:pStyle w:val="348"/>
        <w:keepNext w:val="0"/>
        <w:keepLines w:val="0"/>
        <w:pageBreakBefore w:val="0"/>
        <w:kinsoku/>
        <w:wordWrap/>
        <w:overflowPunct/>
        <w:topLinePunct w:val="0"/>
        <w:bidi w:val="0"/>
        <w:snapToGrid/>
        <w:spacing w:before="0" w:beforeAutospacing="0" w:after="120" w:afterAutospacing="0"/>
        <w:textAlignment w:val="auto"/>
        <w:rPr>
          <w:rFonts w:eastAsia="Calibri"/>
        </w:rPr>
      </w:pPr>
      <w:bookmarkStart w:id="10" w:name="_Toc514666333"/>
      <w:bookmarkStart w:id="11" w:name="_Toc486325249"/>
      <w:r>
        <w:rPr>
          <w:b/>
        </w:rPr>
        <w:t>5.1.</w:t>
      </w:r>
      <w:r>
        <w:t xml:space="preserve"> Somente serão admitidas a participação nest</w:t>
      </w:r>
      <w:r>
        <w:rPr>
          <w:rFonts w:hint="default"/>
          <w:lang w:val="pt-BR"/>
        </w:rPr>
        <w:t>a</w:t>
      </w:r>
      <w:r>
        <w:t xml:space="preserve"> Tomada de Preços às pessoas jurídicas que comprovem com documentos de registros ou autorizações legais, requisitos mínimos de habilitação e cujo objeto social da empresa detenha atividade no ramo pertinente e compatível com o objeto desta licitação, expressamente descrita no seu </w:t>
      </w:r>
      <w:r>
        <w:rPr>
          <w:u w:val="single"/>
        </w:rPr>
        <w:t xml:space="preserve">estatuto ou contrato social </w:t>
      </w:r>
      <w:r>
        <w:t>correndo por sua conta todos os custos decorrentes da elaboração e apresentação de suas propostas, não sendo devida nenhuma indenização às licitantes pela realização de tais atos;</w:t>
      </w:r>
    </w:p>
    <w:p>
      <w:pPr>
        <w:pStyle w:val="348"/>
        <w:keepNext w:val="0"/>
        <w:keepLines w:val="0"/>
        <w:pageBreakBefore w:val="0"/>
        <w:kinsoku/>
        <w:wordWrap/>
        <w:overflowPunct/>
        <w:topLinePunct w:val="0"/>
        <w:bidi w:val="0"/>
        <w:snapToGrid/>
        <w:spacing w:before="0" w:beforeAutospacing="0" w:after="120" w:afterAutospacing="0"/>
        <w:textAlignment w:val="auto"/>
        <w:rPr>
          <w:rFonts w:hint="default" w:eastAsia="Calibri"/>
          <w:lang w:val="pt-BR"/>
        </w:rPr>
      </w:pPr>
      <w:r>
        <w:rPr>
          <w:b/>
        </w:rPr>
        <w:t>5.2.</w:t>
      </w:r>
      <w:r>
        <w:t xml:space="preserve"> Esta Administração possui o </w:t>
      </w:r>
      <w:r>
        <w:rPr>
          <w:rFonts w:hint="default"/>
          <w:lang w:val="pt-BR"/>
        </w:rPr>
        <w:t xml:space="preserve">cadastro </w:t>
      </w:r>
      <w:r>
        <w:t>de licitantes</w:t>
      </w:r>
      <w:r>
        <w:rPr>
          <w:rFonts w:hint="default"/>
          <w:lang w:val="pt-BR"/>
        </w:rPr>
        <w:t xml:space="preserve"> na forma prevista na Seção III da Lei 8.666/93;</w:t>
      </w:r>
    </w:p>
    <w:p>
      <w:pPr>
        <w:pStyle w:val="348"/>
        <w:keepNext w:val="0"/>
        <w:keepLines w:val="0"/>
        <w:pageBreakBefore w:val="0"/>
        <w:kinsoku/>
        <w:wordWrap/>
        <w:overflowPunct/>
        <w:topLinePunct w:val="0"/>
        <w:bidi w:val="0"/>
        <w:snapToGrid/>
        <w:spacing w:before="0" w:beforeAutospacing="0" w:after="120" w:afterAutospacing="0"/>
        <w:textAlignment w:val="auto"/>
        <w:rPr>
          <w:rFonts w:eastAsia="Calibri"/>
        </w:rPr>
      </w:pPr>
      <w:r>
        <w:rPr>
          <w:b/>
        </w:rPr>
        <w:t>5.3.</w:t>
      </w:r>
      <w:r>
        <w:t xml:space="preserve"> </w:t>
      </w:r>
      <w:r>
        <w:rPr>
          <w:rFonts w:hint="default"/>
          <w:lang w:val="pt-BR"/>
        </w:rPr>
        <w:t>A</w:t>
      </w:r>
      <w:r>
        <w:t>s licitantes que não se encontrarem cadastrad</w:t>
      </w:r>
      <w:r>
        <w:rPr>
          <w:rFonts w:hint="default"/>
          <w:lang w:val="pt-BR"/>
        </w:rPr>
        <w:t>a</w:t>
      </w:r>
      <w:r>
        <w:t>s na Prefeitura Muncipal de Primavera do Leste, ou que se encontrem com os seus registros</w:t>
      </w:r>
      <w:r>
        <w:rPr>
          <w:rFonts w:hint="default"/>
          <w:lang w:val="pt-BR"/>
        </w:rPr>
        <w:t xml:space="preserve"> cadastrais</w:t>
      </w:r>
      <w:r>
        <w:t xml:space="preserve"> vencidos ou </w:t>
      </w:r>
      <w:r>
        <w:rPr>
          <w:rFonts w:hint="default"/>
          <w:lang w:val="pt-BR"/>
        </w:rPr>
        <w:t>in</w:t>
      </w:r>
      <w:r>
        <w:t>válidos, e quiserem participar deste certame utilizando-se d</w:t>
      </w:r>
      <w:r>
        <w:rPr>
          <w:rFonts w:hint="default"/>
          <w:lang w:val="pt-BR"/>
        </w:rPr>
        <w:t>e tal</w:t>
      </w:r>
      <w:r>
        <w:t xml:space="preserve"> cadastro para fins de habilitação</w:t>
      </w:r>
      <w:r>
        <w:rPr>
          <w:rFonts w:hint="default"/>
          <w:lang w:val="pt-BR"/>
        </w:rPr>
        <w:t xml:space="preserve"> na forma prevista neste edital</w:t>
      </w:r>
      <w:r>
        <w:t xml:space="preserve">, deverão providenciar o cadastro ou a sua atualização/revalidação, </w:t>
      </w:r>
      <w:r>
        <w:rPr>
          <w:u w:val="single"/>
        </w:rPr>
        <w:t>no mínimo, em 03 (três) dias</w:t>
      </w:r>
      <w:r>
        <w:rPr>
          <w:rFonts w:hint="default"/>
          <w:u w:val="single"/>
          <w:lang w:val="pt-BR"/>
        </w:rPr>
        <w:t xml:space="preserve"> úteis</w:t>
      </w:r>
      <w:r>
        <w:t xml:space="preserve"> antes da data designada para </w:t>
      </w:r>
      <w:r>
        <w:rPr>
          <w:rFonts w:hint="default"/>
          <w:lang w:val="pt-BR"/>
        </w:rPr>
        <w:t>a abertura da Sessão</w:t>
      </w:r>
      <w:r>
        <w:t>, junto à</w:t>
      </w:r>
      <w:r>
        <w:rPr>
          <w:rFonts w:hint="default"/>
          <w:lang w:val="pt-BR"/>
        </w:rPr>
        <w:t xml:space="preserve"> este Setor, do</w:t>
      </w:r>
      <w:r>
        <w:t xml:space="preserve"> </w:t>
      </w:r>
      <w:r>
        <w:rPr>
          <w:u w:val="single"/>
        </w:rPr>
        <w:t>contrário, deverão apresentar todos os documentos de habilitação previstos nesta Tomada de Preços na abertura da sessão;</w:t>
      </w:r>
    </w:p>
    <w:p>
      <w:pPr>
        <w:pStyle w:val="348"/>
        <w:keepNext w:val="0"/>
        <w:keepLines w:val="0"/>
        <w:pageBreakBefore w:val="0"/>
        <w:kinsoku/>
        <w:wordWrap/>
        <w:overflowPunct/>
        <w:topLinePunct w:val="0"/>
        <w:bidi w:val="0"/>
        <w:snapToGrid/>
        <w:spacing w:before="0" w:beforeAutospacing="0" w:after="120" w:afterAutospacing="0"/>
        <w:textAlignment w:val="auto"/>
        <w:rPr>
          <w:rFonts w:eastAsia="Calibri"/>
        </w:rPr>
      </w:pPr>
      <w:r>
        <w:rPr>
          <w:b/>
        </w:rPr>
        <w:t>5.4.</w:t>
      </w:r>
      <w:r>
        <w:t xml:space="preserve"> A empresa interessada em participar poderá enviar sua proposta ou encaminhar a mesma por meio de seu representante legal;</w:t>
      </w:r>
    </w:p>
    <w:p>
      <w:pPr>
        <w:keepNext w:val="0"/>
        <w:keepLines w:val="0"/>
        <w:pageBreakBefore w:val="0"/>
        <w:kinsoku/>
        <w:wordWrap/>
        <w:overflowPunct/>
        <w:topLinePunct w:val="0"/>
        <w:autoSpaceDE w:val="0"/>
        <w:autoSpaceDN w:val="0"/>
        <w:bidi w:val="0"/>
        <w:adjustRightInd w:val="0"/>
        <w:snapToGrid/>
        <w:spacing w:beforeAutospacing="0" w:after="120" w:afterAutospacing="0"/>
        <w:ind w:left="284"/>
        <w:jc w:val="both"/>
        <w:textAlignment w:val="auto"/>
        <w:rPr>
          <w:rFonts w:hint="default" w:ascii="Arial" w:hAnsi="Arial" w:cs="Arial"/>
          <w:sz w:val="22"/>
          <w:szCs w:val="22"/>
          <w:lang w:val="pt-BR"/>
        </w:rPr>
      </w:pPr>
      <w:r>
        <w:rPr>
          <w:rFonts w:ascii="Arial" w:hAnsi="Arial" w:cs="Arial"/>
          <w:b/>
          <w:bCs/>
          <w:sz w:val="22"/>
          <w:szCs w:val="22"/>
        </w:rPr>
        <w:t xml:space="preserve">5.4.1 </w:t>
      </w:r>
      <w:r>
        <w:rPr>
          <w:rFonts w:ascii="Arial" w:hAnsi="Arial" w:cs="Arial"/>
          <w:sz w:val="22"/>
          <w:szCs w:val="22"/>
        </w:rPr>
        <w:t>Qualquer manifestação em relação a presente licitação fica condicionada à apresentação de documento de identificação e instrumento público ou particular de procuração, com firma reconhecida, e, ainda, cópia autenticada do contrato social</w:t>
      </w:r>
      <w:r>
        <w:rPr>
          <w:rFonts w:hint="default" w:ascii="Arial" w:hAnsi="Arial" w:cs="Arial"/>
          <w:sz w:val="22"/>
          <w:szCs w:val="22"/>
          <w:lang w:val="pt-BR"/>
        </w:rPr>
        <w:t xml:space="preserve"> se tal documento não for emitido na forma eletrônica</w:t>
      </w:r>
      <w:r>
        <w:rPr>
          <w:rFonts w:ascii="Arial" w:hAnsi="Arial" w:cs="Arial"/>
          <w:sz w:val="22"/>
          <w:szCs w:val="22"/>
        </w:rPr>
        <w:t>.</w:t>
      </w:r>
      <w:r>
        <w:rPr>
          <w:rFonts w:hint="default" w:ascii="Arial" w:hAnsi="Arial" w:cs="Arial"/>
          <w:sz w:val="22"/>
          <w:szCs w:val="22"/>
          <w:lang w:val="pt-BR"/>
        </w:rPr>
        <w:t xml:space="preserve"> </w:t>
      </w:r>
    </w:p>
    <w:p>
      <w:pPr>
        <w:keepNext w:val="0"/>
        <w:keepLines w:val="0"/>
        <w:pageBreakBefore w:val="0"/>
        <w:kinsoku/>
        <w:wordWrap/>
        <w:overflowPunct/>
        <w:topLinePunct w:val="0"/>
        <w:autoSpaceDE w:val="0"/>
        <w:autoSpaceDN w:val="0"/>
        <w:bidi w:val="0"/>
        <w:adjustRightInd w:val="0"/>
        <w:snapToGrid/>
        <w:spacing w:beforeAutospacing="0" w:after="120" w:afterAutospacing="0"/>
        <w:ind w:left="284"/>
        <w:jc w:val="both"/>
        <w:textAlignment w:val="auto"/>
        <w:rPr>
          <w:rFonts w:ascii="Arial" w:hAnsi="Arial" w:cs="Arial"/>
          <w:sz w:val="22"/>
          <w:szCs w:val="22"/>
        </w:rPr>
      </w:pPr>
      <w:r>
        <w:rPr>
          <w:rFonts w:hint="default" w:ascii="Arial" w:hAnsi="Arial" w:cs="Arial"/>
          <w:b/>
          <w:bCs/>
          <w:sz w:val="22"/>
          <w:szCs w:val="22"/>
          <w:lang w:val="pt-BR"/>
        </w:rPr>
        <w:t xml:space="preserve">5.4.2. </w:t>
      </w:r>
      <w:r>
        <w:rPr>
          <w:rFonts w:hint="default" w:ascii="Arial" w:hAnsi="Arial" w:cs="Arial"/>
          <w:sz w:val="22"/>
          <w:szCs w:val="22"/>
          <w:lang w:val="pt-BR"/>
        </w:rPr>
        <w:t>Em sendo sócio, proprietário, dirigente ou assemelhado da empresa proponente, é suficiente a apresentação de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r>
        <w:rPr>
          <w:rFonts w:ascii="Arial" w:hAnsi="Arial" w:cs="Arial"/>
          <w:sz w:val="22"/>
          <w:szCs w:val="22"/>
        </w:rPr>
        <w:t xml:space="preserve"> </w:t>
      </w:r>
      <w:r>
        <w:rPr>
          <w:rFonts w:ascii="Arial" w:hAnsi="Arial" w:cs="Arial"/>
          <w:b/>
          <w:sz w:val="22"/>
          <w:szCs w:val="22"/>
        </w:rPr>
        <w:t>Esta documentação</w:t>
      </w:r>
      <w:r>
        <w:rPr>
          <w:rFonts w:ascii="Arial" w:hAnsi="Arial" w:cs="Arial"/>
          <w:sz w:val="22"/>
          <w:szCs w:val="22"/>
        </w:rPr>
        <w:t xml:space="preserve"> que comprova a legitimidade do representante </w:t>
      </w:r>
      <w:r>
        <w:rPr>
          <w:rFonts w:ascii="Arial" w:hAnsi="Arial" w:cs="Arial"/>
          <w:b/>
          <w:sz w:val="22"/>
          <w:szCs w:val="22"/>
        </w:rPr>
        <w:t>deverá ser apresentada fora do invólucro</w:t>
      </w:r>
      <w:r>
        <w:rPr>
          <w:rFonts w:ascii="Arial" w:hAnsi="Arial" w:cs="Arial"/>
          <w:sz w:val="22"/>
          <w:szCs w:val="22"/>
        </w:rPr>
        <w:t xml:space="preserve"> na sessão de abertura; </w:t>
      </w:r>
    </w:p>
    <w:p>
      <w:pPr>
        <w:keepNext w:val="0"/>
        <w:keepLines w:val="0"/>
        <w:pageBreakBefore w:val="0"/>
        <w:kinsoku/>
        <w:wordWrap/>
        <w:overflowPunct/>
        <w:topLinePunct w:val="0"/>
        <w:autoSpaceDE w:val="0"/>
        <w:autoSpaceDN w:val="0"/>
        <w:bidi w:val="0"/>
        <w:adjustRightInd w:val="0"/>
        <w:snapToGrid/>
        <w:spacing w:beforeAutospacing="0" w:after="120" w:afterAutospacing="0"/>
        <w:ind w:left="284"/>
        <w:jc w:val="both"/>
        <w:textAlignment w:val="auto"/>
        <w:rPr>
          <w:rFonts w:ascii="Arial" w:hAnsi="Arial" w:cs="Arial"/>
          <w:sz w:val="22"/>
          <w:szCs w:val="22"/>
        </w:rPr>
      </w:pPr>
      <w:r>
        <w:rPr>
          <w:rFonts w:ascii="Arial" w:hAnsi="Arial" w:cs="Arial"/>
          <w:b/>
          <w:bCs/>
          <w:sz w:val="22"/>
          <w:szCs w:val="22"/>
        </w:rPr>
        <w:t xml:space="preserve">5.4.2 </w:t>
      </w:r>
      <w:r>
        <w:rPr>
          <w:rFonts w:ascii="Arial" w:hAnsi="Arial" w:cs="Arial"/>
          <w:sz w:val="22"/>
          <w:szCs w:val="22"/>
        </w:rPr>
        <w:t xml:space="preserve">A não apresentação ou incorreção do documento de que trata o subitem anterior </w:t>
      </w:r>
      <w:r>
        <w:rPr>
          <w:rFonts w:ascii="Arial" w:hAnsi="Arial" w:cs="Arial"/>
          <w:sz w:val="22"/>
          <w:szCs w:val="22"/>
          <w:u w:val="single"/>
        </w:rPr>
        <w:t>não implicará</w:t>
      </w:r>
      <w:r>
        <w:rPr>
          <w:rFonts w:ascii="Arial" w:hAnsi="Arial" w:cs="Arial"/>
          <w:sz w:val="22"/>
          <w:szCs w:val="22"/>
        </w:rPr>
        <w:t xml:space="preserve"> na inabilitação da licitante, </w:t>
      </w:r>
      <w:r>
        <w:rPr>
          <w:rFonts w:ascii="Arial" w:hAnsi="Arial" w:cs="Arial"/>
          <w:sz w:val="22"/>
          <w:szCs w:val="22"/>
          <w:u w:val="single"/>
        </w:rPr>
        <w:t>mas impedirá</w:t>
      </w:r>
      <w:r>
        <w:rPr>
          <w:rFonts w:ascii="Arial" w:hAnsi="Arial" w:cs="Arial"/>
          <w:sz w:val="22"/>
          <w:szCs w:val="22"/>
        </w:rPr>
        <w:t xml:space="preserve"> o representante de se manifestar e responder pela mesma; </w:t>
      </w:r>
    </w:p>
    <w:p>
      <w:pPr>
        <w:keepNext w:val="0"/>
        <w:keepLines w:val="0"/>
        <w:pageBreakBefore w:val="0"/>
        <w:kinsoku/>
        <w:wordWrap/>
        <w:overflowPunct/>
        <w:topLinePunct w:val="0"/>
        <w:autoSpaceDE w:val="0"/>
        <w:autoSpaceDN w:val="0"/>
        <w:bidi w:val="0"/>
        <w:adjustRightInd w:val="0"/>
        <w:snapToGrid/>
        <w:spacing w:beforeAutospacing="0" w:after="120" w:afterAutospacing="0"/>
        <w:ind w:left="284"/>
        <w:jc w:val="both"/>
        <w:textAlignment w:val="auto"/>
        <w:rPr>
          <w:rFonts w:ascii="Arial" w:hAnsi="Arial" w:cs="Arial"/>
          <w:sz w:val="22"/>
          <w:szCs w:val="22"/>
        </w:rPr>
      </w:pPr>
      <w:r>
        <w:rPr>
          <w:rFonts w:ascii="Arial" w:hAnsi="Arial" w:cs="Arial"/>
          <w:b/>
          <w:bCs/>
          <w:sz w:val="22"/>
          <w:szCs w:val="22"/>
        </w:rPr>
        <w:t xml:space="preserve">5.4.3 </w:t>
      </w:r>
      <w:r>
        <w:rPr>
          <w:rFonts w:ascii="Arial" w:hAnsi="Arial" w:cs="Arial"/>
          <w:sz w:val="22"/>
          <w:szCs w:val="22"/>
        </w:rPr>
        <w:t xml:space="preserve">Poderá estar presente mais de um representante autorizado de cada licitante, porém apenas um único participará e manifestará durante a realização dos trabalhos; </w:t>
      </w:r>
    </w:p>
    <w:p>
      <w:pPr>
        <w:keepNext w:val="0"/>
        <w:keepLines w:val="0"/>
        <w:pageBreakBefore w:val="0"/>
        <w:kinsoku/>
        <w:wordWrap/>
        <w:overflowPunct/>
        <w:topLinePunct w:val="0"/>
        <w:autoSpaceDE w:val="0"/>
        <w:autoSpaceDN w:val="0"/>
        <w:bidi w:val="0"/>
        <w:adjustRightInd w:val="0"/>
        <w:snapToGrid/>
        <w:spacing w:beforeAutospacing="0" w:after="120" w:afterAutospacing="0"/>
        <w:ind w:left="284"/>
        <w:jc w:val="both"/>
        <w:textAlignment w:val="auto"/>
      </w:pPr>
      <w:r>
        <w:rPr>
          <w:rFonts w:ascii="Arial" w:hAnsi="Arial" w:cs="Arial"/>
          <w:b/>
          <w:bCs/>
          <w:sz w:val="22"/>
          <w:szCs w:val="22"/>
        </w:rPr>
        <w:t xml:space="preserve">5.4.4 </w:t>
      </w:r>
      <w:r>
        <w:rPr>
          <w:rFonts w:ascii="Arial" w:hAnsi="Arial" w:cs="Arial"/>
          <w:sz w:val="22"/>
          <w:szCs w:val="22"/>
        </w:rPr>
        <w:t xml:space="preserve">Não será admitida a participação de um mesmo representante para mais de uma empresa licitante; </w:t>
      </w:r>
    </w:p>
    <w:p>
      <w:pPr>
        <w:pStyle w:val="348"/>
        <w:keepNext w:val="0"/>
        <w:keepLines w:val="0"/>
        <w:pageBreakBefore w:val="0"/>
        <w:kinsoku/>
        <w:wordWrap/>
        <w:overflowPunct/>
        <w:topLinePunct w:val="0"/>
        <w:bidi w:val="0"/>
        <w:snapToGrid/>
        <w:spacing w:before="0" w:beforeAutospacing="0" w:after="120" w:afterAutospacing="0"/>
        <w:textAlignment w:val="auto"/>
      </w:pPr>
      <w:r>
        <w:rPr>
          <w:b/>
        </w:rPr>
        <w:t>5.5</w:t>
      </w:r>
      <w:r>
        <w:t>. As empresas deverão comprovar que possu</w:t>
      </w:r>
      <w:r>
        <w:rPr>
          <w:rFonts w:hint="default"/>
          <w:lang w:val="pt-BR"/>
        </w:rPr>
        <w:t>em</w:t>
      </w:r>
      <w:r>
        <w:t xml:space="preserve"> todos os documentos de habilitação requeridos no Capítulo “DA HABILITAÇÃO”;</w:t>
      </w:r>
    </w:p>
    <w:p>
      <w:pPr>
        <w:pStyle w:val="348"/>
        <w:keepNext w:val="0"/>
        <w:keepLines w:val="0"/>
        <w:pageBreakBefore w:val="0"/>
        <w:kinsoku/>
        <w:wordWrap/>
        <w:overflowPunct/>
        <w:topLinePunct w:val="0"/>
        <w:bidi w:val="0"/>
        <w:snapToGrid/>
        <w:spacing w:before="0" w:beforeAutospacing="0" w:after="120" w:afterAutospacing="0"/>
        <w:textAlignment w:val="auto"/>
      </w:pPr>
      <w:r>
        <w:rPr>
          <w:b/>
        </w:rPr>
        <w:t>5.6.</w:t>
      </w:r>
      <w:r>
        <w:t xml:space="preserve"> Será permitida a participação de empresas em regime de consórcio e deverão obedecer às seguintes regras:</w:t>
      </w:r>
    </w:p>
    <w:p>
      <w:pPr>
        <w:pStyle w:val="349"/>
        <w:keepNext w:val="0"/>
        <w:keepLines w:val="0"/>
        <w:pageBreakBefore w:val="0"/>
        <w:kinsoku/>
        <w:wordWrap/>
        <w:overflowPunct/>
        <w:topLinePunct w:val="0"/>
        <w:bidi w:val="0"/>
        <w:snapToGrid/>
        <w:spacing w:before="0" w:beforeAutospacing="0" w:after="120" w:afterAutospacing="0"/>
        <w:textAlignment w:val="auto"/>
        <w:rPr>
          <w:b w:val="0"/>
          <w:color w:val="FF0000"/>
        </w:rPr>
      </w:pPr>
      <w:r>
        <w:t xml:space="preserve">5.6.1. </w:t>
      </w:r>
      <w:r>
        <w:rPr>
          <w:b w:val="0"/>
        </w:rPr>
        <w:t>Apresentar compromisso público ou particular de constituição do Consórcio, subscrito pelos consorciados na pasta de documentos, que, além de conter, com clareza e precisão, a descrição de seu objeto, deverá observar os seguintes requisitos:</w:t>
      </w:r>
    </w:p>
    <w:p>
      <w:pPr>
        <w:pStyle w:val="350"/>
        <w:keepNext w:val="0"/>
        <w:keepLines w:val="0"/>
        <w:pageBreakBefore w:val="0"/>
        <w:kinsoku/>
        <w:wordWrap/>
        <w:overflowPunct/>
        <w:topLinePunct w:val="0"/>
        <w:bidi w:val="0"/>
        <w:snapToGrid/>
        <w:spacing w:before="0" w:beforeAutospacing="0" w:after="120" w:afterAutospacing="0"/>
        <w:ind w:left="567"/>
        <w:textAlignment w:val="auto"/>
        <w:rPr>
          <w:b w:val="0"/>
        </w:rPr>
      </w:pPr>
      <w:r>
        <w:t xml:space="preserve">5.6.1.1. </w:t>
      </w:r>
      <w:r>
        <w:rPr>
          <w:b w:val="0"/>
        </w:rPr>
        <w:t xml:space="preserve">Indicar o líder do consórcio, ao qual deverá ser </w:t>
      </w:r>
      <w:r>
        <w:rPr>
          <w:b w:val="0"/>
          <w:u w:val="single"/>
        </w:rPr>
        <w:t>conferido amplos poderes para representar os consorciados no procedimento licitatório e no contrato</w:t>
      </w:r>
      <w:r>
        <w:rPr>
          <w:b w:val="0"/>
        </w:rPr>
        <w:t>, receber, dar quitação, responder administrativa e judicialmente, inclusive receber notificação, intimação e citação;</w:t>
      </w:r>
    </w:p>
    <w:p>
      <w:pPr>
        <w:pStyle w:val="350"/>
        <w:keepNext w:val="0"/>
        <w:keepLines w:val="0"/>
        <w:pageBreakBefore w:val="0"/>
        <w:kinsoku/>
        <w:wordWrap/>
        <w:overflowPunct/>
        <w:topLinePunct w:val="0"/>
        <w:bidi w:val="0"/>
        <w:snapToGrid/>
        <w:spacing w:before="0" w:beforeAutospacing="0" w:after="120" w:afterAutospacing="0"/>
        <w:ind w:left="567"/>
        <w:textAlignment w:val="auto"/>
        <w:rPr>
          <w:b w:val="0"/>
        </w:rPr>
      </w:pPr>
      <w:r>
        <w:t xml:space="preserve">5.6.1.2. </w:t>
      </w:r>
      <w:r>
        <w:rPr>
          <w:b w:val="0"/>
        </w:rPr>
        <w:t xml:space="preserve">Regular a participação de cada consorciado, com a indicação da proporção econômico-financeira respectiva, que não poderá ter sua composição ou constituição alterada, ou, de qualquer forma, modificada, sem prévia anuência da </w:t>
      </w:r>
      <w:r>
        <w:rPr>
          <w:rFonts w:hint="default"/>
          <w:b w:val="0"/>
          <w:lang w:val="pt-BR"/>
        </w:rPr>
        <w:t>PREFEITURA MUNICIPAL DE PRIMAVERA DO LESTE,</w:t>
      </w:r>
      <w:r>
        <w:rPr>
          <w:b w:val="0"/>
        </w:rPr>
        <w:t xml:space="preserve">  até o recebimento definitivo do objeto que vier a ser contratado;</w:t>
      </w:r>
    </w:p>
    <w:p>
      <w:pPr>
        <w:pStyle w:val="350"/>
        <w:keepNext w:val="0"/>
        <w:keepLines w:val="0"/>
        <w:pageBreakBefore w:val="0"/>
        <w:kinsoku/>
        <w:wordWrap/>
        <w:overflowPunct/>
        <w:topLinePunct w:val="0"/>
        <w:bidi w:val="0"/>
        <w:snapToGrid/>
        <w:spacing w:before="0" w:beforeAutospacing="0" w:after="120" w:afterAutospacing="0"/>
        <w:ind w:left="567"/>
        <w:textAlignment w:val="auto"/>
      </w:pPr>
      <w:r>
        <w:t xml:space="preserve">5.6.1.3. </w:t>
      </w:r>
      <w:r>
        <w:rPr>
          <w:b w:val="0"/>
        </w:rPr>
        <w:t xml:space="preserve">Estabelecer o prazo de duração do Consórcio, que deverá ser, </w:t>
      </w:r>
      <w:r>
        <w:t>no mínimo</w:t>
      </w:r>
      <w:r>
        <w:rPr>
          <w:b w:val="0"/>
        </w:rPr>
        <w:t xml:space="preserve">, o mesmo </w:t>
      </w:r>
      <w:r>
        <w:t>fixado para o contrato</w:t>
      </w:r>
      <w:r>
        <w:rPr>
          <w:b w:val="0"/>
        </w:rPr>
        <w:t xml:space="preserve"> que será firmado em decorrência desta licitação, acrescido de </w:t>
      </w:r>
      <w:r>
        <w:rPr>
          <w:b w:val="0"/>
          <w:lang w:val="pt-BR"/>
        </w:rPr>
        <w:t xml:space="preserve">60 (sessenta) </w:t>
      </w:r>
      <w:r>
        <w:rPr>
          <w:b w:val="0"/>
        </w:rPr>
        <w:t>dias, necessários para os recebimentos provisório e definitivo de seu objeto;</w:t>
      </w:r>
    </w:p>
    <w:p>
      <w:pPr>
        <w:pStyle w:val="350"/>
        <w:keepNext w:val="0"/>
        <w:keepLines w:val="0"/>
        <w:pageBreakBefore w:val="0"/>
        <w:kinsoku/>
        <w:wordWrap/>
        <w:overflowPunct/>
        <w:topLinePunct w:val="0"/>
        <w:bidi w:val="0"/>
        <w:snapToGrid/>
        <w:spacing w:before="0" w:beforeAutospacing="0" w:after="120" w:afterAutospacing="0"/>
        <w:ind w:left="567"/>
        <w:textAlignment w:val="auto"/>
        <w:rPr>
          <w:b w:val="0"/>
        </w:rPr>
      </w:pPr>
      <w:r>
        <w:t xml:space="preserve">5.6.1.4. </w:t>
      </w:r>
      <w:r>
        <w:rPr>
          <w:b w:val="0"/>
        </w:rPr>
        <w:t>Constar compromisso expresso de que o Consórcio não se constitui e nem se constituirá em pessoa jurídica distinta de seus membros;</w:t>
      </w:r>
    </w:p>
    <w:p>
      <w:pPr>
        <w:pStyle w:val="350"/>
        <w:keepNext w:val="0"/>
        <w:keepLines w:val="0"/>
        <w:pageBreakBefore w:val="0"/>
        <w:kinsoku/>
        <w:wordWrap/>
        <w:overflowPunct/>
        <w:topLinePunct w:val="0"/>
        <w:bidi w:val="0"/>
        <w:snapToGrid/>
        <w:spacing w:before="0" w:beforeAutospacing="0" w:after="120" w:afterAutospacing="0"/>
        <w:ind w:left="567"/>
        <w:textAlignment w:val="auto"/>
        <w:rPr>
          <w:b w:val="0"/>
        </w:rPr>
      </w:pPr>
      <w:r>
        <w:t xml:space="preserve">5.6.1.5. </w:t>
      </w:r>
      <w:r>
        <w:rPr>
          <w:b w:val="0"/>
        </w:rPr>
        <w:t>Estabelecer responsabilidade solidária entre os consorciados, tanto na licitação como durante a execução do contrato;</w:t>
      </w:r>
    </w:p>
    <w:p>
      <w:pPr>
        <w:pStyle w:val="350"/>
        <w:keepNext w:val="0"/>
        <w:keepLines w:val="0"/>
        <w:pageBreakBefore w:val="0"/>
        <w:kinsoku/>
        <w:wordWrap/>
        <w:overflowPunct/>
        <w:topLinePunct w:val="0"/>
        <w:bidi w:val="0"/>
        <w:snapToGrid/>
        <w:spacing w:before="0" w:beforeAutospacing="0" w:after="120" w:afterAutospacing="0"/>
        <w:ind w:left="567"/>
        <w:textAlignment w:val="auto"/>
        <w:rPr>
          <w:b w:val="0"/>
        </w:rPr>
      </w:pPr>
      <w:r>
        <w:t xml:space="preserve">5.6.1.6. </w:t>
      </w:r>
      <w:r>
        <w:rPr>
          <w:b w:val="0"/>
        </w:rPr>
        <w:t>Atender, na íntegra, às disposições do artigo 33 da Lei nº 8.666/93;</w:t>
      </w:r>
    </w:p>
    <w:p>
      <w:pPr>
        <w:pStyle w:val="350"/>
        <w:keepNext w:val="0"/>
        <w:keepLines w:val="0"/>
        <w:pageBreakBefore w:val="0"/>
        <w:kinsoku/>
        <w:wordWrap/>
        <w:overflowPunct/>
        <w:topLinePunct w:val="0"/>
        <w:bidi w:val="0"/>
        <w:snapToGrid/>
        <w:spacing w:before="0" w:beforeAutospacing="0" w:after="120" w:afterAutospacing="0"/>
        <w:ind w:left="567"/>
        <w:textAlignment w:val="auto"/>
        <w:rPr>
          <w:b w:val="0"/>
        </w:rPr>
      </w:pPr>
      <w:r>
        <w:t xml:space="preserve">5.6.1.7. </w:t>
      </w:r>
      <w:r>
        <w:rPr>
          <w:b w:val="0"/>
          <w:u w:val="single"/>
        </w:rPr>
        <w:t>Apresentar declaração expressa</w:t>
      </w:r>
      <w:r>
        <w:rPr>
          <w:b w:val="0"/>
        </w:rPr>
        <w:t xml:space="preserve"> dos consorciados de que, por ocasião de eventual assinatura do contrato decorrente desta licitação, providenciarão o arquivamento na Junta Comercial do instrumento de constituição do consórcio;</w:t>
      </w:r>
    </w:p>
    <w:p>
      <w:pPr>
        <w:pStyle w:val="350"/>
        <w:keepNext w:val="0"/>
        <w:keepLines w:val="0"/>
        <w:pageBreakBefore w:val="0"/>
        <w:kinsoku/>
        <w:wordWrap/>
        <w:overflowPunct/>
        <w:topLinePunct w:val="0"/>
        <w:bidi w:val="0"/>
        <w:snapToGrid/>
        <w:spacing w:before="0" w:beforeAutospacing="0" w:after="120" w:afterAutospacing="0"/>
        <w:ind w:left="567"/>
        <w:textAlignment w:val="auto"/>
        <w:rPr>
          <w:b w:val="0"/>
        </w:rPr>
      </w:pPr>
      <w:r>
        <w:t xml:space="preserve">5.6.1.8. </w:t>
      </w:r>
      <w:r>
        <w:rPr>
          <w:b w:val="0"/>
        </w:rPr>
        <w:t>Qualquer empresa que integrar um consórcio, não poderá participar da licitação isoladamente ou compondo consórcio distinto;</w:t>
      </w:r>
    </w:p>
    <w:p>
      <w:pPr>
        <w:pStyle w:val="350"/>
        <w:keepNext w:val="0"/>
        <w:keepLines w:val="0"/>
        <w:pageBreakBefore w:val="0"/>
        <w:kinsoku/>
        <w:wordWrap/>
        <w:overflowPunct/>
        <w:topLinePunct w:val="0"/>
        <w:bidi w:val="0"/>
        <w:snapToGrid/>
        <w:spacing w:before="0" w:beforeAutospacing="0" w:after="120" w:afterAutospacing="0"/>
        <w:ind w:left="567"/>
        <w:textAlignment w:val="auto"/>
      </w:pPr>
      <w:r>
        <w:t xml:space="preserve">5.6.1.9. </w:t>
      </w:r>
      <w:r>
        <w:rPr>
          <w:b w:val="0"/>
        </w:rPr>
        <w:t>A vedação referida se aplica igualmente à empresa controlada, coligada, controladora ou pertencente ao mesmo grupo societário da licitante</w:t>
      </w:r>
      <w:r>
        <w:t>;</w:t>
      </w:r>
    </w:p>
    <w:p>
      <w:pPr>
        <w:pStyle w:val="348"/>
        <w:keepNext w:val="0"/>
        <w:keepLines w:val="0"/>
        <w:pageBreakBefore w:val="0"/>
        <w:kinsoku/>
        <w:wordWrap/>
        <w:overflowPunct/>
        <w:topLinePunct w:val="0"/>
        <w:bidi w:val="0"/>
        <w:snapToGrid/>
        <w:spacing w:before="0" w:beforeAutospacing="0" w:after="120" w:afterAutospacing="0"/>
        <w:textAlignment w:val="auto"/>
      </w:pPr>
      <w:r>
        <w:rPr>
          <w:b/>
        </w:rPr>
        <w:t>5.7.</w:t>
      </w:r>
      <w:r>
        <w:t xml:space="preserve"> Não serão admitidas nesta licitação as participações de Pessoas Jurídicas enquadradas em quaisquer das hipóteses a seguir elencadas:</w:t>
      </w:r>
    </w:p>
    <w:p>
      <w:pPr>
        <w:pStyle w:val="348"/>
        <w:keepNext w:val="0"/>
        <w:keepLines w:val="0"/>
        <w:pageBreakBefore w:val="0"/>
        <w:tabs>
          <w:tab w:val="left" w:pos="240"/>
          <w:tab w:val="clear" w:pos="0"/>
        </w:tabs>
        <w:kinsoku/>
        <w:wordWrap/>
        <w:overflowPunct/>
        <w:topLinePunct w:val="0"/>
        <w:bidi w:val="0"/>
        <w:snapToGrid/>
        <w:spacing w:before="0" w:beforeAutospacing="0" w:after="120" w:afterAutospacing="0"/>
        <w:ind w:left="480" w:leftChars="200" w:firstLine="0" w:firstLineChars="0"/>
        <w:textAlignment w:val="auto"/>
      </w:pPr>
      <w:r>
        <w:rPr>
          <w:b/>
        </w:rPr>
        <w:t>5.7.1.</w:t>
      </w:r>
      <w:r>
        <w:t xml:space="preserve"> Interessados proibidos de participar de licitações e celebrar contratos administrativos, na forma da legislação vigente;</w:t>
      </w:r>
    </w:p>
    <w:p>
      <w:pPr>
        <w:pStyle w:val="348"/>
        <w:keepNext w:val="0"/>
        <w:keepLines w:val="0"/>
        <w:pageBreakBefore w:val="0"/>
        <w:tabs>
          <w:tab w:val="left" w:pos="240"/>
          <w:tab w:val="clear" w:pos="0"/>
        </w:tabs>
        <w:kinsoku/>
        <w:wordWrap/>
        <w:overflowPunct/>
        <w:topLinePunct w:val="0"/>
        <w:bidi w:val="0"/>
        <w:snapToGrid/>
        <w:spacing w:before="0" w:beforeAutospacing="0" w:after="120" w:afterAutospacing="0"/>
        <w:ind w:left="480" w:leftChars="200" w:firstLine="0" w:firstLineChars="0"/>
        <w:textAlignment w:val="auto"/>
      </w:pPr>
      <w:r>
        <w:rPr>
          <w:b/>
        </w:rPr>
        <w:t>5.7.2.</w:t>
      </w:r>
      <w:r>
        <w:t xml:space="preserve"> Interessados suspensos de participar de licitações e impedidos de contratar com o Município de Primavera do Leste, responsável por esta licitação, conforme art. 87, inciso III, da Lei nº 8.666, de 1993</w:t>
      </w:r>
      <w:r>
        <w:rPr>
          <w:rFonts w:hint="default"/>
          <w:i/>
          <w:iCs/>
          <w:lang w:val="pt-BR"/>
        </w:rPr>
        <w:t xml:space="preserve"> in verbis</w:t>
      </w:r>
      <w:r>
        <w:rPr>
          <w:rFonts w:hint="default"/>
          <w:lang w:val="pt-BR"/>
        </w:rPr>
        <w:t xml:space="preserve"> “suspensão temporária de participação em licitação e impedimento de contratar com a Administração, por prazo não superior a 2 (dois) anos</w:t>
      </w:r>
      <w:r>
        <w:t>;</w:t>
      </w:r>
    </w:p>
    <w:p>
      <w:pPr>
        <w:pStyle w:val="348"/>
        <w:keepNext w:val="0"/>
        <w:keepLines w:val="0"/>
        <w:pageBreakBefore w:val="0"/>
        <w:tabs>
          <w:tab w:val="left" w:pos="240"/>
          <w:tab w:val="clear" w:pos="0"/>
        </w:tabs>
        <w:kinsoku/>
        <w:wordWrap/>
        <w:overflowPunct/>
        <w:topLinePunct w:val="0"/>
        <w:bidi w:val="0"/>
        <w:snapToGrid/>
        <w:spacing w:before="0" w:beforeAutospacing="0" w:after="120" w:afterAutospacing="0"/>
        <w:ind w:left="480" w:leftChars="200" w:firstLine="0" w:firstLineChars="0"/>
        <w:textAlignment w:val="auto"/>
      </w:pPr>
      <w:r>
        <w:rPr>
          <w:b/>
        </w:rPr>
        <w:t>5.7.3</w:t>
      </w:r>
      <w:r>
        <w:t>. Entidades estrangeiras que não tenham representação legal no Brasil com poderes expressos para receber citação e responder administrativa ou judicialmente;</w:t>
      </w:r>
    </w:p>
    <w:p>
      <w:pPr>
        <w:pStyle w:val="348"/>
        <w:keepNext w:val="0"/>
        <w:keepLines w:val="0"/>
        <w:pageBreakBefore w:val="0"/>
        <w:tabs>
          <w:tab w:val="left" w:pos="240"/>
          <w:tab w:val="clear" w:pos="0"/>
        </w:tabs>
        <w:kinsoku/>
        <w:wordWrap/>
        <w:overflowPunct/>
        <w:topLinePunct w:val="0"/>
        <w:bidi w:val="0"/>
        <w:snapToGrid/>
        <w:spacing w:before="0" w:beforeAutospacing="0" w:after="120" w:afterAutospacing="0"/>
        <w:ind w:left="480" w:leftChars="200" w:firstLine="0" w:firstLineChars="0"/>
        <w:textAlignment w:val="auto"/>
      </w:pPr>
      <w:r>
        <w:rPr>
          <w:b/>
        </w:rPr>
        <w:t>5.7.4.</w:t>
      </w:r>
      <w:r>
        <w:t xml:space="preserve"> Que se encontrem sob falência, recuperação judicial, cujo plano de recuperação não tenha sido aprovado pelo Poder Judiciário, concurso de credores, dissolução ou liquidação;</w:t>
      </w:r>
    </w:p>
    <w:p>
      <w:pPr>
        <w:pStyle w:val="348"/>
        <w:keepNext w:val="0"/>
        <w:keepLines w:val="0"/>
        <w:pageBreakBefore w:val="0"/>
        <w:tabs>
          <w:tab w:val="left" w:pos="240"/>
          <w:tab w:val="clear" w:pos="0"/>
        </w:tabs>
        <w:kinsoku/>
        <w:wordWrap/>
        <w:overflowPunct/>
        <w:topLinePunct w:val="0"/>
        <w:bidi w:val="0"/>
        <w:snapToGrid/>
        <w:spacing w:before="0" w:beforeAutospacing="0" w:after="120" w:afterAutospacing="0"/>
        <w:ind w:left="480" w:leftChars="200" w:firstLine="0" w:firstLineChars="0"/>
        <w:textAlignment w:val="auto"/>
      </w:pPr>
      <w:r>
        <w:rPr>
          <w:b/>
        </w:rPr>
        <w:t>5.7.5.</w:t>
      </w:r>
      <w:r>
        <w:t xml:space="preserve"> O autor do projeto, básico ou executivo, pessoa física ou jurídica;</w:t>
      </w:r>
    </w:p>
    <w:p>
      <w:pPr>
        <w:pStyle w:val="348"/>
        <w:keepNext w:val="0"/>
        <w:keepLines w:val="0"/>
        <w:pageBreakBefore w:val="0"/>
        <w:tabs>
          <w:tab w:val="left" w:pos="240"/>
          <w:tab w:val="clear" w:pos="0"/>
        </w:tabs>
        <w:kinsoku/>
        <w:wordWrap/>
        <w:overflowPunct/>
        <w:topLinePunct w:val="0"/>
        <w:bidi w:val="0"/>
        <w:snapToGrid/>
        <w:spacing w:before="0" w:beforeAutospacing="0" w:after="120" w:afterAutospacing="0"/>
        <w:ind w:left="480" w:leftChars="200" w:firstLine="0" w:firstLineChars="0"/>
        <w:textAlignment w:val="auto"/>
      </w:pPr>
      <w:r>
        <w:rPr>
          <w:b/>
        </w:rPr>
        <w:t>5.7.6.</w:t>
      </w:r>
      <w:r>
        <w:t xml:space="preserve">  Entidade empresarial responsável pela elaboração do projeto básico ou executivo ou da qual o autor do projeto seja dirigente, gerente, acionista ou detentor de mais de 5% (cinco por cento) do capital com direito a voto ou controlador, responsável técnico ou subcontratado;</w:t>
      </w:r>
    </w:p>
    <w:p>
      <w:pPr>
        <w:pStyle w:val="348"/>
        <w:keepNext w:val="0"/>
        <w:keepLines w:val="0"/>
        <w:pageBreakBefore w:val="0"/>
        <w:tabs>
          <w:tab w:val="left" w:pos="240"/>
          <w:tab w:val="clear" w:pos="0"/>
        </w:tabs>
        <w:kinsoku/>
        <w:wordWrap/>
        <w:overflowPunct/>
        <w:topLinePunct w:val="0"/>
        <w:bidi w:val="0"/>
        <w:snapToGrid/>
        <w:spacing w:before="0" w:beforeAutospacing="0" w:after="120" w:afterAutospacing="0"/>
        <w:ind w:left="480" w:leftChars="200" w:firstLine="0" w:firstLineChars="0"/>
        <w:textAlignment w:val="auto"/>
      </w:pPr>
      <w:r>
        <w:rPr>
          <w:b/>
        </w:rPr>
        <w:t>5.7.7.</w:t>
      </w:r>
      <w:r>
        <w:t xml:space="preserve">  Servidor ou dirigente deste Município ou responsável pela licitação; </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rPr>
          <w:b w:val="0"/>
        </w:rPr>
      </w:pPr>
      <w:r>
        <w:t xml:space="preserve">5.7.8. </w:t>
      </w:r>
      <w:r>
        <w:rPr>
          <w:b w:val="0"/>
        </w:rPr>
        <w:t>Que, por quaisquer motivos, tenham sido declaradas inidôneas por órgão da Administração Pública Direta ou Indireta, nas esferas Federal, Estadual ou Municipal, desde que o Ato tenha sido publicado na imprensa oficial, pelo órgão que o praticou enquanto perdurarem os motivos determinantes da punição;</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pPr>
      <w:r>
        <w:t xml:space="preserve">5.7.9. </w:t>
      </w:r>
      <w:r>
        <w:rPr>
          <w:b w:val="0"/>
        </w:rPr>
        <w:t>Que não tenham ramo de atividade pertinente ou compatível ao objeto licitado inscrito no contrato social;</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rPr>
          <w:b w:val="0"/>
        </w:rPr>
      </w:pPr>
      <w:r>
        <w:rPr>
          <w:rFonts w:eastAsia="Calibri"/>
        </w:rPr>
        <w:t xml:space="preserve">5.7.10. </w:t>
      </w:r>
      <w:r>
        <w:rPr>
          <w:rFonts w:eastAsia="Calibri"/>
          <w:b w:val="0"/>
        </w:rPr>
        <w:t>Que dentre seus dirigentes, sócios, responsáveis técnicos ou legais, dentre suas equipes técnicas, assim como eventuais subcontratados figurem ocupantes de cargo ou emprego na Administração Direta ou Indireta do Município de Primavera do Leste</w:t>
      </w:r>
      <w:r>
        <w:rPr>
          <w:b w:val="0"/>
        </w:rPr>
        <w:t>;</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rPr>
          <w:b w:val="0"/>
        </w:rPr>
      </w:pPr>
      <w:r>
        <w:rPr>
          <w:rFonts w:eastAsia="Calibri"/>
        </w:rPr>
        <w:t xml:space="preserve">5.7.11. </w:t>
      </w:r>
      <w:r>
        <w:rPr>
          <w:rFonts w:eastAsia="Calibri"/>
          <w:b w:val="0"/>
        </w:rPr>
        <w:t>Cujo dirigente participe na condição de acionista com poder de mando, cotista ou sócio de outra licitante, também participante da presente licitação;</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rPr>
          <w:rFonts w:eastAsia="Calibri"/>
          <w:b w:val="0"/>
        </w:rPr>
      </w:pPr>
      <w:r>
        <w:rPr>
          <w:rFonts w:eastAsia="Calibri"/>
        </w:rPr>
        <w:t xml:space="preserve">5.7.12. </w:t>
      </w:r>
      <w:r>
        <w:rPr>
          <w:rFonts w:eastAsia="Calibri"/>
          <w:b w:val="0"/>
        </w:rPr>
        <w:t>Empresa que possua em seus quadros sócios, diretores, responsáveis legais ou técnicos, membros de conselho técnico, consultivo, deliberativo ou administrativo, comuns aos quadros de outra empresa que esteja participando desta licitação;</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rPr>
          <w:rFonts w:eastAsia="Calibri"/>
          <w:b w:val="0"/>
        </w:rPr>
      </w:pPr>
      <w:r>
        <w:t xml:space="preserve">5.7.13. </w:t>
      </w:r>
      <w:r>
        <w:rPr>
          <w:b w:val="0"/>
        </w:rPr>
        <w:t>A microempresa ou empresa de pequeno porte que se encontre em algumas das situações do §4º e incisos do art. 3º da Lei Complementar nº 123/2006, onde assim ressalta:</w:t>
      </w:r>
    </w:p>
    <w:p>
      <w:pPr>
        <w:pStyle w:val="350"/>
        <w:keepNext w:val="0"/>
        <w:keepLines w:val="0"/>
        <w:pageBreakBefore w:val="0"/>
        <w:tabs>
          <w:tab w:val="left" w:pos="1200"/>
          <w:tab w:val="clear" w:pos="851"/>
        </w:tabs>
        <w:kinsoku/>
        <w:wordWrap/>
        <w:overflowPunct/>
        <w:topLinePunct w:val="0"/>
        <w:bidi w:val="0"/>
        <w:snapToGrid/>
        <w:spacing w:before="0" w:beforeAutospacing="0" w:after="120" w:afterAutospacing="0"/>
        <w:ind w:left="960" w:leftChars="0" w:firstLine="0" w:firstLineChars="0"/>
        <w:textAlignment w:val="auto"/>
      </w:pPr>
      <w:r>
        <w:t xml:space="preserve">5.7.13.1. </w:t>
      </w:r>
      <w:r>
        <w:rPr>
          <w:b w:val="0"/>
        </w:rPr>
        <w:t>Não poderá se beneficiar do tratamento jurídico diferenciado previsto na Lei Complementar, incluído o regime de que trata o art. 12 Lei Complementar nº 123/2006, para nenhum efeito legal, a pessoa jurídica:</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De cujo capital participe outra pessoa jurídica;</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Que seja filial, sucursal, agência ou representação, no País, de pessoa jurídica com sede no exterior;</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 xml:space="preserve">De cujo capital participe pessoa física que seja inscrita como empresário, ou seja, sócia de outra empresa que receba tratamento jurídico diferenciado nos termos desta Lei Complementar, desde que a receita bruta global ultrapasse o limite de que trata o inciso II do caput do art. </w:t>
      </w:r>
      <w:r>
        <w:rPr>
          <w:rFonts w:hint="default" w:ascii="Arial" w:hAnsi="Arial" w:cs="Arial"/>
          <w:sz w:val="22"/>
          <w:szCs w:val="22"/>
          <w:lang w:val="pt-BR"/>
        </w:rPr>
        <w:t>12</w:t>
      </w:r>
      <w:r>
        <w:rPr>
          <w:rFonts w:ascii="Arial" w:hAnsi="Arial" w:cs="Arial"/>
          <w:sz w:val="22"/>
          <w:szCs w:val="22"/>
        </w:rPr>
        <w:t xml:space="preserve"> da Lei Complementar nº 123/2006;</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 xml:space="preserve">Cujo titular ou sócio participe com mais de 10% (dez por cento) do capital de outra empresa não beneficiada por esta Lei Complementar, desde que a receita bruta global ultrapasse o limite de que trata o inciso II do caput do art. </w:t>
      </w:r>
      <w:r>
        <w:rPr>
          <w:rFonts w:hint="default" w:ascii="Arial" w:hAnsi="Arial" w:cs="Arial"/>
          <w:sz w:val="22"/>
          <w:szCs w:val="22"/>
          <w:lang w:val="pt-BR"/>
        </w:rPr>
        <w:t>12</w:t>
      </w:r>
      <w:r>
        <w:rPr>
          <w:rFonts w:ascii="Arial" w:hAnsi="Arial" w:cs="Arial"/>
          <w:sz w:val="22"/>
          <w:szCs w:val="22"/>
        </w:rPr>
        <w:t xml:space="preserve"> da Lei Complementar nº 123/2006;</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Cujo sócio ou titular seja administrador ou equiparado de outra pessoa jurídica com fins lucrativos, desde que a receita bruta global ultrapasse o limite de que trata o inciso II do caput deste artigo;</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Constituída sob a forma de cooperativas, salvo as de consumo;</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Que participe do capital de outra pessoa jurídica;</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Que exerça atividade de banco comercial, de investimentos e de desenvolvimento, de caixa econômica, de sociedade de crédito, financiamento e investimento ou de crédito imobiliário, de corretora ou de distribuidora de títulos, valores mobiliários e câmbio, de empresa de arrendamento mercantil, de seguros privados e de capitalização ou de previdência complementar;</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Resultante ou remanescente de cisão ou qualquer outra forma de desmembramento de pessoa jurídica que tenha ocorrido em um dos 5 (cinco) anos-calendário anteriores;</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Constituída sob a forma de sociedade por ações</w:t>
      </w:r>
      <w:r>
        <w:rPr>
          <w:rFonts w:hint="default" w:ascii="Arial" w:hAnsi="Arial" w:cs="Arial"/>
          <w:sz w:val="22"/>
          <w:szCs w:val="22"/>
          <w:lang w:val="pt-BR"/>
        </w:rPr>
        <w:t>.</w:t>
      </w:r>
    </w:p>
    <w:p>
      <w:pPr>
        <w:pStyle w:val="86"/>
        <w:keepNext w:val="0"/>
        <w:keepLines w:val="0"/>
        <w:pageBreakBefore w:val="0"/>
        <w:numPr>
          <w:ilvl w:val="0"/>
          <w:numId w:val="17"/>
        </w:numPr>
        <w:kinsoku/>
        <w:wordWrap/>
        <w:overflowPunct/>
        <w:topLinePunct w:val="0"/>
        <w:bidi w:val="0"/>
        <w:snapToGrid/>
        <w:spacing w:beforeAutospacing="0" w:after="120" w:afterAutospacing="0"/>
        <w:ind w:left="96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C</w:t>
      </w:r>
      <w:r>
        <w:rPr>
          <w:rFonts w:ascii="Arial" w:hAnsi="Arial" w:cs="Arial"/>
          <w:sz w:val="22"/>
          <w:szCs w:val="22"/>
        </w:rPr>
        <w:t>ujos titulares ou sócios guardem, cumulativamente, com o contratante do serviço, relação de pessoalidade, subordinação e habitualidade.  </w:t>
      </w:r>
    </w:p>
    <w:p>
      <w:pPr>
        <w:pStyle w:val="86"/>
        <w:keepNext w:val="0"/>
        <w:keepLines w:val="0"/>
        <w:pageBreakBefore w:val="0"/>
        <w:widowControl w:val="0"/>
        <w:kinsoku/>
        <w:wordWrap/>
        <w:overflowPunct/>
        <w:topLinePunct w:val="0"/>
        <w:bidi w:val="0"/>
        <w:snapToGrid/>
        <w:spacing w:beforeAutospacing="0" w:after="120" w:afterAutospacing="0"/>
        <w:ind w:left="0"/>
        <w:jc w:val="both"/>
        <w:textAlignment w:val="auto"/>
        <w:rPr>
          <w:rStyle w:val="381"/>
          <w:rFonts w:cs="Arial"/>
          <w:color w:val="auto"/>
          <w:sz w:val="22"/>
          <w:szCs w:val="22"/>
        </w:rPr>
      </w:pPr>
      <w:r>
        <w:rPr>
          <w:rFonts w:ascii="Arial" w:hAnsi="Arial" w:cs="Arial"/>
          <w:b/>
          <w:sz w:val="22"/>
          <w:szCs w:val="22"/>
        </w:rPr>
        <w:t>5.8.</w:t>
      </w:r>
      <w:r>
        <w:rPr>
          <w:rFonts w:ascii="Arial" w:hAnsi="Arial" w:cs="Arial"/>
          <w:sz w:val="22"/>
          <w:szCs w:val="22"/>
        </w:rPr>
        <w:t xml:space="preserve"> Os licitantes interessados em participar do certame não necessitam encaminhar seus representantes legais para entregar os envelopes com a documentação e as propostas, podendo, inclusive, encaminhá-los via Correio ou outro meio similar de entrega, atentando para as datas e horários finais para recebimento dos mesmos, constantes neste Edital. A correspondência deverá ser endereçada com aviso de recebimento para a Comissão de Licitação no endereço indicado no </w:t>
      </w:r>
      <w:r>
        <w:rPr>
          <w:rFonts w:ascii="Arial" w:hAnsi="Arial" w:cs="Arial"/>
          <w:i/>
          <w:sz w:val="22"/>
          <w:szCs w:val="22"/>
        </w:rPr>
        <w:t>“Capítulo 3”</w:t>
      </w:r>
      <w:r>
        <w:rPr>
          <w:rFonts w:ascii="Arial" w:hAnsi="Arial" w:cs="Arial"/>
          <w:sz w:val="22"/>
          <w:szCs w:val="22"/>
        </w:rPr>
        <w:t xml:space="preserve"> deste Edital </w:t>
      </w:r>
      <w:r>
        <w:rPr>
          <w:rStyle w:val="381"/>
          <w:rFonts w:cs="Arial"/>
          <w:color w:val="auto"/>
          <w:sz w:val="22"/>
          <w:szCs w:val="22"/>
        </w:rPr>
        <w:t xml:space="preserve">e conter os dois envelopes “Habilitação” e Proposta de acordo com o </w:t>
      </w:r>
      <w:r>
        <w:rPr>
          <w:rStyle w:val="381"/>
          <w:rFonts w:cs="Arial"/>
          <w:i/>
          <w:color w:val="auto"/>
          <w:sz w:val="22"/>
          <w:szCs w:val="22"/>
        </w:rPr>
        <w:t xml:space="preserve">“Capítulo 9” </w:t>
      </w:r>
      <w:r>
        <w:rPr>
          <w:rStyle w:val="381"/>
          <w:rFonts w:cs="Arial"/>
          <w:color w:val="auto"/>
          <w:sz w:val="22"/>
          <w:szCs w:val="22"/>
        </w:rPr>
        <w:t xml:space="preserve">deste edital, com todas as declarações e com antecedência </w:t>
      </w:r>
      <w:r>
        <w:rPr>
          <w:rStyle w:val="381"/>
          <w:rFonts w:cs="Arial"/>
          <w:b/>
          <w:color w:val="auto"/>
          <w:sz w:val="22"/>
          <w:szCs w:val="22"/>
          <w:u w:val="single"/>
        </w:rPr>
        <w:t>mínima</w:t>
      </w:r>
      <w:r>
        <w:rPr>
          <w:rStyle w:val="381"/>
          <w:rFonts w:cs="Arial"/>
          <w:color w:val="auto"/>
          <w:sz w:val="22"/>
          <w:szCs w:val="22"/>
        </w:rPr>
        <w:t xml:space="preserve"> de 1 (uma) hora do momento marcado para abertura da sessão pública.</w:t>
      </w:r>
    </w:p>
    <w:p>
      <w:pPr>
        <w:pStyle w:val="145"/>
        <w:keepNext w:val="0"/>
        <w:keepLines w:val="0"/>
        <w:pageBreakBefore w:val="0"/>
        <w:widowControl/>
        <w:kinsoku/>
        <w:wordWrap/>
        <w:overflowPunct/>
        <w:topLinePunct w:val="0"/>
        <w:autoSpaceDE/>
        <w:autoSpaceDN/>
        <w:bidi w:val="0"/>
        <w:adjustRightInd/>
        <w:snapToGrid/>
        <w:spacing w:before="0"/>
        <w:textAlignment w:val="auto"/>
      </w:pPr>
      <w:r>
        <w:t>DOS ESCLARECIMENTOS E DA IMPUGNAÇÃO DO EDITAL</w:t>
      </w:r>
      <w:bookmarkEnd w:id="10"/>
      <w:bookmarkEnd w:id="11"/>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bookmarkStart w:id="12" w:name="_Toc380557816"/>
      <w:bookmarkStart w:id="13" w:name="_Toc514666334"/>
      <w:r>
        <w:rPr>
          <w:b/>
        </w:rPr>
        <w:t>6.1.</w:t>
      </w:r>
      <w:r>
        <w:t xml:space="preserve"> Qualquer cidadão é parte legítima para impugnar o presente Edital, bem como suas retificações, por irregularidade na aplicação da lei, devendo protocolar o pedido formal e expressamente, com todos os dados de identificação e qualificação necessários, junto </w:t>
      </w:r>
      <w:r>
        <w:rPr>
          <w:rFonts w:hint="default"/>
          <w:lang w:val="pt-BR"/>
        </w:rPr>
        <w:t>ao</w:t>
      </w:r>
      <w:r>
        <w:t xml:space="preserve"> </w:t>
      </w:r>
      <w:r>
        <w:rPr>
          <w:rFonts w:hint="default"/>
          <w:u w:val="single"/>
          <w:lang w:val="pt-BR"/>
        </w:rPr>
        <w:t>Setor</w:t>
      </w:r>
      <w:r>
        <w:rPr>
          <w:u w:val="single"/>
        </w:rPr>
        <w:t xml:space="preserve"> de Licitações,</w:t>
      </w:r>
      <w:r>
        <w:rPr>
          <w:rFonts w:hint="default"/>
          <w:u w:val="single"/>
          <w:lang w:val="pt-BR"/>
        </w:rPr>
        <w:t xml:space="preserve"> sito à</w:t>
      </w:r>
      <w:r>
        <w:rPr>
          <w:u w:val="single"/>
        </w:rPr>
        <w:t xml:space="preserve"> Rua Maringá n°444 – Centro – Cep.: 78850-000; das </w:t>
      </w:r>
      <w:r>
        <w:rPr>
          <w:rFonts w:hint="default"/>
          <w:u w:val="single"/>
          <w:lang w:val="pt-BR"/>
        </w:rPr>
        <w:t>07</w:t>
      </w:r>
      <w:r>
        <w:rPr>
          <w:u w:val="single"/>
        </w:rPr>
        <w:t>:00 às 1</w:t>
      </w:r>
      <w:r>
        <w:rPr>
          <w:rFonts w:hint="default"/>
          <w:u w:val="single"/>
          <w:lang w:val="pt-BR"/>
        </w:rPr>
        <w:t>3</w:t>
      </w:r>
      <w:r>
        <w:rPr>
          <w:u w:val="single"/>
        </w:rPr>
        <w:t>:00 horas</w:t>
      </w:r>
      <w:r>
        <w:rPr>
          <w:rFonts w:hint="default"/>
          <w:u w:val="single"/>
          <w:lang w:val="pt-BR"/>
        </w:rPr>
        <w:t xml:space="preserve"> </w:t>
      </w:r>
      <w:r>
        <w:rPr>
          <w:u w:val="single"/>
        </w:rPr>
        <w:t>(horário local)</w:t>
      </w:r>
      <w:r>
        <w:t xml:space="preserve">, sendo direcionada ao Presidente da Comissão de Licitação da Prefeitura Municipal de Primavera do Leste </w:t>
      </w:r>
      <w:r>
        <w:rPr>
          <w:u w:val="single"/>
        </w:rPr>
        <w:t>até o quinto dia útil</w:t>
      </w:r>
      <w:r>
        <w:t xml:space="preserve"> que anteceder a data fixada para a abertura dos invólucros de Habilitação, conforme previsto no § 1º do artigo 41 da Lei n° 8666/93;</w:t>
      </w:r>
    </w:p>
    <w:p>
      <w:pPr>
        <w:pStyle w:val="349"/>
        <w:keepNext w:val="0"/>
        <w:keepLines w:val="0"/>
        <w:pageBreakBefore w:val="0"/>
        <w:kinsoku/>
        <w:wordWrap/>
        <w:overflowPunct/>
        <w:topLinePunct w:val="0"/>
        <w:autoSpaceDE/>
        <w:autoSpaceDN/>
        <w:bidi w:val="0"/>
        <w:adjustRightInd/>
        <w:snapToGrid/>
        <w:spacing w:before="0" w:beforeAutospacing="0" w:after="120" w:afterAutospacing="0"/>
        <w:textAlignment w:val="auto"/>
        <w:rPr>
          <w:b w:val="0"/>
        </w:rPr>
      </w:pPr>
      <w:r>
        <w:t xml:space="preserve">6.1.1. </w:t>
      </w:r>
      <w:r>
        <w:rPr>
          <w:b w:val="0"/>
        </w:rPr>
        <w:t>Alternativamente o licitante poderá encaminhar a petição via endereço eletrônico:</w:t>
      </w:r>
      <w:r>
        <w:rPr>
          <w:b w:val="0"/>
          <w:u w:val="single" w:color="0000FF"/>
        </w:rPr>
        <w:t xml:space="preserve"> </w:t>
      </w:r>
      <w:r>
        <w:fldChar w:fldCharType="begin"/>
      </w:r>
      <w:r>
        <w:instrText xml:space="preserve"> HYPERLINK "mailto:licita3@pva.mt.gov.br,%20" </w:instrText>
      </w:r>
      <w:r>
        <w:fldChar w:fldCharType="separate"/>
      </w:r>
      <w:r>
        <w:rPr>
          <w:rStyle w:val="17"/>
          <w:b w:val="0"/>
          <w:u w:color="0000FF"/>
        </w:rPr>
        <w:t>licita3@pva.mt.gov.br</w:t>
      </w:r>
      <w:r>
        <w:rPr>
          <w:rStyle w:val="17"/>
          <w:b w:val="0"/>
        </w:rPr>
        <w:t xml:space="preserve">, </w:t>
      </w:r>
      <w:r>
        <w:rPr>
          <w:rStyle w:val="17"/>
          <w:b w:val="0"/>
        </w:rPr>
        <w:fldChar w:fldCharType="end"/>
      </w:r>
      <w:r>
        <w:rPr>
          <w:b w:val="0"/>
        </w:rPr>
        <w:t>sendo que o documento deverá ser assinado, digitalizado e com a qualificação necessária, inclusive com telefone e endereço eletrônico para a resposta da comissão;</w:t>
      </w:r>
    </w:p>
    <w:p>
      <w:pPr>
        <w:pStyle w:val="349"/>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rFonts w:hint="default"/>
          <w:b w:val="0"/>
          <w:lang w:val="pt-BR"/>
        </w:rPr>
        <w:t>6</w:t>
      </w:r>
      <w:r>
        <w:rPr>
          <w:b w:val="0"/>
        </w:rPr>
        <w:t>.1.</w:t>
      </w:r>
      <w:r>
        <w:rPr>
          <w:rFonts w:hint="default"/>
          <w:b w:val="0"/>
          <w:lang w:val="pt-BR"/>
        </w:rPr>
        <w:t>2.</w:t>
      </w:r>
      <w:r>
        <w:rPr>
          <w:b w:val="0"/>
        </w:rPr>
        <w:t xml:space="preserve"> Em até 03 (três) dias úteis antes da data designada para a realização da Sessão do Pregão, poderá ser feito pedido de esclarecimentos sobre este Edital, via e-mail </w:t>
      </w:r>
      <w:r>
        <w:rPr>
          <w:rStyle w:val="17"/>
          <w:b w:val="0"/>
          <w:u w:color="0000FF"/>
        </w:rPr>
        <w:t>licita3@pva.mt.gov.br</w:t>
      </w:r>
      <w:r>
        <w:t>;</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6.2.</w:t>
      </w:r>
      <w:r>
        <w:t xml:space="preserve"> Decairá do direito de impugnar os termos deste Edital, perante a Administração, a licitante que </w:t>
      </w:r>
      <w:r>
        <w:rPr>
          <w:u w:val="single"/>
        </w:rPr>
        <w:t>não o fizer</w:t>
      </w:r>
      <w:r>
        <w:t xml:space="preserve"> até o </w:t>
      </w:r>
      <w:r>
        <w:rPr>
          <w:u w:val="single"/>
        </w:rPr>
        <w:t>segundo dia útil</w:t>
      </w:r>
      <w:r>
        <w:t xml:space="preserve"> que anteceder a abertura dos envelopes das propostas de preço e venha a apontar falhas ou irregularidades que o viciou, hipótese em que tal comunicação não terá efeito de recurso, conforme previsto no parágrafo 2º, do artigo 41, da Lei nº. 8.666/93;</w:t>
      </w:r>
    </w:p>
    <w:p>
      <w:pPr>
        <w:pStyle w:val="86"/>
        <w:keepNext w:val="0"/>
        <w:keepLines w:val="0"/>
        <w:pageBreakBefore w:val="0"/>
        <w:widowControl w:val="0"/>
        <w:tabs>
          <w:tab w:val="left" w:pos="284"/>
        </w:tabs>
        <w:kinsoku/>
        <w:wordWrap/>
        <w:overflowPunct/>
        <w:topLinePunct w:val="0"/>
        <w:autoSpaceDE/>
        <w:autoSpaceDN/>
        <w:bidi w:val="0"/>
        <w:adjustRightInd/>
        <w:snapToGrid/>
        <w:spacing w:beforeAutospacing="0" w:after="120" w:afterAutospacing="0"/>
        <w:ind w:left="480" w:leftChars="200" w:firstLine="0" w:firstLineChars="0"/>
        <w:contextualSpacing/>
        <w:jc w:val="both"/>
        <w:textAlignment w:val="auto"/>
        <w:rPr>
          <w:rFonts w:hint="default" w:ascii="Arial" w:hAnsi="Arial" w:cs="Arial"/>
          <w:sz w:val="22"/>
          <w:szCs w:val="22"/>
          <w:lang w:val="pt-BR"/>
        </w:rPr>
      </w:pPr>
      <w:r>
        <w:rPr>
          <w:b/>
        </w:rPr>
        <w:tab/>
      </w:r>
      <w:r>
        <w:rPr>
          <w:rFonts w:ascii="Arial" w:hAnsi="Arial" w:cs="Arial"/>
          <w:b/>
          <w:sz w:val="22"/>
          <w:szCs w:val="22"/>
        </w:rPr>
        <w:t>6.2.1.</w:t>
      </w:r>
      <w:r>
        <w:rPr>
          <w:rFonts w:ascii="Arial" w:hAnsi="Arial" w:cs="Arial"/>
          <w:sz w:val="22"/>
          <w:szCs w:val="22"/>
        </w:rPr>
        <w:t xml:space="preserve"> </w:t>
      </w:r>
      <w:r>
        <w:rPr>
          <w:rFonts w:hint="default" w:ascii="Arial" w:hAnsi="Arial" w:cs="Arial"/>
          <w:sz w:val="22"/>
          <w:szCs w:val="22"/>
          <w:lang w:val="pt-BR"/>
        </w:rPr>
        <w:t>Não havendo</w:t>
      </w:r>
      <w:r>
        <w:rPr>
          <w:rFonts w:ascii="Arial" w:hAnsi="Arial" w:cs="Arial"/>
          <w:sz w:val="22"/>
          <w:szCs w:val="22"/>
        </w:rPr>
        <w:t xml:space="preserve"> expediente na Prefeitura de Primavera do Leste, será considerado o dia subsequente</w:t>
      </w:r>
      <w:r>
        <w:rPr>
          <w:rFonts w:hint="default" w:ascii="Arial" w:hAnsi="Arial" w:cs="Arial"/>
          <w:sz w:val="22"/>
          <w:szCs w:val="22"/>
          <w:lang w:val="pt-BR"/>
        </w:rPr>
        <w:t>.</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6.3.</w:t>
      </w:r>
      <w:r>
        <w:t xml:space="preserve"> A impugnação feita tempestivamente pela licitante não a impedirá de participar do processo licitatório até o trânsito em julgado da decisão a ela pertinente;</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6.4.</w:t>
      </w:r>
      <w:r>
        <w:t xml:space="preserve"> Se procedente e acolhida à petição, os vícios do Edital serão sanados e nova data será designada para a realização do certame</w:t>
      </w:r>
      <w:r>
        <w:rPr>
          <w:rFonts w:hint="default"/>
          <w:lang w:val="pt-BR"/>
        </w:rPr>
        <w:t>, na forma do §4º do artigo 21 da Lei 8.666/93</w:t>
      </w:r>
      <w:r>
        <w:t>;</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6.5.</w:t>
      </w:r>
      <w:r>
        <w:t xml:space="preserve"> Impedir, perturbar ou fraudar a realização de qualquer ato de processo licitatório:</w:t>
      </w:r>
      <w:r>
        <w:rPr>
          <w:rFonts w:hint="default"/>
          <w:lang w:val="pt-BR"/>
        </w:rPr>
        <w:t xml:space="preserve"> </w:t>
      </w:r>
      <w:r>
        <w:rPr>
          <w:rFonts w:hint="default"/>
        </w:rPr>
        <w:t>Pena - detenção, de 6 (seis) meses a 3 (três) anos, e multa</w:t>
      </w:r>
      <w:r>
        <w:t xml:space="preserve">, nos termos do artigo </w:t>
      </w:r>
      <w:r>
        <w:rPr>
          <w:rFonts w:hint="default"/>
          <w:lang w:val="pt-BR"/>
        </w:rPr>
        <w:t>337-I</w:t>
      </w:r>
      <w:r>
        <w:t xml:space="preserve"> da Lei </w:t>
      </w:r>
      <w:r>
        <w:rPr>
          <w:rFonts w:hint="default"/>
          <w:lang w:val="pt-BR"/>
        </w:rPr>
        <w:t>14.133</w:t>
      </w:r>
      <w:r>
        <w:t>/</w:t>
      </w:r>
      <w:r>
        <w:rPr>
          <w:rFonts w:hint="default"/>
          <w:lang w:val="pt-BR"/>
        </w:rPr>
        <w:t>21</w:t>
      </w:r>
      <w:r>
        <w:t>;</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6.6.</w:t>
      </w:r>
      <w:r>
        <w:t xml:space="preserve"> Os casos omissos à presente TOMADA DE PREÇO</w:t>
      </w:r>
      <w:r>
        <w:rPr>
          <w:rFonts w:hint="default"/>
          <w:lang w:val="pt-BR"/>
        </w:rPr>
        <w:t>S</w:t>
      </w:r>
      <w:r>
        <w:t xml:space="preserve"> serão solucionados pelo (a) Presidente da Comissão.</w:t>
      </w:r>
    </w:p>
    <w:bookmarkEnd w:id="12"/>
    <w:bookmarkEnd w:id="13"/>
    <w:p>
      <w:pPr>
        <w:pStyle w:val="145"/>
        <w:keepNext w:val="0"/>
        <w:keepLines w:val="0"/>
        <w:pageBreakBefore w:val="0"/>
        <w:widowControl/>
        <w:kinsoku/>
        <w:wordWrap/>
        <w:overflowPunct/>
        <w:topLinePunct w:val="0"/>
        <w:autoSpaceDE/>
        <w:autoSpaceDN/>
        <w:bidi w:val="0"/>
        <w:adjustRightInd/>
        <w:snapToGrid/>
        <w:spacing w:before="0"/>
        <w:textAlignment w:val="auto"/>
      </w:pPr>
      <w:r>
        <w:t>DO CREDENCIAMENTO</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b/>
        </w:rPr>
        <w:t>7.1.</w:t>
      </w:r>
      <w:r>
        <w:t xml:space="preserve"> Antes do início da sessão, cada empresa licitante poderá credenciar apenas 01 (um) representante, sendo que o credenciamento poderá representar apenas uma empresa, o qual deverá identificar-se junto </w:t>
      </w:r>
      <w:r>
        <w:rPr>
          <w:rFonts w:hint="default"/>
          <w:lang w:val="pt-BR"/>
        </w:rPr>
        <w:t>à</w:t>
      </w:r>
      <w:r>
        <w:t xml:space="preserve"> Comissão de Licitação, qualquer manifestação em relação a presente licitação fica condicionada à apresentação dos seguintes documentos:</w:t>
      </w:r>
    </w:p>
    <w:p>
      <w:pPr>
        <w:keepNext w:val="0"/>
        <w:keepLines w:val="0"/>
        <w:pageBreakBefore w:val="0"/>
        <w:widowControl/>
        <w:tabs>
          <w:tab w:val="left" w:pos="284"/>
          <w:tab w:val="left" w:pos="851"/>
        </w:tabs>
        <w:kinsoku/>
        <w:wordWrap/>
        <w:overflowPunct/>
        <w:topLinePunct w:val="0"/>
        <w:autoSpaceDE/>
        <w:autoSpaceDN/>
        <w:bidi w:val="0"/>
        <w:adjustRightInd/>
        <w:snapToGrid/>
        <w:spacing w:beforeAutospacing="0" w:after="120" w:afterAutospacing="0"/>
        <w:ind w:left="480" w:leftChars="0" w:firstLine="0" w:firstLineChars="0"/>
        <w:jc w:val="both"/>
        <w:textAlignment w:val="auto"/>
        <w:rPr>
          <w:rFonts w:ascii="Arial" w:hAnsi="Arial" w:cs="Arial"/>
          <w:sz w:val="22"/>
          <w:szCs w:val="22"/>
          <w:shd w:val="clear" w:color="auto" w:fill="FFFFFF"/>
        </w:rPr>
      </w:pPr>
      <w:r>
        <w:rPr>
          <w:rFonts w:ascii="Arial" w:hAnsi="Arial" w:cs="Arial"/>
          <w:b/>
          <w:sz w:val="22"/>
          <w:szCs w:val="22"/>
          <w:shd w:val="clear" w:color="auto" w:fill="FFFFFF"/>
        </w:rPr>
        <w:t>7.1.1.</w:t>
      </w:r>
      <w:r>
        <w:rPr>
          <w:rFonts w:ascii="Arial" w:hAnsi="Arial" w:cs="Arial"/>
          <w:sz w:val="22"/>
          <w:szCs w:val="22"/>
          <w:shd w:val="clear" w:color="auto" w:fill="FFFFFF"/>
        </w:rPr>
        <w:t xml:space="preserve"> Fazendo-se representar a licitante pelo </w:t>
      </w:r>
      <w:r>
        <w:rPr>
          <w:rFonts w:ascii="Arial" w:hAnsi="Arial" w:cs="Arial"/>
          <w:b/>
          <w:sz w:val="22"/>
          <w:szCs w:val="22"/>
          <w:shd w:val="clear" w:color="auto" w:fill="FFFFFF"/>
        </w:rPr>
        <w:t>sócio-gerente, diretor</w:t>
      </w:r>
      <w:r>
        <w:rPr>
          <w:rFonts w:hint="default" w:ascii="Arial" w:hAnsi="Arial" w:cs="Arial"/>
          <w:b/>
          <w:sz w:val="22"/>
          <w:szCs w:val="22"/>
          <w:shd w:val="clear" w:color="auto" w:fill="FFFFFF"/>
          <w:lang w:val="pt-BR"/>
        </w:rPr>
        <w:t>,</w:t>
      </w:r>
      <w:r>
        <w:rPr>
          <w:rFonts w:ascii="Arial" w:hAnsi="Arial" w:cs="Arial"/>
          <w:b/>
          <w:sz w:val="22"/>
          <w:szCs w:val="22"/>
          <w:shd w:val="clear" w:color="auto" w:fill="FFFFFF"/>
        </w:rPr>
        <w:t xml:space="preserve"> proprietário</w:t>
      </w:r>
      <w:r>
        <w:rPr>
          <w:rFonts w:ascii="Arial" w:hAnsi="Arial" w:cs="Arial"/>
          <w:sz w:val="22"/>
          <w:szCs w:val="22"/>
          <w:shd w:val="clear" w:color="auto" w:fill="FFFFFF"/>
        </w:rPr>
        <w:t>,</w:t>
      </w:r>
      <w:r>
        <w:rPr>
          <w:rFonts w:hint="default" w:ascii="Arial" w:hAnsi="Arial" w:cs="Arial"/>
          <w:sz w:val="22"/>
          <w:szCs w:val="22"/>
          <w:shd w:val="clear" w:color="auto" w:fill="FFFFFF"/>
          <w:lang w:val="pt-BR"/>
        </w:rPr>
        <w:t xml:space="preserve"> ou assemelhado,</w:t>
      </w:r>
      <w:r>
        <w:rPr>
          <w:rFonts w:ascii="Arial" w:hAnsi="Arial" w:cs="Arial"/>
          <w:sz w:val="22"/>
          <w:szCs w:val="22"/>
          <w:shd w:val="clear" w:color="auto" w:fill="FFFFFF"/>
        </w:rPr>
        <w:t xml:space="preserve"> </w:t>
      </w:r>
      <w:r>
        <w:rPr>
          <w:rFonts w:hint="default" w:ascii="Arial" w:hAnsi="Arial" w:cs="Arial"/>
          <w:sz w:val="22"/>
          <w:szCs w:val="22"/>
          <w:shd w:val="clear" w:color="auto" w:fill="FFFFFF"/>
          <w:lang w:val="pt-BR"/>
        </w:rPr>
        <w:t xml:space="preserve">esta </w:t>
      </w:r>
      <w:r>
        <w:rPr>
          <w:rFonts w:ascii="Arial" w:hAnsi="Arial" w:cs="Arial"/>
          <w:sz w:val="22"/>
          <w:szCs w:val="22"/>
          <w:shd w:val="clear" w:color="auto" w:fill="FFFFFF"/>
        </w:rPr>
        <w:t>deverá comprovar ser o responsável legal</w:t>
      </w:r>
      <w:r>
        <w:rPr>
          <w:rFonts w:hint="default" w:ascii="Arial" w:hAnsi="Arial" w:cs="Arial"/>
          <w:sz w:val="22"/>
          <w:szCs w:val="22"/>
          <w:shd w:val="clear" w:color="auto" w:fill="FFFFFF"/>
          <w:lang w:val="pt-BR"/>
        </w:rPr>
        <w:t xml:space="preserve"> da empresa</w:t>
      </w:r>
      <w:r>
        <w:rPr>
          <w:rFonts w:ascii="Arial" w:hAnsi="Arial" w:cs="Arial"/>
          <w:sz w:val="22"/>
          <w:szCs w:val="22"/>
          <w:shd w:val="clear" w:color="auto" w:fill="FFFFFF"/>
        </w:rPr>
        <w:t xml:space="preserve">, devendo </w:t>
      </w:r>
      <w:r>
        <w:rPr>
          <w:rFonts w:hint="default" w:ascii="Arial" w:hAnsi="Arial" w:cs="Arial"/>
          <w:sz w:val="22"/>
          <w:szCs w:val="22"/>
          <w:shd w:val="clear" w:color="auto" w:fill="FFFFFF"/>
          <w:lang w:val="pt-BR"/>
        </w:rPr>
        <w:t xml:space="preserve">para tanto, </w:t>
      </w:r>
      <w:r>
        <w:rPr>
          <w:rFonts w:ascii="Arial" w:hAnsi="Arial" w:cs="Arial"/>
          <w:sz w:val="22"/>
          <w:szCs w:val="22"/>
          <w:shd w:val="clear" w:color="auto" w:fill="FFFFFF"/>
        </w:rPr>
        <w:t xml:space="preserve">apresentar </w:t>
      </w:r>
      <w:r>
        <w:rPr>
          <w:rFonts w:ascii="Arial" w:hAnsi="Arial" w:cs="Arial"/>
          <w:sz w:val="22"/>
          <w:szCs w:val="22"/>
          <w:u w:val="single"/>
          <w:shd w:val="clear" w:color="auto" w:fill="FFFFFF"/>
        </w:rPr>
        <w:t>cédula de identidade ou outro documento de identificação oficial</w:t>
      </w:r>
      <w:r>
        <w:rPr>
          <w:rFonts w:ascii="Arial" w:hAnsi="Arial" w:cs="Arial"/>
          <w:sz w:val="22"/>
          <w:szCs w:val="22"/>
          <w:shd w:val="clear" w:color="auto" w:fill="FFFFFF"/>
        </w:rPr>
        <w:t xml:space="preserve">, </w:t>
      </w:r>
      <w:r>
        <w:rPr>
          <w:rFonts w:hint="default" w:ascii="Arial" w:hAnsi="Arial" w:cs="Arial"/>
          <w:sz w:val="22"/>
          <w:szCs w:val="22"/>
          <w:shd w:val="clear" w:color="auto" w:fill="FFFFFF"/>
          <w:lang w:val="pt-BR"/>
        </w:rPr>
        <w:t xml:space="preserve">juntamente de: </w:t>
      </w:r>
      <w:r>
        <w:rPr>
          <w:rFonts w:ascii="Arial" w:hAnsi="Arial" w:cs="Arial"/>
          <w:sz w:val="22"/>
          <w:szCs w:val="22"/>
          <w:shd w:val="clear" w:color="auto" w:fill="FFFFFF"/>
        </w:rPr>
        <w:t xml:space="preserve">no caso de sociedades comerciais acompanhado de registro comercial; </w:t>
      </w:r>
      <w:r>
        <w:rPr>
          <w:rFonts w:ascii="Arial" w:hAnsi="Arial" w:cs="Arial"/>
          <w:sz w:val="22"/>
          <w:szCs w:val="22"/>
          <w:u w:val="single"/>
          <w:shd w:val="clear" w:color="auto" w:fill="FFFFFF"/>
        </w:rPr>
        <w:t>no caso de empresa individua</w:t>
      </w:r>
      <w:r>
        <w:rPr>
          <w:rFonts w:ascii="Arial" w:hAnsi="Arial" w:cs="Arial"/>
          <w:sz w:val="22"/>
          <w:szCs w:val="22"/>
          <w:shd w:val="clear" w:color="auto" w:fill="FFFFFF"/>
        </w:rPr>
        <w:t>l, contrato social ou estatuto em vigor, no caso de sociedades por ações, dos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 sendo que em tais documentos devem constar expressos poderes para exercerem direitos e assumir obrigações em decorrência de tal investidura;</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ind w:left="480" w:leftChars="200" w:firstLine="0" w:firstLineChars="0"/>
        <w:textAlignment w:val="auto"/>
      </w:pPr>
      <w:r>
        <w:rPr>
          <w:b/>
        </w:rPr>
        <w:t>7.1.2.</w:t>
      </w:r>
      <w:r>
        <w:t xml:space="preserve"> Se a empresa se fizer representar </w:t>
      </w:r>
      <w:r>
        <w:rPr>
          <w:b/>
        </w:rPr>
        <w:t>por procurador</w:t>
      </w:r>
      <w:r>
        <w:t xml:space="preserve">, faz-se necessário o credenciamento através de outorga por instrumento público ou particular (com cópia), com firma </w:t>
      </w:r>
      <w:r>
        <w:rPr>
          <w:rFonts w:hint="default"/>
          <w:lang w:val="pt-BR"/>
        </w:rPr>
        <w:t xml:space="preserve">do signatário </w:t>
      </w:r>
      <w:r>
        <w:t>reconhecida em cartório, co</w:t>
      </w:r>
      <w:r>
        <w:rPr>
          <w:rFonts w:hint="default"/>
          <w:lang w:val="pt-BR"/>
        </w:rPr>
        <w:t>ntendo</w:t>
      </w:r>
      <w:r>
        <w:t xml:space="preserve"> menção expressa de que lhe confere amplos poderes, inclusive para formular ofertas, para recebimento de intimações e notificações, desistência ou não de recursos, assinarem contrato, bem como demais atos pertinentes ao certame</w:t>
      </w:r>
      <w:r>
        <w:rPr>
          <w:shd w:val="clear" w:color="auto" w:fill="FFFFFF" w:themeFill="background1"/>
        </w:rPr>
        <w:t>, podendo utilizar o modelo</w:t>
      </w:r>
      <w:r>
        <w:rPr>
          <w:rFonts w:hint="default"/>
          <w:shd w:val="clear" w:color="auto" w:fill="FFFFFF" w:themeFill="background1"/>
          <w:lang w:val="pt-BR"/>
        </w:rPr>
        <w:t xml:space="preserve"> do</w:t>
      </w:r>
      <w:r>
        <w:rPr>
          <w:shd w:val="clear" w:color="auto" w:fill="FFFFFF" w:themeFill="background1"/>
        </w:rPr>
        <w:t xml:space="preserve"> </w:t>
      </w:r>
      <w:r>
        <w:rPr>
          <w:b/>
          <w:bCs w:val="0"/>
          <w:shd w:val="clear" w:color="auto" w:fill="FFFFFF" w:themeFill="background1"/>
        </w:rPr>
        <w:t>Anexo IV</w:t>
      </w:r>
      <w:r>
        <w:rPr>
          <w:shd w:val="clear" w:color="auto" w:fill="FFFFFF" w:themeFill="background1"/>
        </w:rPr>
        <w:t xml:space="preserve"> acompanhado </w:t>
      </w:r>
      <w:r>
        <w:t>do registro comercial, no caso de empresa individual; contrato social ou estatuto em vigor no caso de sociedades comerciais e no caso de sociedades por ações, acompanhado, neste último, de documentos de eleição de seus administradores; inscrição do ato constitutivo, no caso de sociedades civis, acompanhada de prova de diretoria em exercício; e ata de fundação e estatuto social em vigor, com a ata da assembleia que o aprovou, devidamente arquivado na Junta Comercial;</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ind w:left="960" w:leftChars="400" w:firstLine="0" w:firstLineChars="0"/>
        <w:textAlignment w:val="auto"/>
        <w:rPr>
          <w:rFonts w:hint="default"/>
          <w:b/>
          <w:bCs w:val="0"/>
          <w:sz w:val="22"/>
          <w:szCs w:val="22"/>
          <w:lang w:val="pt-BR"/>
        </w:rPr>
      </w:pPr>
      <w:r>
        <w:rPr>
          <w:rFonts w:hint="default"/>
          <w:b/>
          <w:bCs w:val="0"/>
          <w:sz w:val="22"/>
          <w:szCs w:val="22"/>
          <w:lang w:val="pt-BR"/>
        </w:rPr>
        <w:t xml:space="preserve">7.1.2.1. </w:t>
      </w:r>
      <w:r>
        <w:rPr>
          <w:rFonts w:ascii="Arial" w:hAnsi="Arial"/>
          <w:sz w:val="22"/>
          <w:szCs w:val="22"/>
        </w:rPr>
        <w:t xml:space="preserve">A Procuração ou </w:t>
      </w:r>
      <w:r>
        <w:rPr>
          <w:rFonts w:hint="default"/>
          <w:sz w:val="22"/>
          <w:szCs w:val="22"/>
          <w:lang w:val="pt-BR"/>
        </w:rPr>
        <w:t>Carta</w:t>
      </w:r>
      <w:r>
        <w:rPr>
          <w:rFonts w:ascii="Arial" w:hAnsi="Arial"/>
          <w:sz w:val="22"/>
          <w:szCs w:val="22"/>
        </w:rPr>
        <w:t xml:space="preserve"> de Credenciamento deverá ser apresentad</w:t>
      </w:r>
      <w:r>
        <w:rPr>
          <w:rFonts w:hint="default"/>
          <w:sz w:val="22"/>
          <w:szCs w:val="22"/>
          <w:lang w:val="pt-BR"/>
        </w:rPr>
        <w:t>a</w:t>
      </w:r>
      <w:r>
        <w:rPr>
          <w:rFonts w:ascii="Arial" w:hAnsi="Arial"/>
          <w:sz w:val="22"/>
          <w:szCs w:val="22"/>
        </w:rPr>
        <w:t xml:space="preserve"> </w:t>
      </w:r>
      <w:r>
        <w:rPr>
          <w:rFonts w:ascii="Arial" w:hAnsi="Arial"/>
          <w:b/>
          <w:sz w:val="22"/>
          <w:szCs w:val="22"/>
        </w:rPr>
        <w:t>COM FIRMA</w:t>
      </w:r>
      <w:r>
        <w:rPr>
          <w:rFonts w:hint="default"/>
          <w:b/>
          <w:sz w:val="22"/>
          <w:szCs w:val="22"/>
          <w:lang w:val="pt-BR"/>
        </w:rPr>
        <w:t xml:space="preserve"> DO SIGNATÁRIO</w:t>
      </w:r>
      <w:r>
        <w:rPr>
          <w:rFonts w:ascii="Arial" w:hAnsi="Arial"/>
          <w:b/>
          <w:sz w:val="22"/>
          <w:szCs w:val="22"/>
        </w:rPr>
        <w:t xml:space="preserve"> RECONHECIDA EM CARTÓRIO</w:t>
      </w:r>
      <w:r>
        <w:rPr>
          <w:rFonts w:hint="default"/>
          <w:b/>
          <w:sz w:val="22"/>
          <w:szCs w:val="22"/>
          <w:lang w:val="pt-BR"/>
        </w:rPr>
        <w:t>.</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b/>
        </w:rPr>
        <w:t>7.2</w:t>
      </w:r>
      <w:r>
        <w:t>. Cada credenciado poderá representar apenas uma empresa licitante;</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hint="default"/>
          <w:lang w:val="pt-BR"/>
        </w:rPr>
      </w:pPr>
      <w:r>
        <w:rPr>
          <w:b/>
        </w:rPr>
        <w:t>7.3.</w:t>
      </w:r>
      <w:r>
        <w:t xml:space="preserve"> Os documentos que credenciam o representante deverão ser entregues separadamente dos envelopes de números 01 e 02 e acompanhados de Declaração dando ciência de que cumpre(m) plenamente os requisitos de habilitação, conforme modelo </w:t>
      </w:r>
      <w:r>
        <w:rPr>
          <w:b/>
          <w:bCs w:val="0"/>
        </w:rPr>
        <w:t>Anexo VII</w:t>
      </w:r>
      <w:r>
        <w:rPr>
          <w:rFonts w:hint="default"/>
          <w:lang w:val="pt-BR"/>
        </w:rPr>
        <w:t>;</w:t>
      </w:r>
    </w:p>
    <w:p>
      <w:pPr>
        <w:pStyle w:val="349"/>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t xml:space="preserve">7.4. </w:t>
      </w:r>
      <w:r>
        <w:rPr>
          <w:b w:val="0"/>
        </w:rPr>
        <w:t xml:space="preserve">A falta ou incorreção dos documentos mencionados no item “7.1.” não implicará na inabilitação da licitante, mas </w:t>
      </w:r>
      <w:r>
        <w:rPr>
          <w:b w:val="0"/>
          <w:u w:val="single"/>
        </w:rPr>
        <w:t>impedirá o</w:t>
      </w:r>
      <w:r>
        <w:rPr>
          <w:rFonts w:hint="default"/>
          <w:b w:val="0"/>
          <w:u w:val="single"/>
          <w:lang w:val="pt-BR"/>
        </w:rPr>
        <w:t>(a)</w:t>
      </w:r>
      <w:r>
        <w:rPr>
          <w:b w:val="0"/>
          <w:u w:val="single"/>
        </w:rPr>
        <w:t xml:space="preserve"> representante de se manifestar</w:t>
      </w:r>
      <w:r>
        <w:rPr>
          <w:b w:val="0"/>
        </w:rPr>
        <w:t xml:space="preserve"> e responder pela mesma;</w:t>
      </w:r>
      <w:r>
        <w:t xml:space="preserve"> </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b/>
        </w:rPr>
        <w:t>7.5.</w:t>
      </w:r>
      <w:r>
        <w:t xml:space="preserve"> A Microempresa e Empresa de Pequeno Porte deverão observar as normas descritas no “Capítulo 8” do presente edital;</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hint="default"/>
          <w:lang w:val="pt-BR"/>
        </w:rPr>
      </w:pPr>
      <w:r>
        <w:rPr>
          <w:b/>
        </w:rPr>
        <w:t>7.6.</w:t>
      </w:r>
      <w:r>
        <w:t xml:space="preserve"> Os documentos mencionados no item anterior deverão ser apresentados em fotocópias autenticadas ou fotocópias simples, acompanhadas dos respectivos originais, para a devida autenticação por um dos membros da Comissão Permanente de Licitação</w:t>
      </w:r>
      <w:r>
        <w:rPr>
          <w:rFonts w:hint="default"/>
          <w:lang w:val="pt-BR"/>
        </w:rPr>
        <w:t>.</w:t>
      </w:r>
    </w:p>
    <w:p>
      <w:pPr>
        <w:pStyle w:val="145"/>
        <w:keepNext w:val="0"/>
        <w:keepLines w:val="0"/>
        <w:pageBreakBefore w:val="0"/>
        <w:widowControl/>
        <w:kinsoku/>
        <w:wordWrap/>
        <w:overflowPunct/>
        <w:topLinePunct w:val="0"/>
        <w:autoSpaceDE/>
        <w:autoSpaceDN/>
        <w:bidi w:val="0"/>
        <w:adjustRightInd/>
        <w:snapToGrid/>
        <w:spacing w:before="0"/>
        <w:textAlignment w:val="auto"/>
        <w:rPr>
          <w:sz w:val="22"/>
          <w:szCs w:val="22"/>
        </w:rPr>
      </w:pPr>
      <w:bookmarkStart w:id="14" w:name="_Toc382989164"/>
      <w:bookmarkStart w:id="15" w:name="_Toc487720513"/>
      <w:r>
        <w:rPr>
          <w:sz w:val="22"/>
          <w:szCs w:val="22"/>
        </w:rPr>
        <w:t xml:space="preserve">  </w:t>
      </w:r>
      <w:bookmarkStart w:id="16" w:name="_Toc514666335"/>
      <w:r>
        <w:rPr>
          <w:sz w:val="22"/>
          <w:szCs w:val="22"/>
        </w:rPr>
        <w:t>DA PARTICIPAÇÃO DE MICROEMPRESA E EMPRESA DE PEQUENO PORTE</w:t>
      </w:r>
      <w:bookmarkEnd w:id="14"/>
      <w:bookmarkEnd w:id="15"/>
      <w:bookmarkEnd w:id="16"/>
    </w:p>
    <w:p>
      <w:pPr>
        <w:pStyle w:val="348"/>
        <w:keepNext w:val="0"/>
        <w:keepLines w:val="0"/>
        <w:pageBreakBefore w:val="0"/>
        <w:kinsoku/>
        <w:wordWrap/>
        <w:overflowPunct/>
        <w:topLinePunct w:val="0"/>
        <w:bidi w:val="0"/>
        <w:snapToGrid/>
        <w:spacing w:before="0" w:beforeAutospacing="0" w:after="120" w:afterAutospacing="0"/>
        <w:textAlignment w:val="auto"/>
      </w:pPr>
      <w:r>
        <w:rPr>
          <w:b/>
        </w:rPr>
        <w:t>8.1.</w:t>
      </w:r>
      <w:r>
        <w:t xml:space="preserve"> A</w:t>
      </w:r>
      <w:r>
        <w:rPr>
          <w:rFonts w:hint="default"/>
          <w:lang w:val="pt-BR"/>
        </w:rPr>
        <w:t>s</w:t>
      </w:r>
      <w:r>
        <w:t xml:space="preserve"> </w:t>
      </w:r>
      <w:r>
        <w:rPr>
          <w:rFonts w:hint="default"/>
          <w:lang w:val="pt-BR"/>
        </w:rPr>
        <w:t>M</w:t>
      </w:r>
      <w:r>
        <w:t>icroempresa</w:t>
      </w:r>
      <w:r>
        <w:rPr>
          <w:rFonts w:hint="default"/>
          <w:lang w:val="pt-BR"/>
        </w:rPr>
        <w:t>s</w:t>
      </w:r>
      <w:r>
        <w:t xml:space="preserve"> </w:t>
      </w:r>
      <w:r>
        <w:rPr>
          <w:rFonts w:hint="default"/>
          <w:lang w:val="pt-BR"/>
        </w:rPr>
        <w:t>ou as</w:t>
      </w:r>
      <w:r>
        <w:t xml:space="preserve"> </w:t>
      </w:r>
      <w:r>
        <w:rPr>
          <w:rFonts w:hint="default"/>
          <w:lang w:val="pt-BR"/>
        </w:rPr>
        <w:t>E</w:t>
      </w:r>
      <w:r>
        <w:t>mpresa</w:t>
      </w:r>
      <w:r>
        <w:rPr>
          <w:rFonts w:hint="default"/>
          <w:lang w:val="pt-BR"/>
        </w:rPr>
        <w:t>s</w:t>
      </w:r>
      <w:r>
        <w:t xml:space="preserve"> de </w:t>
      </w:r>
      <w:r>
        <w:rPr>
          <w:rFonts w:hint="default"/>
          <w:lang w:val="pt-BR"/>
        </w:rPr>
        <w:t>P</w:t>
      </w:r>
      <w:r>
        <w:t xml:space="preserve">equeno </w:t>
      </w:r>
      <w:r>
        <w:rPr>
          <w:rFonts w:hint="default"/>
          <w:lang w:val="pt-BR"/>
        </w:rPr>
        <w:t>P</w:t>
      </w:r>
      <w:r>
        <w:t xml:space="preserve">orte que </w:t>
      </w:r>
      <w:r>
        <w:rPr>
          <w:rFonts w:hint="default"/>
          <w:lang w:val="pt-BR"/>
        </w:rPr>
        <w:t xml:space="preserve">desejarem </w:t>
      </w:r>
      <w:r>
        <w:t xml:space="preserve">usufruir dos benefícios concedidos pela Lei Complementar Federal n° 123/2006, deverão apresentar no Ato do Credenciamento: </w:t>
      </w:r>
    </w:p>
    <w:p>
      <w:pPr>
        <w:pStyle w:val="373"/>
        <w:keepNext w:val="0"/>
        <w:keepLines w:val="0"/>
        <w:pageBreakBefore w:val="0"/>
        <w:widowControl w:val="0"/>
        <w:numPr>
          <w:ilvl w:val="0"/>
          <w:numId w:val="0"/>
        </w:numPr>
        <w:tabs>
          <w:tab w:val="left" w:pos="480"/>
          <w:tab w:val="left" w:pos="567"/>
          <w:tab w:val="left" w:pos="1985"/>
        </w:tabs>
        <w:kinsoku/>
        <w:wordWrap/>
        <w:overflowPunct/>
        <w:topLinePunct w:val="0"/>
        <w:bidi w:val="0"/>
        <w:snapToGrid/>
        <w:spacing w:before="0" w:beforeAutospacing="0" w:after="120" w:afterAutospacing="0" w:line="240" w:lineRule="auto"/>
        <w:ind w:left="480" w:leftChars="0" w:firstLine="0" w:firstLineChars="0"/>
        <w:textAlignment w:val="auto"/>
        <w:rPr>
          <w:rFonts w:ascii="Arial" w:hAnsi="Arial" w:eastAsia="Times New Roman" w:cs="Arial"/>
          <w:sz w:val="22"/>
          <w:szCs w:val="22"/>
          <w:shd w:val="clear" w:color="auto" w:fill="FFFFFF"/>
        </w:rPr>
      </w:pPr>
      <w:r>
        <w:rPr>
          <w:rFonts w:ascii="Arial" w:hAnsi="Arial" w:eastAsia="Times New Roman" w:cs="Arial"/>
          <w:b/>
          <w:sz w:val="22"/>
          <w:szCs w:val="22"/>
          <w:shd w:val="clear" w:color="auto" w:fill="FFFFFF"/>
        </w:rPr>
        <w:t>8.1.1.</w:t>
      </w:r>
      <w:r>
        <w:rPr>
          <w:rFonts w:ascii="Arial" w:hAnsi="Arial" w:eastAsia="Times New Roman" w:cs="Arial"/>
          <w:sz w:val="22"/>
          <w:szCs w:val="22"/>
          <w:shd w:val="clear" w:color="auto" w:fill="FFFFFF"/>
        </w:rPr>
        <w:t xml:space="preserve"> REQUERIMENTO, assinado por representante/sócio da empresa, solicitando valer-se do tratamento diferenciado concedido à microempresa e empresa de pequeno porte pela LC nº 123, de 2006, regulamentada pelo </w:t>
      </w:r>
      <w:r>
        <w:fldChar w:fldCharType="begin"/>
      </w:r>
      <w:r>
        <w:instrText xml:space="preserve"> HYPERLINK "http://legislacao.planalto.gov.br/legisla/legislacao.nsf/Viw_Identificacao/DEC%208.538-2015?OpenDocument" </w:instrText>
      </w:r>
      <w:r>
        <w:fldChar w:fldCharType="separate"/>
      </w:r>
      <w:r>
        <w:rPr>
          <w:rFonts w:ascii="Arial" w:hAnsi="Arial" w:eastAsia="Times New Roman" w:cs="Arial"/>
          <w:sz w:val="22"/>
          <w:szCs w:val="22"/>
          <w:shd w:val="clear" w:color="auto" w:fill="FFFFFF"/>
        </w:rPr>
        <w:t>Decreto nº 8.538, de 6 de outubro de 2015</w:t>
      </w:r>
      <w:r>
        <w:rPr>
          <w:rFonts w:ascii="Arial" w:hAnsi="Arial" w:eastAsia="Times New Roman" w:cs="Arial"/>
          <w:sz w:val="22"/>
          <w:szCs w:val="22"/>
          <w:shd w:val="clear" w:color="auto" w:fill="FFFFFF"/>
        </w:rPr>
        <w:fldChar w:fldCharType="end"/>
      </w:r>
      <w:r>
        <w:rPr>
          <w:rFonts w:ascii="Arial" w:hAnsi="Arial" w:eastAsia="Times New Roman" w:cs="Arial"/>
          <w:sz w:val="22"/>
          <w:szCs w:val="22"/>
          <w:shd w:val="clear" w:color="auto" w:fill="FFFFFF"/>
        </w:rPr>
        <w:t xml:space="preserve">, podendo utilizar o modelo constante do </w:t>
      </w:r>
      <w:r>
        <w:rPr>
          <w:rFonts w:ascii="Arial" w:hAnsi="Arial" w:eastAsia="Times New Roman" w:cs="Arial"/>
          <w:b/>
          <w:sz w:val="22"/>
          <w:szCs w:val="22"/>
          <w:shd w:val="clear" w:color="auto" w:fill="FFFFFF"/>
        </w:rPr>
        <w:t>Anexo VIII</w:t>
      </w:r>
      <w:r>
        <w:rPr>
          <w:rFonts w:ascii="Arial" w:hAnsi="Arial" w:eastAsia="Times New Roman" w:cs="Arial"/>
          <w:sz w:val="22"/>
          <w:szCs w:val="22"/>
          <w:shd w:val="clear" w:color="auto" w:fill="FFFFFF"/>
        </w:rPr>
        <w:t xml:space="preserve"> deste edital;</w:t>
      </w:r>
    </w:p>
    <w:p>
      <w:pPr>
        <w:pStyle w:val="349"/>
        <w:keepNext w:val="0"/>
        <w:keepLines w:val="0"/>
        <w:pageBreakBefore w:val="0"/>
        <w:kinsoku/>
        <w:wordWrap/>
        <w:overflowPunct/>
        <w:topLinePunct w:val="0"/>
        <w:bidi w:val="0"/>
        <w:snapToGrid/>
        <w:spacing w:before="0" w:beforeAutospacing="0" w:after="120" w:afterAutospacing="0"/>
        <w:ind w:left="960" w:leftChars="0" w:firstLine="0" w:firstLineChars="0"/>
        <w:textAlignment w:val="auto"/>
      </w:pPr>
      <w:r>
        <w:t>8.1.1.1. Deve</w:t>
      </w:r>
      <w:r>
        <w:rPr>
          <w:rFonts w:hint="default"/>
          <w:lang w:val="pt-BR"/>
        </w:rPr>
        <w:t xml:space="preserve">ndo </w:t>
      </w:r>
      <w:r>
        <w:t xml:space="preserve">apresentar </w:t>
      </w:r>
      <w:r>
        <w:rPr>
          <w:rFonts w:hint="default"/>
          <w:lang w:val="pt-BR"/>
        </w:rPr>
        <w:t>também</w:t>
      </w:r>
      <w:r>
        <w:t>:</w:t>
      </w:r>
    </w:p>
    <w:p>
      <w:pPr>
        <w:pStyle w:val="350"/>
        <w:keepNext w:val="0"/>
        <w:keepLines w:val="0"/>
        <w:pageBreakBefore w:val="0"/>
        <w:kinsoku/>
        <w:wordWrap/>
        <w:overflowPunct/>
        <w:topLinePunct w:val="0"/>
        <w:bidi w:val="0"/>
        <w:snapToGrid/>
        <w:spacing w:before="0" w:beforeAutospacing="0" w:after="120" w:afterAutospacing="0"/>
        <w:ind w:left="960" w:leftChars="0" w:firstLine="0" w:firstLineChars="0"/>
        <w:textAlignment w:val="auto"/>
      </w:pPr>
      <w:r>
        <w:t>a.1)</w:t>
      </w:r>
      <w:r>
        <w:rPr>
          <w:rFonts w:hint="default"/>
          <w:lang w:val="pt-BR"/>
        </w:rPr>
        <w:t xml:space="preserve"> </w:t>
      </w:r>
      <w:r>
        <w:rPr>
          <w:b w:val="0"/>
        </w:rPr>
        <w:t>Quando</w:t>
      </w:r>
      <w:r>
        <w:t xml:space="preserve"> optante </w:t>
      </w:r>
      <w:r>
        <w:rPr>
          <w:b w:val="0"/>
        </w:rPr>
        <w:t>pelo</w:t>
      </w:r>
      <w:r>
        <w:t xml:space="preserve"> SIMPLES NACIONAL:</w:t>
      </w:r>
    </w:p>
    <w:p>
      <w:pPr>
        <w:pStyle w:val="78"/>
        <w:keepNext w:val="0"/>
        <w:keepLines w:val="0"/>
        <w:pageBreakBefore w:val="0"/>
        <w:kinsoku/>
        <w:wordWrap/>
        <w:overflowPunct/>
        <w:topLinePunct w:val="0"/>
        <w:bidi w:val="0"/>
        <w:snapToGrid/>
        <w:spacing w:beforeAutospacing="0" w:after="120" w:afterAutospacing="0"/>
        <w:ind w:left="1440" w:leftChars="0" w:firstLine="0" w:firstLineChars="0"/>
        <w:jc w:val="both"/>
        <w:textAlignment w:val="auto"/>
        <w:rPr>
          <w:rFonts w:ascii="Arial" w:hAnsi="Arial" w:cs="Arial"/>
          <w:color w:val="auto"/>
          <w:sz w:val="22"/>
          <w:szCs w:val="22"/>
          <w:lang w:val="pt-BR"/>
        </w:rPr>
      </w:pPr>
      <w:r>
        <w:rPr>
          <w:rFonts w:hint="default" w:ascii="Arial" w:hAnsi="Arial" w:cs="Arial"/>
          <w:b/>
          <w:color w:val="auto"/>
          <w:sz w:val="22"/>
          <w:szCs w:val="22"/>
          <w:lang w:val="pt-BR"/>
        </w:rPr>
        <w:t>a.1.</w:t>
      </w:r>
      <w:r>
        <w:rPr>
          <w:rFonts w:ascii="Arial" w:hAnsi="Arial" w:cs="Arial"/>
          <w:b/>
          <w:color w:val="auto"/>
          <w:sz w:val="22"/>
          <w:szCs w:val="22"/>
          <w:lang w:val="pt-BR"/>
        </w:rPr>
        <w:t>1</w:t>
      </w:r>
      <w:r>
        <w:rPr>
          <w:rFonts w:hint="default" w:ascii="Arial" w:hAnsi="Arial" w:cs="Arial"/>
          <w:b/>
          <w:color w:val="auto"/>
          <w:sz w:val="22"/>
          <w:szCs w:val="22"/>
          <w:lang w:val="pt-BR"/>
        </w:rPr>
        <w:t>)</w:t>
      </w:r>
      <w:r>
        <w:rPr>
          <w:rFonts w:ascii="Arial" w:hAnsi="Arial" w:cs="Arial"/>
          <w:color w:val="auto"/>
          <w:sz w:val="22"/>
          <w:szCs w:val="22"/>
          <w:lang w:val="pt-BR"/>
        </w:rPr>
        <w:t xml:space="preserve"> Comprovante de opção pelo SIMPLES obtido no sítio da Secretaria da Receita Federal;</w:t>
      </w:r>
    </w:p>
    <w:p>
      <w:pPr>
        <w:pStyle w:val="78"/>
        <w:keepNext w:val="0"/>
        <w:keepLines w:val="0"/>
        <w:pageBreakBefore w:val="0"/>
        <w:kinsoku/>
        <w:wordWrap/>
        <w:overflowPunct/>
        <w:topLinePunct w:val="0"/>
        <w:bidi w:val="0"/>
        <w:snapToGrid/>
        <w:spacing w:beforeAutospacing="0" w:after="120" w:afterAutospacing="0"/>
        <w:ind w:left="1440" w:leftChars="0" w:firstLine="0" w:firstLineChars="0"/>
        <w:jc w:val="both"/>
        <w:textAlignment w:val="auto"/>
        <w:rPr>
          <w:rFonts w:ascii="Arial" w:hAnsi="Arial" w:cs="Arial"/>
          <w:color w:val="auto"/>
          <w:sz w:val="22"/>
          <w:szCs w:val="22"/>
          <w:lang w:val="pt-BR"/>
        </w:rPr>
      </w:pPr>
      <w:r>
        <w:rPr>
          <w:rFonts w:hint="default" w:ascii="Arial" w:hAnsi="Arial" w:cs="Arial"/>
          <w:b/>
          <w:color w:val="auto"/>
          <w:sz w:val="22"/>
          <w:szCs w:val="22"/>
          <w:lang w:val="pt-BR"/>
        </w:rPr>
        <w:t>a.1.</w:t>
      </w:r>
      <w:r>
        <w:rPr>
          <w:rFonts w:ascii="Arial" w:hAnsi="Arial" w:cs="Arial"/>
          <w:b/>
          <w:color w:val="auto"/>
          <w:sz w:val="22"/>
          <w:szCs w:val="22"/>
          <w:lang w:val="pt-BR"/>
        </w:rPr>
        <w:t>2</w:t>
      </w:r>
      <w:r>
        <w:rPr>
          <w:rFonts w:hint="default" w:ascii="Arial" w:hAnsi="Arial" w:cs="Arial"/>
          <w:b/>
          <w:color w:val="auto"/>
          <w:sz w:val="22"/>
          <w:szCs w:val="22"/>
          <w:lang w:val="pt-BR"/>
        </w:rPr>
        <w:t>)</w:t>
      </w:r>
      <w:r>
        <w:rPr>
          <w:rFonts w:ascii="Arial" w:hAnsi="Arial" w:cs="Arial"/>
          <w:color w:val="auto"/>
          <w:sz w:val="22"/>
          <w:szCs w:val="22"/>
          <w:lang w:val="pt-BR"/>
        </w:rPr>
        <w:t xml:space="preserve"> Declaração de que não se encontra em nenhuma das situações do § 4º, art. 3º, da Lei Complementar Federal 123/2006;</w:t>
      </w:r>
    </w:p>
    <w:p>
      <w:pPr>
        <w:pStyle w:val="78"/>
        <w:keepNext w:val="0"/>
        <w:keepLines w:val="0"/>
        <w:pageBreakBefore w:val="0"/>
        <w:kinsoku/>
        <w:wordWrap/>
        <w:overflowPunct/>
        <w:topLinePunct w:val="0"/>
        <w:bidi w:val="0"/>
        <w:snapToGrid/>
        <w:spacing w:beforeAutospacing="0" w:after="120" w:afterAutospacing="0"/>
        <w:ind w:left="1440" w:leftChars="0" w:firstLine="0" w:firstLineChars="0"/>
        <w:jc w:val="both"/>
        <w:textAlignment w:val="auto"/>
        <w:rPr>
          <w:rFonts w:hint="default" w:ascii="Arial" w:hAnsi="Arial" w:cs="Arial"/>
          <w:color w:val="auto"/>
          <w:sz w:val="22"/>
          <w:szCs w:val="22"/>
          <w:lang w:val="pt-BR"/>
        </w:rPr>
      </w:pPr>
      <w:r>
        <w:rPr>
          <w:rFonts w:hint="default" w:ascii="Arial" w:hAnsi="Arial" w:cs="Arial"/>
          <w:b/>
          <w:color w:val="auto"/>
          <w:sz w:val="22"/>
          <w:szCs w:val="22"/>
          <w:lang w:val="pt-BR"/>
        </w:rPr>
        <w:t>a.1.</w:t>
      </w:r>
      <w:r>
        <w:rPr>
          <w:rFonts w:ascii="Arial" w:hAnsi="Arial" w:cs="Arial"/>
          <w:b/>
          <w:color w:val="auto"/>
          <w:sz w:val="22"/>
          <w:szCs w:val="22"/>
          <w:lang w:val="pt-BR"/>
        </w:rPr>
        <w:t>3</w:t>
      </w:r>
      <w:r>
        <w:rPr>
          <w:rFonts w:hint="default" w:ascii="Arial" w:hAnsi="Arial" w:cs="Arial"/>
          <w:b/>
          <w:color w:val="auto"/>
          <w:sz w:val="22"/>
          <w:szCs w:val="22"/>
          <w:lang w:val="pt-BR"/>
        </w:rPr>
        <w:t>)</w:t>
      </w:r>
      <w:r>
        <w:rPr>
          <w:rFonts w:ascii="Arial" w:hAnsi="Arial" w:cs="Arial"/>
          <w:color w:val="auto"/>
          <w:sz w:val="22"/>
          <w:szCs w:val="22"/>
          <w:lang w:val="pt-BR"/>
        </w:rPr>
        <w:t xml:space="preserve"> Certidão da Junta Comercial Atualizada</w:t>
      </w:r>
      <w:r>
        <w:rPr>
          <w:rFonts w:hint="default" w:ascii="Arial" w:hAnsi="Arial" w:cs="Arial"/>
          <w:color w:val="auto"/>
          <w:sz w:val="22"/>
          <w:szCs w:val="22"/>
          <w:lang w:val="pt-BR"/>
        </w:rPr>
        <w:t>.</w:t>
      </w:r>
    </w:p>
    <w:p>
      <w:pPr>
        <w:pStyle w:val="350"/>
        <w:keepNext w:val="0"/>
        <w:keepLines w:val="0"/>
        <w:pageBreakBefore w:val="0"/>
        <w:kinsoku/>
        <w:wordWrap/>
        <w:overflowPunct/>
        <w:topLinePunct w:val="0"/>
        <w:bidi w:val="0"/>
        <w:snapToGrid/>
        <w:spacing w:before="0" w:beforeAutospacing="0" w:after="120" w:afterAutospacing="0"/>
        <w:ind w:left="960" w:leftChars="0" w:firstLine="0" w:firstLineChars="0"/>
        <w:textAlignment w:val="auto"/>
      </w:pPr>
      <w:r>
        <w:t xml:space="preserve">a.2) </w:t>
      </w:r>
      <w:r>
        <w:rPr>
          <w:b w:val="0"/>
        </w:rPr>
        <w:t>Quando</w:t>
      </w:r>
      <w:r>
        <w:t xml:space="preserve"> não optante </w:t>
      </w:r>
      <w:r>
        <w:rPr>
          <w:b w:val="0"/>
        </w:rPr>
        <w:t>pelo</w:t>
      </w:r>
      <w:r>
        <w:t xml:space="preserve"> SIMPLES NACIONAL:</w:t>
      </w:r>
    </w:p>
    <w:p>
      <w:pPr>
        <w:keepNext w:val="0"/>
        <w:keepLines w:val="0"/>
        <w:pageBreakBefore w:val="0"/>
        <w:tabs>
          <w:tab w:val="left" w:pos="1200"/>
        </w:tabs>
        <w:kinsoku/>
        <w:wordWrap/>
        <w:overflowPunct/>
        <w:topLinePunct w:val="0"/>
        <w:bidi w:val="0"/>
        <w:snapToGrid/>
        <w:spacing w:beforeAutospacing="0" w:after="120" w:afterAutospacing="0"/>
        <w:ind w:left="1440" w:leftChars="0" w:firstLine="0" w:firstLineChars="0"/>
        <w:jc w:val="both"/>
        <w:textAlignment w:val="auto"/>
        <w:rPr>
          <w:rFonts w:ascii="Arial" w:hAnsi="Arial" w:cs="Arial"/>
          <w:sz w:val="22"/>
          <w:szCs w:val="22"/>
        </w:rPr>
      </w:pPr>
      <w:r>
        <w:rPr>
          <w:rFonts w:hint="default" w:ascii="Arial" w:hAnsi="Arial" w:cs="Arial"/>
          <w:b/>
          <w:sz w:val="22"/>
          <w:szCs w:val="22"/>
          <w:lang w:val="pt-BR"/>
        </w:rPr>
        <w:t>a.1.</w:t>
      </w:r>
      <w:r>
        <w:rPr>
          <w:rFonts w:ascii="Arial" w:hAnsi="Arial" w:cs="Arial"/>
          <w:b/>
          <w:sz w:val="22"/>
          <w:szCs w:val="22"/>
        </w:rPr>
        <w:t>1</w:t>
      </w:r>
      <w:r>
        <w:rPr>
          <w:rFonts w:hint="default" w:ascii="Arial" w:hAnsi="Arial" w:cs="Arial"/>
          <w:b/>
          <w:sz w:val="22"/>
          <w:szCs w:val="22"/>
          <w:lang w:val="pt-BR"/>
        </w:rPr>
        <w:t>)</w:t>
      </w:r>
      <w:r>
        <w:rPr>
          <w:rFonts w:ascii="Arial" w:hAnsi="Arial" w:cs="Arial"/>
          <w:sz w:val="22"/>
          <w:szCs w:val="22"/>
        </w:rPr>
        <w:t xml:space="preserve"> Declaração de imposto de renda ou </w:t>
      </w:r>
      <w:r>
        <w:rPr>
          <w:rFonts w:ascii="Arial" w:hAnsi="Arial" w:cs="Arial"/>
          <w:b/>
          <w:sz w:val="22"/>
          <w:szCs w:val="22"/>
        </w:rPr>
        <w:t>demonstração do resultado do exercício - DRE</w:t>
      </w:r>
      <w:r>
        <w:rPr>
          <w:rFonts w:ascii="Arial" w:hAnsi="Arial" w:cs="Arial"/>
          <w:sz w:val="22"/>
          <w:szCs w:val="22"/>
        </w:rPr>
        <w:t>, comprovando ter receita bruta dentro dos limites estabelecidos nos incisos I e II do art. 3º da LC 123/2006;</w:t>
      </w:r>
    </w:p>
    <w:p>
      <w:pPr>
        <w:keepNext w:val="0"/>
        <w:keepLines w:val="0"/>
        <w:pageBreakBefore w:val="0"/>
        <w:tabs>
          <w:tab w:val="left" w:pos="1200"/>
        </w:tabs>
        <w:kinsoku/>
        <w:wordWrap/>
        <w:overflowPunct/>
        <w:topLinePunct w:val="0"/>
        <w:bidi w:val="0"/>
        <w:snapToGrid/>
        <w:spacing w:beforeAutospacing="0" w:after="120" w:afterAutospacing="0"/>
        <w:ind w:left="1440" w:leftChars="0" w:firstLine="0" w:firstLineChars="0"/>
        <w:jc w:val="both"/>
        <w:textAlignment w:val="auto"/>
        <w:rPr>
          <w:rFonts w:ascii="Arial" w:hAnsi="Arial" w:cs="Arial"/>
          <w:sz w:val="22"/>
          <w:szCs w:val="22"/>
        </w:rPr>
      </w:pPr>
      <w:r>
        <w:rPr>
          <w:rFonts w:hint="default" w:ascii="Arial" w:hAnsi="Arial" w:cs="Arial"/>
          <w:b/>
          <w:sz w:val="22"/>
          <w:szCs w:val="22"/>
          <w:lang w:val="pt-BR"/>
        </w:rPr>
        <w:t>a.1.</w:t>
      </w:r>
      <w:r>
        <w:rPr>
          <w:rFonts w:ascii="Arial" w:hAnsi="Arial" w:cs="Arial"/>
          <w:b/>
          <w:sz w:val="22"/>
          <w:szCs w:val="22"/>
        </w:rPr>
        <w:t>2</w:t>
      </w:r>
      <w:r>
        <w:rPr>
          <w:rFonts w:hint="default" w:ascii="Arial" w:hAnsi="Arial" w:cs="Arial"/>
          <w:b/>
          <w:sz w:val="22"/>
          <w:szCs w:val="22"/>
          <w:lang w:val="pt-BR"/>
        </w:rPr>
        <w:t>)</w:t>
      </w:r>
      <w:r>
        <w:rPr>
          <w:rFonts w:ascii="Arial" w:hAnsi="Arial" w:cs="Arial"/>
          <w:sz w:val="22"/>
          <w:szCs w:val="22"/>
        </w:rPr>
        <w:t xml:space="preserve"> Declaração de que não se encontra em nenhuma das situações do § 4º, art. 3º da LC 123/2006;</w:t>
      </w:r>
    </w:p>
    <w:p>
      <w:pPr>
        <w:keepNext w:val="0"/>
        <w:keepLines w:val="0"/>
        <w:pageBreakBefore w:val="0"/>
        <w:tabs>
          <w:tab w:val="left" w:pos="1200"/>
        </w:tabs>
        <w:kinsoku/>
        <w:wordWrap/>
        <w:overflowPunct/>
        <w:topLinePunct w:val="0"/>
        <w:bidi w:val="0"/>
        <w:snapToGrid/>
        <w:spacing w:beforeAutospacing="0" w:after="120" w:afterAutospacing="0"/>
        <w:ind w:left="1440" w:leftChars="0" w:firstLine="0" w:firstLineChars="0"/>
        <w:jc w:val="both"/>
        <w:textAlignment w:val="auto"/>
        <w:rPr>
          <w:rFonts w:hint="default" w:ascii="Arial" w:hAnsi="Arial" w:cs="Arial"/>
          <w:sz w:val="22"/>
          <w:szCs w:val="22"/>
          <w:lang w:val="pt-BR"/>
        </w:rPr>
      </w:pPr>
      <w:r>
        <w:rPr>
          <w:rFonts w:hint="default" w:ascii="Arial" w:hAnsi="Arial" w:cs="Arial"/>
          <w:b/>
          <w:sz w:val="22"/>
          <w:szCs w:val="22"/>
          <w:lang w:val="pt-BR"/>
        </w:rPr>
        <w:t>a.1.</w:t>
      </w:r>
      <w:r>
        <w:rPr>
          <w:rFonts w:ascii="Arial" w:hAnsi="Arial" w:cs="Arial"/>
          <w:b/>
          <w:sz w:val="22"/>
          <w:szCs w:val="22"/>
        </w:rPr>
        <w:t>3</w:t>
      </w:r>
      <w:r>
        <w:rPr>
          <w:rFonts w:hint="default" w:ascii="Arial" w:hAnsi="Arial" w:cs="Arial"/>
          <w:b/>
          <w:sz w:val="22"/>
          <w:szCs w:val="22"/>
          <w:lang w:val="pt-BR"/>
        </w:rPr>
        <w:t>)</w:t>
      </w:r>
      <w:r>
        <w:rPr>
          <w:rFonts w:ascii="Arial" w:hAnsi="Arial" w:cs="Arial"/>
          <w:sz w:val="22"/>
          <w:szCs w:val="22"/>
        </w:rPr>
        <w:t xml:space="preserve"> Certidão da Junta Comercial Atualizada</w:t>
      </w:r>
      <w:r>
        <w:rPr>
          <w:rFonts w:hint="default" w:ascii="Arial" w:hAnsi="Arial" w:cs="Arial"/>
          <w:sz w:val="22"/>
          <w:szCs w:val="22"/>
          <w:lang w:val="pt-BR"/>
        </w:rPr>
        <w:t>.</w:t>
      </w:r>
    </w:p>
    <w:p>
      <w:pPr>
        <w:pStyle w:val="348"/>
        <w:keepNext w:val="0"/>
        <w:keepLines w:val="0"/>
        <w:pageBreakBefore w:val="0"/>
        <w:kinsoku/>
        <w:wordWrap/>
        <w:overflowPunct/>
        <w:topLinePunct w:val="0"/>
        <w:bidi w:val="0"/>
        <w:snapToGrid/>
        <w:spacing w:before="0" w:beforeAutospacing="0" w:after="120" w:afterAutospacing="0"/>
        <w:textAlignment w:val="auto"/>
      </w:pPr>
      <w:r>
        <w:rPr>
          <w:b/>
        </w:rPr>
        <w:t>8.2.</w:t>
      </w:r>
      <w:r>
        <w:t xml:space="preserve"> Juntamente com o requerimento solicitado no item anterior, no caso de Microempresa </w:t>
      </w:r>
      <w:r>
        <w:rPr>
          <w:rFonts w:hint="default"/>
          <w:lang w:val="pt-BR"/>
        </w:rPr>
        <w:t>ou</w:t>
      </w:r>
      <w:r>
        <w:t xml:space="preserve"> Empresa de Pequeno Porte as quais queiram participar deste certame beneficiando-se do sistema diferenciado elencado na LC 123/2006 deverão apresentar, CERTIDÃO ATUALIZADA emitida pela Junta Comercial para comprovação da condição de microempresa ou Empresa de Pequeno Porte;</w:t>
      </w:r>
    </w:p>
    <w:p>
      <w:pPr>
        <w:pStyle w:val="348"/>
        <w:keepNext w:val="0"/>
        <w:keepLines w:val="0"/>
        <w:pageBreakBefore w:val="0"/>
        <w:kinsoku/>
        <w:wordWrap/>
        <w:overflowPunct/>
        <w:topLinePunct w:val="0"/>
        <w:bidi w:val="0"/>
        <w:snapToGrid/>
        <w:spacing w:before="0" w:beforeAutospacing="0" w:after="120" w:afterAutospacing="0"/>
        <w:textAlignment w:val="auto"/>
      </w:pPr>
      <w:r>
        <w:rPr>
          <w:b/>
        </w:rPr>
        <w:t>8.3.</w:t>
      </w:r>
      <w:r>
        <w:t xml:space="preserve"> A não apresentação da CERTIDÃO citada no item anterior, pela licitante que queira beneficiar-se do sistema diferenciado, no momento do credenciamento, acarretará </w:t>
      </w:r>
      <w:r>
        <w:rPr>
          <w:rFonts w:hint="default"/>
          <w:lang w:val="pt-BR"/>
        </w:rPr>
        <w:t>n</w:t>
      </w:r>
      <w:r>
        <w:t xml:space="preserve">a preclusão </w:t>
      </w:r>
      <w:r>
        <w:rPr>
          <w:rFonts w:hint="default"/>
          <w:lang w:val="pt-BR"/>
        </w:rPr>
        <w:t xml:space="preserve">de tal </w:t>
      </w:r>
      <w:r>
        <w:t>direito</w:t>
      </w:r>
      <w:r>
        <w:rPr>
          <w:rFonts w:hint="default"/>
          <w:lang w:val="pt-BR"/>
        </w:rPr>
        <w:t xml:space="preserve"> </w:t>
      </w:r>
      <w:r>
        <w:t xml:space="preserve">nas demais fases do processo licitatório, não podendo </w:t>
      </w:r>
      <w:r>
        <w:rPr>
          <w:rFonts w:hint="default"/>
          <w:lang w:val="pt-BR"/>
        </w:rPr>
        <w:t>invocá-lo ou solicitá-lo</w:t>
      </w:r>
      <w:r>
        <w:t xml:space="preserve"> posteriormente;</w:t>
      </w:r>
    </w:p>
    <w:p>
      <w:pPr>
        <w:pStyle w:val="348"/>
        <w:keepNext w:val="0"/>
        <w:keepLines w:val="0"/>
        <w:pageBreakBefore w:val="0"/>
        <w:kinsoku/>
        <w:wordWrap/>
        <w:overflowPunct/>
        <w:topLinePunct w:val="0"/>
        <w:bidi w:val="0"/>
        <w:snapToGrid/>
        <w:spacing w:before="0" w:beforeAutospacing="0" w:after="120" w:afterAutospacing="0"/>
        <w:textAlignment w:val="auto"/>
      </w:pPr>
      <w:r>
        <w:rPr>
          <w:b/>
        </w:rPr>
        <w:t>8.4.</w:t>
      </w:r>
      <w:r>
        <w:t xml:space="preserve"> A falsidade de declaração prestada objetivando os benefícios da L</w:t>
      </w:r>
      <w:r>
        <w:rPr>
          <w:rFonts w:hint="default"/>
          <w:lang w:val="pt-BR"/>
        </w:rPr>
        <w:t>.</w:t>
      </w:r>
      <w:r>
        <w:t>C</w:t>
      </w:r>
      <w:r>
        <w:rPr>
          <w:rFonts w:hint="default"/>
          <w:lang w:val="pt-BR"/>
        </w:rPr>
        <w:t>.</w:t>
      </w:r>
      <w:r>
        <w:t xml:space="preserve"> 123/2006, caracterizará crime de que trata o art. 299 do código Penal, sem prejuízo do enquadramento em outras figuras penais e das sanções previstas neste deste edital;</w:t>
      </w:r>
    </w:p>
    <w:p>
      <w:pPr>
        <w:pStyle w:val="348"/>
        <w:keepNext w:val="0"/>
        <w:keepLines w:val="0"/>
        <w:pageBreakBefore w:val="0"/>
        <w:kinsoku/>
        <w:wordWrap/>
        <w:overflowPunct/>
        <w:topLinePunct w:val="0"/>
        <w:bidi w:val="0"/>
        <w:snapToGrid/>
        <w:spacing w:before="0" w:beforeAutospacing="0" w:after="120" w:afterAutospacing="0"/>
        <w:textAlignment w:val="auto"/>
      </w:pPr>
      <w:r>
        <w:rPr>
          <w:b/>
        </w:rPr>
        <w:t>8.5.</w:t>
      </w:r>
      <w:r>
        <w:t xml:space="preserve"> </w:t>
      </w:r>
      <w:r>
        <w:rPr>
          <w:rFonts w:hint="default"/>
          <w:lang w:val="pt-BR"/>
        </w:rPr>
        <w:t>Será observado à</w:t>
      </w:r>
      <w:r>
        <w:t xml:space="preserve">s </w:t>
      </w:r>
      <w:r>
        <w:rPr>
          <w:u w:val="single"/>
        </w:rPr>
        <w:t>Microempresas</w:t>
      </w:r>
      <w:r>
        <w:t xml:space="preserve"> e </w:t>
      </w:r>
      <w:r>
        <w:rPr>
          <w:u w:val="single"/>
        </w:rPr>
        <w:t>Empresas de Pequeno Porte</w:t>
      </w:r>
      <w:r>
        <w:t xml:space="preserve"> beneficiadas pelo regime diferenciado da L</w:t>
      </w:r>
      <w:r>
        <w:rPr>
          <w:rFonts w:hint="default"/>
          <w:lang w:val="pt-BR"/>
        </w:rPr>
        <w:t>.</w:t>
      </w:r>
      <w:r>
        <w:t>C</w:t>
      </w:r>
      <w:r>
        <w:rPr>
          <w:rFonts w:hint="default"/>
          <w:lang w:val="pt-BR"/>
        </w:rPr>
        <w:t>.</w:t>
      </w:r>
      <w:r>
        <w:t xml:space="preserve"> 123/2006,</w:t>
      </w:r>
      <w:r>
        <w:rPr>
          <w:rFonts w:hint="default"/>
          <w:lang w:val="pt-BR"/>
        </w:rPr>
        <w:t xml:space="preserve"> desde que atendido o exposto no item 8.1. deste edital,</w:t>
      </w:r>
      <w:r>
        <w:t xml:space="preserve"> conforme segue:</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rPr>
          <w:b w:val="0"/>
        </w:rPr>
      </w:pPr>
      <w:r>
        <w:t xml:space="preserve">8.5.1. </w:t>
      </w:r>
      <w:r>
        <w:rPr>
          <w:b w:val="0"/>
        </w:rPr>
        <w:t xml:space="preserve">O enquadramento como </w:t>
      </w:r>
      <w:r>
        <w:rPr>
          <w:rFonts w:hint="default"/>
          <w:b w:val="0"/>
          <w:lang w:val="pt-BR"/>
        </w:rPr>
        <w:t>M</w:t>
      </w:r>
      <w:r>
        <w:rPr>
          <w:b w:val="0"/>
        </w:rPr>
        <w:t>icroempresa ou Empresa de Pequeno Porte dar-se-á nas condições do Estatuto Nacional da Microempresa e Empresa de Pequeno Porte, instituído pela Lei Complementar nº 123 de 14 de dezembro de 2006, em especial em seu art. 3º, observando-se a inocorrência de quaisquer impedimentos do § 4º do mesmo artigo;</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rPr>
          <w:b w:val="0"/>
        </w:rPr>
      </w:pPr>
      <w:r>
        <w:t xml:space="preserve">8.5.2. </w:t>
      </w:r>
      <w:r>
        <w:rPr>
          <w:b w:val="0"/>
        </w:rPr>
        <w:t>A pessoa física ou o empresário individual enquadrado nos limites definidos pelo art. 3º da Lei Complementar nº 123/2006 receberá o mesmo tratamento concedido pela Lei Complementar 123 de 14 de dezembro de 2006, às Microempresas e Empresa e Pequeno Porte;</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rPr>
          <w:b w:val="0"/>
        </w:rPr>
      </w:pPr>
      <w:r>
        <w:t xml:space="preserve">8.5.3. </w:t>
      </w:r>
      <w:r>
        <w:rPr>
          <w:b w:val="0"/>
          <w:bCs w:val="0"/>
        </w:rPr>
        <w:t>A</w:t>
      </w:r>
      <w:r>
        <w:t xml:space="preserve"> </w:t>
      </w:r>
      <w:r>
        <w:rPr>
          <w:b w:val="0"/>
        </w:rPr>
        <w:t xml:space="preserve">fruição dos benefícios licitatórios determinados pela Lei Complementar nº 123/2006 independente da habilitação da Microempresa, </w:t>
      </w:r>
      <w:r>
        <w:rPr>
          <w:rFonts w:hint="default"/>
          <w:b w:val="0"/>
          <w:lang w:val="pt-BR"/>
        </w:rPr>
        <w:t>E</w:t>
      </w:r>
      <w:r>
        <w:rPr>
          <w:b w:val="0"/>
        </w:rPr>
        <w:t>mpresa de Pequeno Porte ou Equiparado para a obtenção do regime tributário simplificado;</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rPr>
          <w:b w:val="0"/>
        </w:rPr>
      </w:pPr>
      <w:r>
        <w:t xml:space="preserve">8.5.4. </w:t>
      </w:r>
      <w:r>
        <w:rPr>
          <w:b w:val="0"/>
        </w:rPr>
        <w:t xml:space="preserve">Os licitantes que se enquadram nas situações previstas no art. 3º da Lei Complementar nº 123, de 14 de dezembro de 2006, e </w:t>
      </w:r>
      <w:r>
        <w:rPr>
          <w:rFonts w:hint="default"/>
          <w:b w:val="0"/>
          <w:lang w:val="pt-BR"/>
        </w:rPr>
        <w:t xml:space="preserve">que </w:t>
      </w:r>
      <w:r>
        <w:rPr>
          <w:b w:val="0"/>
        </w:rPr>
        <w:t>n</w:t>
      </w:r>
      <w:r>
        <w:rPr>
          <w:rFonts w:hint="default"/>
          <w:b w:val="0"/>
          <w:lang w:val="pt-BR"/>
        </w:rPr>
        <w:t>ão</w:t>
      </w:r>
      <w:r>
        <w:rPr>
          <w:b w:val="0"/>
        </w:rPr>
        <w:t xml:space="preserve"> possu</w:t>
      </w:r>
      <w:r>
        <w:rPr>
          <w:rFonts w:hint="default"/>
          <w:b w:val="0"/>
          <w:lang w:val="pt-BR"/>
        </w:rPr>
        <w:t>a</w:t>
      </w:r>
      <w:r>
        <w:rPr>
          <w:b w:val="0"/>
        </w:rPr>
        <w:t xml:space="preserve">m quaisquer dos impedimentos do § 4º do artigo citado, deverão apresentar declaração, sob as penas da lei, de que cumprem os requisitos legais para a qualificação como </w:t>
      </w:r>
      <w:r>
        <w:rPr>
          <w:rFonts w:hint="default"/>
          <w:b w:val="0"/>
          <w:lang w:val="pt-BR"/>
        </w:rPr>
        <w:t>M</w:t>
      </w:r>
      <w:r>
        <w:rPr>
          <w:b w:val="0"/>
        </w:rPr>
        <w:t xml:space="preserve">icroempresa, </w:t>
      </w:r>
      <w:r>
        <w:rPr>
          <w:rFonts w:hint="default"/>
          <w:b w:val="0"/>
          <w:lang w:val="pt-BR"/>
        </w:rPr>
        <w:t>E</w:t>
      </w:r>
      <w:r>
        <w:rPr>
          <w:b w:val="0"/>
        </w:rPr>
        <w:t xml:space="preserve">mpresa de </w:t>
      </w:r>
      <w:r>
        <w:rPr>
          <w:rFonts w:hint="default"/>
          <w:b w:val="0"/>
          <w:lang w:val="pt-BR"/>
        </w:rPr>
        <w:t>P</w:t>
      </w:r>
      <w:r>
        <w:rPr>
          <w:b w:val="0"/>
        </w:rPr>
        <w:t xml:space="preserve">equeno </w:t>
      </w:r>
      <w:r>
        <w:rPr>
          <w:rFonts w:hint="default"/>
          <w:b w:val="0"/>
          <w:lang w:val="pt-BR"/>
        </w:rPr>
        <w:t>P</w:t>
      </w:r>
      <w:r>
        <w:rPr>
          <w:b w:val="0"/>
        </w:rPr>
        <w:t>orte ou equiparado, estando aptos a usufruir do tratamento favorecido estabelecido nos arts. 42 a 49 da referida Lei</w:t>
      </w:r>
      <w:r>
        <w:rPr>
          <w:rFonts w:hint="default"/>
          <w:b w:val="0"/>
          <w:lang w:val="pt-BR"/>
        </w:rPr>
        <w:t xml:space="preserve">, conforme modelo do </w:t>
      </w:r>
      <w:r>
        <w:rPr>
          <w:rFonts w:hint="default"/>
          <w:b/>
          <w:bCs w:val="0"/>
          <w:lang w:val="pt-BR"/>
        </w:rPr>
        <w:t>Anexo VIII</w:t>
      </w:r>
      <w:r>
        <w:rPr>
          <w:b w:val="0"/>
        </w:rPr>
        <w:t>;</w:t>
      </w:r>
    </w:p>
    <w:p>
      <w:pPr>
        <w:pStyle w:val="349"/>
        <w:keepNext w:val="0"/>
        <w:keepLines w:val="0"/>
        <w:pageBreakBefore w:val="0"/>
        <w:kinsoku/>
        <w:wordWrap/>
        <w:overflowPunct/>
        <w:topLinePunct w:val="0"/>
        <w:bidi w:val="0"/>
        <w:snapToGrid/>
        <w:spacing w:before="0" w:beforeAutospacing="0" w:after="120" w:afterAutospacing="0"/>
        <w:ind w:left="480" w:leftChars="200" w:firstLine="0" w:firstLineChars="0"/>
        <w:textAlignment w:val="auto"/>
        <w:rPr>
          <w:b w:val="0"/>
        </w:rPr>
      </w:pPr>
      <w:r>
        <w:t xml:space="preserve">8.5.5. </w:t>
      </w:r>
      <w:r>
        <w:rPr>
          <w:b w:val="0"/>
        </w:rPr>
        <w:t>A sociedade que deixar de atender à exigência do item acima não poderá fazê-lo posteriormente. Nesse caso, a não apresentação da declaração importará na renúncia pelo interessado do tratamento consagrado na Lei complementar nº 123/2006.</w:t>
      </w:r>
    </w:p>
    <w:p>
      <w:pPr>
        <w:pStyle w:val="348"/>
        <w:keepNext w:val="0"/>
        <w:keepLines w:val="0"/>
        <w:pageBreakBefore w:val="0"/>
        <w:kinsoku/>
        <w:wordWrap/>
        <w:overflowPunct/>
        <w:topLinePunct w:val="0"/>
        <w:bidi w:val="0"/>
        <w:snapToGrid/>
        <w:spacing w:before="0" w:beforeAutospacing="0" w:after="120" w:afterAutospacing="0"/>
        <w:textAlignment w:val="auto"/>
        <w:rPr>
          <w:rFonts w:hint="default"/>
          <w:b w:val="0"/>
          <w:bCs w:val="0"/>
        </w:rPr>
      </w:pPr>
      <w:r>
        <w:rPr>
          <w:rFonts w:hint="default"/>
          <w:b/>
          <w:lang w:val="pt-BR"/>
        </w:rPr>
        <w:t>8.6</w:t>
      </w:r>
      <w:r>
        <w:rPr>
          <w:rFonts w:hint="default"/>
          <w:b/>
        </w:rPr>
        <w:t>.</w:t>
      </w:r>
      <w:r>
        <w:rPr>
          <w:rFonts w:hint="default"/>
          <w:b/>
          <w:lang w:val="pt-BR"/>
        </w:rPr>
        <w:t xml:space="preserve"> </w:t>
      </w:r>
      <w:r>
        <w:rPr>
          <w:rFonts w:hint="default"/>
          <w:b/>
        </w:rPr>
        <w:tab/>
      </w:r>
      <w:r>
        <w:rPr>
          <w:rFonts w:hint="default"/>
          <w:b w:val="0"/>
          <w:bCs w:val="0"/>
        </w:rPr>
        <w:t>Para atender os objetivos da promoç</w:t>
      </w:r>
      <w:r>
        <w:rPr>
          <w:rFonts w:hint="default"/>
          <w:b w:val="0"/>
          <w:bCs w:val="0"/>
          <w:lang w:val="pt-BR"/>
        </w:rPr>
        <w:t>ão</w:t>
      </w:r>
      <w:r>
        <w:rPr>
          <w:rFonts w:hint="default"/>
          <w:b w:val="0"/>
          <w:bCs w:val="0"/>
        </w:rPr>
        <w:t xml:space="preserve"> do desenvolvimento economico-social no ambito municipal e regional, a ampliaçao da eficiencia das ploticas públicas e o incentivo à inovaçao tecnologica, previstos na Lei Municipal</w:t>
      </w:r>
      <w:r>
        <w:rPr>
          <w:rFonts w:hint="default"/>
          <w:b w:val="0"/>
          <w:bCs w:val="0"/>
          <w:lang w:val="pt-BR"/>
        </w:rPr>
        <w:t xml:space="preserve"> nº </w:t>
      </w:r>
      <w:r>
        <w:rPr>
          <w:rFonts w:hint="default"/>
          <w:b w:val="0"/>
          <w:bCs w:val="0"/>
        </w:rPr>
        <w:t>1.953/2021 e no artigo 47 da Lei Complementar Federal 123/2006, os beneficios referidos nesta lei deverao priorizar a contrataçao com microempresas e empresas de pequeno porte ou regionalmente, até por limite de 10% (dez por cento) do melhor preço valido</w:t>
      </w:r>
      <w:r>
        <w:rPr>
          <w:rFonts w:hint="default"/>
          <w:b w:val="0"/>
          <w:bCs w:val="0"/>
          <w:lang w:val="pt-BR"/>
        </w:rPr>
        <w:t>, proporcionará o direito de preferência (empate ficto)</w:t>
      </w:r>
      <w:r>
        <w:rPr>
          <w:rFonts w:hint="default"/>
          <w:b w:val="0"/>
          <w:bCs w:val="0"/>
        </w:rPr>
        <w:t>.</w:t>
      </w:r>
    </w:p>
    <w:p>
      <w:pPr>
        <w:spacing w:beforeLines="0" w:afterLines="0"/>
        <w:jc w:val="both"/>
        <w:rPr>
          <w:rFonts w:hint="default" w:ascii="Arial" w:hAnsi="Arial" w:eastAsia="Calibri"/>
          <w:b w:val="0"/>
          <w:bCs/>
          <w:sz w:val="24"/>
          <w:szCs w:val="24"/>
        </w:rPr>
      </w:pPr>
      <w:r>
        <w:rPr>
          <w:rFonts w:hint="default" w:ascii="Arial" w:hAnsi="Arial" w:eastAsia="Calibri"/>
          <w:b/>
          <w:bCs w:val="0"/>
          <w:sz w:val="24"/>
          <w:szCs w:val="24"/>
          <w:lang w:val="pt-BR"/>
        </w:rPr>
        <w:t xml:space="preserve">8.6.1 </w:t>
      </w:r>
      <w:r>
        <w:rPr>
          <w:rFonts w:hint="default" w:ascii="Arial" w:hAnsi="Arial" w:eastAsia="Calibri"/>
          <w:b w:val="0"/>
          <w:bCs/>
          <w:sz w:val="24"/>
          <w:szCs w:val="24"/>
        </w:rPr>
        <w:tab/>
      </w:r>
      <w:r>
        <w:rPr>
          <w:rFonts w:hint="default" w:ascii="Arial" w:hAnsi="Arial" w:eastAsia="Calibri"/>
          <w:b w:val="0"/>
          <w:bCs/>
          <w:sz w:val="22"/>
          <w:szCs w:val="22"/>
        </w:rPr>
        <w:t>Em consonancia com o Anexo V da Lei n° 10.340 de 19 de novembro de 2015, pertencem a regionalidade da REGIAO V - SUDESTE as cidades de: Rondonopolis (cidade polo), Gaucha do Norte, Paranatinga, Santo Antonio do Leste, Campo Verde, Prmavera do Leste, Dom Aquino, Poxoreu, Tesouro, Jaciara, Sao Pedro da Cipa, Juscimeira, Pedra Preta, Guiratinga, São José do Povo, Itiquira, Alto Garças, Alto Araguaia, Alto Taquari;</w:t>
      </w:r>
    </w:p>
    <w:p>
      <w:pPr>
        <w:spacing w:beforeLines="0" w:afterLines="0"/>
        <w:jc w:val="both"/>
        <w:rPr>
          <w:rFonts w:hint="default" w:ascii="Arial" w:hAnsi="Arial" w:eastAsia="Calibri"/>
          <w:b w:val="0"/>
          <w:bCs/>
          <w:sz w:val="24"/>
          <w:szCs w:val="24"/>
        </w:rPr>
      </w:pPr>
    </w:p>
    <w:p>
      <w:pPr>
        <w:pStyle w:val="145"/>
      </w:pPr>
      <w:bookmarkStart w:id="17" w:name="_Toc514666336"/>
      <w:r>
        <w:t>DO RECEBIMENTO E ABERTURA DOS ENVELOPES</w:t>
      </w:r>
      <w:bookmarkEnd w:id="17"/>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9.1.</w:t>
      </w:r>
      <w:r>
        <w:t xml:space="preserve"> No dia, hora e local designados neste Edital em ato público, na presença dos licitantes</w:t>
      </w:r>
      <w:r>
        <w:rPr>
          <w:rFonts w:hint="default"/>
          <w:lang w:val="pt-BR"/>
        </w:rPr>
        <w:t xml:space="preserve"> que estiverem presentes,</w:t>
      </w:r>
      <w:r>
        <w:t xml:space="preserve"> os envelopes “DOCUMENTOS DE HABILITAÇÃO” </w:t>
      </w:r>
      <w:r>
        <w:rPr>
          <w:rFonts w:hint="default"/>
          <w:lang w:val="pt-BR"/>
        </w:rPr>
        <w:t xml:space="preserve">“PROPOSTA TÉCNICA  </w:t>
      </w:r>
      <w:r>
        <w:t>e “PROPOSTA DE PREÇOS”, deverão ser entregues à Comissão de Licitação, fechados por cola ou lacre, com as indicações externas, de forma visível e perfeitamente identificável;</w:t>
      </w:r>
    </w:p>
    <w:p>
      <w:pPr>
        <w:pStyle w:val="375"/>
        <w:keepNext w:val="0"/>
        <w:keepLines w:val="0"/>
        <w:pageBreakBefore w:val="0"/>
        <w:widowControl w:val="0"/>
        <w:numPr>
          <w:ilvl w:val="2"/>
          <w:numId w:val="18"/>
        </w:numPr>
        <w:tabs>
          <w:tab w:val="left" w:pos="-7797"/>
          <w:tab w:val="left" w:pos="426"/>
          <w:tab w:val="left" w:pos="709"/>
          <w:tab w:val="left" w:pos="1200"/>
          <w:tab w:val="left" w:pos="1418"/>
          <w:tab w:val="left" w:pos="1985"/>
          <w:tab w:val="left" w:pos="2552"/>
          <w:tab w:val="left" w:pos="3402"/>
        </w:tabs>
        <w:kinsoku/>
        <w:wordWrap/>
        <w:overflowPunct/>
        <w:topLinePunct w:val="0"/>
        <w:autoSpaceDE/>
        <w:autoSpaceDN/>
        <w:bidi w:val="0"/>
        <w:adjustRightInd/>
        <w:snapToGrid/>
        <w:spacing w:before="0" w:beforeAutospacing="0" w:after="120" w:afterAutospacing="0" w:line="240" w:lineRule="auto"/>
        <w:ind w:left="480" w:leftChars="0" w:firstLine="0" w:firstLineChars="0"/>
        <w:textAlignment w:val="auto"/>
        <w:rPr>
          <w:rFonts w:ascii="Arial" w:hAnsi="Arial" w:cs="Arial"/>
          <w:sz w:val="22"/>
          <w:szCs w:val="22"/>
        </w:rPr>
      </w:pPr>
      <w:r>
        <w:rPr>
          <w:rFonts w:ascii="Arial" w:hAnsi="Arial" w:cs="Arial"/>
          <w:sz w:val="22"/>
          <w:szCs w:val="22"/>
        </w:rPr>
        <w:t xml:space="preserve">Os atos públicos </w:t>
      </w:r>
      <w:r>
        <w:rPr>
          <w:rFonts w:ascii="Arial" w:hAnsi="Arial" w:cs="Arial"/>
          <w:sz w:val="22"/>
          <w:szCs w:val="22"/>
          <w:u w:val="single"/>
        </w:rPr>
        <w:t>poderão ser assistidos por qualquer pessoa</w:t>
      </w:r>
      <w:r>
        <w:rPr>
          <w:rFonts w:ascii="Arial" w:hAnsi="Arial" w:cs="Arial"/>
          <w:sz w:val="22"/>
          <w:szCs w:val="22"/>
        </w:rPr>
        <w:t xml:space="preserve">, mas somente deles participarão ativamente os licitantes ou representantes credenciados, </w:t>
      </w:r>
      <w:r>
        <w:rPr>
          <w:rFonts w:ascii="Arial" w:hAnsi="Arial" w:cs="Arial"/>
          <w:b/>
          <w:sz w:val="22"/>
          <w:szCs w:val="22"/>
        </w:rPr>
        <w:t>não sendo permitida a intercomunicação entre eles</w:t>
      </w:r>
      <w:r>
        <w:rPr>
          <w:rFonts w:ascii="Arial" w:hAnsi="Arial" w:cs="Arial"/>
          <w:sz w:val="22"/>
          <w:szCs w:val="22"/>
        </w:rPr>
        <w:t xml:space="preserve">, nem </w:t>
      </w:r>
      <w:r>
        <w:rPr>
          <w:rFonts w:ascii="Arial" w:hAnsi="Arial" w:cs="Arial"/>
          <w:sz w:val="22"/>
          <w:szCs w:val="22"/>
          <w:u w:val="single"/>
        </w:rPr>
        <w:t>atitudes desrespeitosas ou que causem tumultos e perturbem o bom andamento dos trabalhos;</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9.2.</w:t>
      </w:r>
      <w:r>
        <w:t xml:space="preserve"> Declarada aberta à sessão pelo Presidente da Comissão de Licitação, o(s) representante(s) da(s) empresa(s) licitante(s) entregará (ão) os envelopes, não sendo aceita, a partir desse momento a admissão de novos licitantes, tampouco ser</w:t>
      </w:r>
      <w:r>
        <w:rPr>
          <w:rFonts w:hint="default"/>
          <w:lang w:val="pt-BR"/>
        </w:rPr>
        <w:t>á</w:t>
      </w:r>
      <w:r>
        <w:t xml:space="preserve"> permitido quaisquer adendos ou esclarecimentos relativos à documentação ou proposta de preços apresentadas;</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9.3.</w:t>
      </w:r>
      <w:r>
        <w:t xml:space="preserve"> Os envelopes dos Documentos de Habilitação </w:t>
      </w:r>
      <w:r>
        <w:rPr>
          <w:rFonts w:hint="default"/>
          <w:lang w:val="pt-BR"/>
        </w:rPr>
        <w:t xml:space="preserve">Proposta técnica </w:t>
      </w:r>
      <w:r>
        <w:t xml:space="preserve">e Propostas de Preços deverão ser apresentados fechados e rubricados no </w:t>
      </w:r>
      <w:r>
        <w:rPr>
          <w:rFonts w:hint="default"/>
          <w:lang w:val="pt-BR"/>
        </w:rPr>
        <w:t>lacre</w:t>
      </w:r>
      <w:r>
        <w:t>, contendo em seu exterior, as seguintes informações:</w:t>
      </w:r>
    </w:p>
    <w:tbl>
      <w:tblPr>
        <w:tblStyle w:val="12"/>
        <w:tblW w:w="9072" w:type="dxa"/>
        <w:jc w:val="center"/>
        <w:tblBorders>
          <w:top w:val="thinThickSmallGap" w:color="auto" w:sz="24" w:space="0"/>
          <w:left w:val="thinThickSmallGap" w:color="auto" w:sz="24" w:space="0"/>
          <w:bottom w:val="thickThinSmallGap" w:color="auto" w:sz="24" w:space="0"/>
          <w:right w:val="thickThinSmallGap" w:color="auto" w:sz="24" w:space="0"/>
          <w:insideH w:val="thinThickSmallGap" w:color="auto" w:sz="24" w:space="0"/>
          <w:insideV w:val="thinThickSmallGap" w:color="auto" w:sz="24" w:space="0"/>
        </w:tblBorders>
        <w:shd w:val="clear" w:color="auto" w:fill="F2F2F2"/>
        <w:tblLayout w:type="fixed"/>
        <w:tblCellMar>
          <w:top w:w="0" w:type="dxa"/>
          <w:left w:w="108" w:type="dxa"/>
          <w:bottom w:w="0" w:type="dxa"/>
          <w:right w:w="108" w:type="dxa"/>
        </w:tblCellMar>
      </w:tblPr>
      <w:tblGrid>
        <w:gridCol w:w="9072"/>
      </w:tblGrid>
      <w:tr>
        <w:tblPrEx>
          <w:tblBorders>
            <w:top w:val="thinThickSmallGap" w:color="auto" w:sz="24" w:space="0"/>
            <w:left w:val="thinThickSmallGap" w:color="auto" w:sz="24" w:space="0"/>
            <w:bottom w:val="thickThinSmallGap" w:color="auto" w:sz="24" w:space="0"/>
            <w:right w:val="thickThinSmallGap" w:color="auto" w:sz="24" w:space="0"/>
            <w:insideH w:val="thinThickSmallGap" w:color="auto" w:sz="24" w:space="0"/>
            <w:insideV w:val="thinThickSmallGap" w:color="auto" w:sz="24" w:space="0"/>
          </w:tblBorders>
          <w:shd w:val="clear" w:color="auto" w:fill="F2F2F2"/>
          <w:tblCellMar>
            <w:top w:w="0" w:type="dxa"/>
            <w:left w:w="108" w:type="dxa"/>
            <w:bottom w:w="0" w:type="dxa"/>
            <w:right w:w="108" w:type="dxa"/>
          </w:tblCellMar>
        </w:tblPrEx>
        <w:trPr>
          <w:jc w:val="center"/>
        </w:trPr>
        <w:tc>
          <w:tcPr>
            <w:tcW w:w="9072" w:type="dxa"/>
            <w:shd w:val="clear" w:color="auto" w:fill="F2F2F2"/>
          </w:tcPr>
          <w:p>
            <w:pPr>
              <w:tabs>
                <w:tab w:val="right" w:pos="8838"/>
              </w:tabs>
              <w:autoSpaceDE w:val="0"/>
              <w:autoSpaceDN w:val="0"/>
              <w:adjustRightInd w:val="0"/>
              <w:ind w:right="8"/>
              <w:outlineLvl w:val="0"/>
              <w:rPr>
                <w:rFonts w:ascii="Arial" w:hAnsi="Arial" w:cs="Arial"/>
                <w:b/>
                <w:bCs/>
              </w:rPr>
            </w:pPr>
            <w:r>
              <w:rPr>
                <w:rFonts w:ascii="Arial" w:hAnsi="Arial" w:cs="Arial"/>
                <w:b/>
                <w:bCs/>
              </w:rPr>
              <w:t>ENVELOPE 01 - DOCUMENTOS DE HABILITAÇÃO</w:t>
            </w:r>
          </w:p>
          <w:p>
            <w:pPr>
              <w:tabs>
                <w:tab w:val="right" w:pos="8838"/>
              </w:tabs>
              <w:autoSpaceDE w:val="0"/>
              <w:autoSpaceDN w:val="0"/>
              <w:adjustRightInd w:val="0"/>
              <w:ind w:right="8"/>
              <w:outlineLvl w:val="0"/>
              <w:rPr>
                <w:rFonts w:ascii="Arial" w:hAnsi="Arial" w:cs="Arial"/>
                <w:b/>
                <w:bCs/>
              </w:rPr>
            </w:pPr>
            <w:r>
              <w:rPr>
                <w:rFonts w:ascii="Arial" w:hAnsi="Arial" w:cs="Arial"/>
                <w:b/>
                <w:bCs/>
              </w:rPr>
              <w:t>PREFEITURA MUNICIPAL DE PRIMAVERA DO LESTE</w:t>
            </w:r>
          </w:p>
          <w:p>
            <w:pPr>
              <w:tabs>
                <w:tab w:val="right" w:pos="8838"/>
              </w:tabs>
              <w:autoSpaceDE w:val="0"/>
              <w:autoSpaceDN w:val="0"/>
              <w:adjustRightInd w:val="0"/>
              <w:ind w:right="8"/>
              <w:outlineLvl w:val="0"/>
              <w:rPr>
                <w:rFonts w:hint="default" w:ascii="Arial" w:hAnsi="Arial" w:cs="Arial"/>
                <w:b/>
                <w:bCs/>
                <w:lang w:val="pt-BR"/>
              </w:rPr>
            </w:pPr>
            <w:r>
              <w:rPr>
                <w:rFonts w:ascii="Arial" w:hAnsi="Arial" w:cs="Arial"/>
                <w:b/>
                <w:bCs/>
              </w:rPr>
              <w:t xml:space="preserve"> </w:t>
            </w:r>
            <w:r>
              <w:rPr>
                <w:rFonts w:ascii="Arial" w:hAnsi="Arial" w:cs="Arial"/>
                <w:b/>
                <w:bCs/>
                <w:u w:val="single"/>
              </w:rPr>
              <w:t xml:space="preserve">EDITAL </w:t>
            </w:r>
            <w:r>
              <w:rPr>
                <w:rFonts w:ascii="Arial" w:hAnsi="Arial" w:cs="Arial"/>
                <w:b/>
                <w:u w:val="single"/>
              </w:rPr>
              <w:t>TOMADA DE PREÇO</w:t>
            </w:r>
            <w:r>
              <w:rPr>
                <w:rFonts w:hint="default" w:ascii="Arial" w:hAnsi="Arial" w:cs="Arial"/>
                <w:b/>
                <w:u w:val="single"/>
                <w:lang w:val="pt-BR"/>
              </w:rPr>
              <w:t>S</w:t>
            </w:r>
            <w:r>
              <w:rPr>
                <w:rFonts w:ascii="Arial" w:hAnsi="Arial" w:cs="Arial"/>
                <w:b/>
                <w:bCs/>
                <w:u w:val="single"/>
              </w:rPr>
              <w:t xml:space="preserve"> </w:t>
            </w:r>
            <w:r>
              <w:rPr>
                <w:rFonts w:ascii="Arial" w:hAnsi="Arial" w:cs="Arial"/>
                <w:b/>
                <w:bCs/>
              </w:rPr>
              <w:t xml:space="preserve">Nº. </w:t>
            </w:r>
            <w:r>
              <w:rPr>
                <w:rFonts w:ascii="Arial" w:hAnsi="Arial" w:cs="Arial"/>
                <w:b/>
                <w:bCs/>
                <w:lang w:val="pt-BR"/>
              </w:rPr>
              <w:t>005/2023</w:t>
            </w:r>
            <w:r>
              <w:rPr>
                <w:rFonts w:ascii="Arial" w:hAnsi="Arial" w:cs="Arial"/>
                <w:b/>
                <w:bCs/>
              </w:rPr>
              <w:t xml:space="preserve"> PROCESSO Nº </w:t>
            </w:r>
            <w:r>
              <w:rPr>
                <w:rFonts w:ascii="Arial" w:hAnsi="Arial" w:cs="Arial"/>
                <w:b/>
                <w:bCs/>
                <w:lang w:val="pt-BR"/>
              </w:rPr>
              <w:t>1058/2023</w:t>
            </w:r>
          </w:p>
          <w:p>
            <w:pPr>
              <w:tabs>
                <w:tab w:val="right" w:pos="8838"/>
              </w:tabs>
              <w:autoSpaceDE w:val="0"/>
              <w:autoSpaceDN w:val="0"/>
              <w:adjustRightInd w:val="0"/>
              <w:ind w:right="8"/>
              <w:outlineLvl w:val="0"/>
              <w:rPr>
                <w:rFonts w:ascii="Arial" w:hAnsi="Arial" w:cs="Arial"/>
                <w:b/>
                <w:bCs/>
              </w:rPr>
            </w:pPr>
            <w:r>
              <w:rPr>
                <w:rFonts w:ascii="Arial" w:hAnsi="Arial" w:cs="Arial"/>
                <w:b/>
                <w:bCs/>
              </w:rPr>
              <w:t>RAZÃO SOCIAL DA LICITANTE</w:t>
            </w:r>
          </w:p>
          <w:p>
            <w:pPr>
              <w:tabs>
                <w:tab w:val="right" w:pos="8838"/>
              </w:tabs>
              <w:autoSpaceDE w:val="0"/>
              <w:autoSpaceDN w:val="0"/>
              <w:adjustRightInd w:val="0"/>
              <w:ind w:right="8"/>
              <w:rPr>
                <w:rFonts w:ascii="Arial" w:hAnsi="Arial" w:cs="Arial"/>
                <w:b/>
                <w:bCs/>
              </w:rPr>
            </w:pPr>
            <w:r>
              <w:rPr>
                <w:rFonts w:ascii="Arial" w:hAnsi="Arial" w:cs="Arial"/>
                <w:b/>
                <w:bCs/>
              </w:rPr>
              <w:t>CNPJ Nº. ________________________</w:t>
            </w:r>
          </w:p>
          <w:p>
            <w:pPr>
              <w:tabs>
                <w:tab w:val="right" w:pos="8838"/>
              </w:tabs>
              <w:autoSpaceDE w:val="0"/>
              <w:autoSpaceDN w:val="0"/>
              <w:adjustRightInd w:val="0"/>
              <w:ind w:right="8"/>
              <w:outlineLvl w:val="0"/>
              <w:rPr>
                <w:b/>
                <w:bCs/>
              </w:rPr>
            </w:pPr>
            <w:r>
              <w:rPr>
                <w:rFonts w:ascii="Arial" w:hAnsi="Arial" w:cs="Arial"/>
                <w:b/>
                <w:bCs/>
              </w:rPr>
              <w:t xml:space="preserve">DATA/HORA: </w:t>
            </w:r>
            <w:r>
              <w:rPr>
                <w:rFonts w:hint="default" w:ascii="Arial" w:hAnsi="Arial" w:cs="Arial"/>
                <w:b/>
                <w:bCs/>
                <w:lang w:val="pt-BR"/>
              </w:rPr>
              <w:t>29/11/2023</w:t>
            </w:r>
            <w:r>
              <w:rPr>
                <w:rFonts w:ascii="Arial" w:hAnsi="Arial" w:cs="Arial"/>
                <w:b/>
                <w:bCs/>
              </w:rPr>
              <w:t xml:space="preserve"> ÀS </w:t>
            </w:r>
            <w:r>
              <w:rPr>
                <w:rFonts w:hint="default" w:ascii="Arial" w:hAnsi="Arial" w:cs="Arial"/>
                <w:b/>
                <w:bCs/>
                <w:lang w:val="pt-BR"/>
              </w:rPr>
              <w:t>07:30</w:t>
            </w:r>
            <w:r>
              <w:rPr>
                <w:rFonts w:ascii="Arial" w:hAnsi="Arial" w:cs="Arial"/>
                <w:b/>
                <w:bCs/>
              </w:rPr>
              <w:t xml:space="preserve"> HS.</w:t>
            </w:r>
          </w:p>
        </w:tc>
      </w:tr>
    </w:tbl>
    <w:tbl>
      <w:tblPr>
        <w:tblStyle w:val="12"/>
        <w:tblpPr w:leftFromText="180" w:rightFromText="180" w:vertAnchor="text" w:horzAnchor="page" w:tblpX="1924" w:tblpY="283"/>
        <w:tblOverlap w:val="never"/>
        <w:tblW w:w="9072" w:type="dxa"/>
        <w:tblInd w:w="0" w:type="dxa"/>
        <w:tblBorders>
          <w:top w:val="thinThickSmallGap" w:color="auto" w:sz="18" w:space="0"/>
          <w:left w:val="thinThickSmallGap" w:color="auto" w:sz="18" w:space="0"/>
          <w:bottom w:val="thickThinSmallGap" w:color="auto" w:sz="18" w:space="0"/>
          <w:right w:val="thickThinSmallGap" w:color="auto" w:sz="18" w:space="0"/>
          <w:insideH w:val="none" w:color="auto" w:sz="0" w:space="0"/>
          <w:insideV w:val="none" w:color="auto" w:sz="0" w:space="0"/>
        </w:tblBorders>
        <w:shd w:val="clear" w:color="auto" w:fill="F2F2F2"/>
        <w:tblLayout w:type="fixed"/>
        <w:tblCellMar>
          <w:top w:w="0" w:type="dxa"/>
          <w:left w:w="108" w:type="dxa"/>
          <w:bottom w:w="0" w:type="dxa"/>
          <w:right w:w="108" w:type="dxa"/>
        </w:tblCellMar>
      </w:tblPr>
      <w:tblGrid>
        <w:gridCol w:w="9072"/>
      </w:tblGrid>
      <w:tr>
        <w:tblPrEx>
          <w:tblBorders>
            <w:top w:val="thinThickSmallGap" w:color="auto" w:sz="18" w:space="0"/>
            <w:left w:val="thinThickSmallGap" w:color="auto" w:sz="18" w:space="0"/>
            <w:bottom w:val="thickThinSmallGap" w:color="auto" w:sz="18" w:space="0"/>
            <w:right w:val="thickThinSmallGap" w:color="auto" w:sz="18" w:space="0"/>
            <w:insideH w:val="none" w:color="auto" w:sz="0" w:space="0"/>
            <w:insideV w:val="none" w:color="auto" w:sz="0" w:space="0"/>
          </w:tblBorders>
          <w:tblCellMar>
            <w:top w:w="0" w:type="dxa"/>
            <w:left w:w="108" w:type="dxa"/>
            <w:bottom w:w="0" w:type="dxa"/>
            <w:right w:w="108" w:type="dxa"/>
          </w:tblCellMar>
        </w:tblPrEx>
        <w:tc>
          <w:tcPr>
            <w:tcW w:w="9072" w:type="dxa"/>
            <w:shd w:val="clear" w:color="auto" w:fill="F2F2F2"/>
          </w:tcPr>
          <w:p>
            <w:pPr>
              <w:tabs>
                <w:tab w:val="right" w:pos="8838"/>
              </w:tabs>
              <w:autoSpaceDE w:val="0"/>
              <w:autoSpaceDN w:val="0"/>
              <w:adjustRightInd w:val="0"/>
              <w:ind w:right="8"/>
              <w:jc w:val="both"/>
              <w:outlineLvl w:val="0"/>
              <w:rPr>
                <w:rFonts w:hint="default" w:ascii="Arial" w:hAnsi="Arial" w:cs="Arial"/>
                <w:b/>
                <w:bCs/>
                <w:lang w:val="pt-BR"/>
              </w:rPr>
            </w:pPr>
            <w:r>
              <w:rPr>
                <w:rFonts w:ascii="Arial" w:hAnsi="Arial" w:cs="Arial"/>
                <w:b/>
                <w:bCs/>
              </w:rPr>
              <w:t>ENVELOPE 02 - PROPOSTA</w:t>
            </w:r>
            <w:r>
              <w:rPr>
                <w:rFonts w:hint="default" w:ascii="Arial" w:hAnsi="Arial" w:cs="Arial"/>
                <w:b/>
                <w:bCs/>
                <w:lang w:val="pt-BR"/>
              </w:rPr>
              <w:t xml:space="preserve"> TÉCNICA</w:t>
            </w:r>
          </w:p>
          <w:p>
            <w:pPr>
              <w:tabs>
                <w:tab w:val="right" w:pos="8838"/>
              </w:tabs>
              <w:autoSpaceDE w:val="0"/>
              <w:autoSpaceDN w:val="0"/>
              <w:adjustRightInd w:val="0"/>
              <w:ind w:right="8"/>
              <w:outlineLvl w:val="0"/>
              <w:rPr>
                <w:rFonts w:ascii="Arial" w:hAnsi="Arial" w:cs="Arial"/>
                <w:b/>
                <w:bCs/>
              </w:rPr>
            </w:pPr>
            <w:r>
              <w:rPr>
                <w:rFonts w:ascii="Arial" w:hAnsi="Arial" w:cs="Arial"/>
                <w:b/>
                <w:bCs/>
              </w:rPr>
              <w:t>PREFEITURA MUNICIPAL DE PRIMAVERA DO LESTE</w:t>
            </w:r>
          </w:p>
          <w:p>
            <w:pPr>
              <w:tabs>
                <w:tab w:val="right" w:pos="8838"/>
              </w:tabs>
              <w:autoSpaceDE w:val="0"/>
              <w:autoSpaceDN w:val="0"/>
              <w:adjustRightInd w:val="0"/>
              <w:ind w:right="8"/>
              <w:outlineLvl w:val="0"/>
              <w:rPr>
                <w:rFonts w:hint="default" w:ascii="Arial" w:hAnsi="Arial" w:cs="Arial"/>
                <w:b/>
                <w:bCs/>
                <w:lang w:val="pt-BR"/>
              </w:rPr>
            </w:pPr>
            <w:r>
              <w:rPr>
                <w:rFonts w:ascii="Arial" w:hAnsi="Arial" w:cs="Arial"/>
                <w:b/>
                <w:bCs/>
              </w:rPr>
              <w:t xml:space="preserve"> </w:t>
            </w:r>
            <w:r>
              <w:rPr>
                <w:rFonts w:ascii="Arial" w:hAnsi="Arial" w:cs="Arial"/>
                <w:b/>
                <w:bCs/>
                <w:u w:val="single"/>
              </w:rPr>
              <w:t xml:space="preserve">EDITAL </w:t>
            </w:r>
            <w:r>
              <w:rPr>
                <w:rFonts w:ascii="Arial" w:hAnsi="Arial" w:cs="Arial"/>
                <w:b/>
                <w:u w:val="single"/>
              </w:rPr>
              <w:t>TOMADA DE PREÇO</w:t>
            </w:r>
            <w:r>
              <w:rPr>
                <w:rFonts w:hint="default" w:ascii="Arial" w:hAnsi="Arial" w:cs="Arial"/>
                <w:b/>
                <w:u w:val="single"/>
                <w:lang w:val="pt-BR"/>
              </w:rPr>
              <w:t>S</w:t>
            </w:r>
            <w:r>
              <w:rPr>
                <w:rFonts w:ascii="Arial" w:hAnsi="Arial" w:cs="Arial"/>
                <w:b/>
                <w:bCs/>
                <w:u w:val="single"/>
              </w:rPr>
              <w:t xml:space="preserve"> </w:t>
            </w:r>
            <w:r>
              <w:rPr>
                <w:rFonts w:ascii="Arial" w:hAnsi="Arial" w:cs="Arial"/>
                <w:b/>
                <w:bCs/>
              </w:rPr>
              <w:t xml:space="preserve">Nº. </w:t>
            </w:r>
            <w:r>
              <w:rPr>
                <w:rFonts w:ascii="Arial" w:hAnsi="Arial" w:cs="Arial"/>
                <w:b/>
                <w:bCs/>
                <w:lang w:val="pt-BR"/>
              </w:rPr>
              <w:t>005/2023</w:t>
            </w:r>
            <w:r>
              <w:rPr>
                <w:rFonts w:ascii="Arial" w:hAnsi="Arial" w:cs="Arial"/>
                <w:b/>
                <w:bCs/>
              </w:rPr>
              <w:t xml:space="preserve"> PROCESSO Nº </w:t>
            </w:r>
            <w:r>
              <w:rPr>
                <w:rFonts w:ascii="Arial" w:hAnsi="Arial" w:cs="Arial"/>
                <w:b/>
                <w:bCs/>
                <w:lang w:val="pt-BR"/>
              </w:rPr>
              <w:t>1058/2023</w:t>
            </w:r>
          </w:p>
          <w:p>
            <w:pPr>
              <w:tabs>
                <w:tab w:val="right" w:pos="8838"/>
              </w:tabs>
              <w:autoSpaceDE w:val="0"/>
              <w:autoSpaceDN w:val="0"/>
              <w:adjustRightInd w:val="0"/>
              <w:ind w:right="8"/>
              <w:outlineLvl w:val="0"/>
              <w:rPr>
                <w:rFonts w:ascii="Arial" w:hAnsi="Arial" w:cs="Arial"/>
                <w:b/>
                <w:bCs/>
              </w:rPr>
            </w:pPr>
            <w:r>
              <w:rPr>
                <w:rFonts w:ascii="Arial" w:hAnsi="Arial" w:cs="Arial"/>
                <w:b/>
                <w:bCs/>
              </w:rPr>
              <w:t>RAZÃO SOCIAL DA LICITANTE</w:t>
            </w:r>
          </w:p>
          <w:p>
            <w:pPr>
              <w:tabs>
                <w:tab w:val="right" w:pos="8838"/>
              </w:tabs>
              <w:autoSpaceDE w:val="0"/>
              <w:autoSpaceDN w:val="0"/>
              <w:adjustRightInd w:val="0"/>
              <w:ind w:right="8"/>
              <w:rPr>
                <w:rFonts w:ascii="Arial" w:hAnsi="Arial" w:cs="Arial"/>
                <w:b/>
                <w:bCs/>
              </w:rPr>
            </w:pPr>
            <w:r>
              <w:rPr>
                <w:rFonts w:ascii="Arial" w:hAnsi="Arial" w:cs="Arial"/>
                <w:b/>
                <w:bCs/>
              </w:rPr>
              <w:t>CNPJ Nº. ________________________</w:t>
            </w:r>
          </w:p>
          <w:p>
            <w:pPr>
              <w:tabs>
                <w:tab w:val="right" w:pos="8838"/>
              </w:tabs>
              <w:autoSpaceDE w:val="0"/>
              <w:autoSpaceDN w:val="0"/>
              <w:adjustRightInd w:val="0"/>
              <w:ind w:right="8"/>
              <w:jc w:val="both"/>
              <w:rPr>
                <w:b/>
                <w:bCs/>
              </w:rPr>
            </w:pPr>
            <w:r>
              <w:rPr>
                <w:rFonts w:ascii="Arial" w:hAnsi="Arial" w:cs="Arial"/>
                <w:b/>
                <w:bCs/>
              </w:rPr>
              <w:t xml:space="preserve">DATA/HORA: </w:t>
            </w:r>
            <w:r>
              <w:rPr>
                <w:rFonts w:hint="default" w:ascii="Arial" w:hAnsi="Arial" w:cs="Arial"/>
                <w:b/>
                <w:bCs/>
                <w:lang w:val="pt-BR"/>
              </w:rPr>
              <w:t>29/11/2023</w:t>
            </w:r>
            <w:r>
              <w:rPr>
                <w:rFonts w:ascii="Arial" w:hAnsi="Arial" w:cs="Arial"/>
                <w:b/>
                <w:bCs/>
              </w:rPr>
              <w:t xml:space="preserve"> ÀS </w:t>
            </w:r>
            <w:r>
              <w:rPr>
                <w:rFonts w:hint="default" w:ascii="Arial" w:hAnsi="Arial" w:cs="Arial"/>
                <w:b/>
                <w:bCs/>
                <w:lang w:val="pt-BR"/>
              </w:rPr>
              <w:t>07:30</w:t>
            </w:r>
            <w:r>
              <w:rPr>
                <w:rFonts w:ascii="Arial" w:hAnsi="Arial" w:cs="Arial"/>
                <w:b/>
                <w:bCs/>
              </w:rPr>
              <w:t xml:space="preserve"> HS.</w:t>
            </w:r>
          </w:p>
        </w:tc>
      </w:tr>
    </w:tbl>
    <w:tbl>
      <w:tblPr>
        <w:tblStyle w:val="12"/>
        <w:tblpPr w:leftFromText="180" w:rightFromText="180" w:vertAnchor="text" w:horzAnchor="page" w:tblpX="1882" w:tblpY="2416"/>
        <w:tblOverlap w:val="never"/>
        <w:tblW w:w="9072" w:type="dxa"/>
        <w:tblInd w:w="0" w:type="dxa"/>
        <w:tblBorders>
          <w:top w:val="thinThickSmallGap" w:color="auto" w:sz="18" w:space="0"/>
          <w:left w:val="thinThickSmallGap" w:color="auto" w:sz="18" w:space="0"/>
          <w:bottom w:val="thickThinSmallGap" w:color="auto" w:sz="18" w:space="0"/>
          <w:right w:val="thickThinSmallGap" w:color="auto" w:sz="18" w:space="0"/>
          <w:insideH w:val="none" w:color="auto" w:sz="0" w:space="0"/>
          <w:insideV w:val="none" w:color="auto" w:sz="0" w:space="0"/>
        </w:tblBorders>
        <w:shd w:val="clear" w:color="auto" w:fill="F2F2F2"/>
        <w:tblLayout w:type="fixed"/>
        <w:tblCellMar>
          <w:top w:w="0" w:type="dxa"/>
          <w:left w:w="108" w:type="dxa"/>
          <w:bottom w:w="0" w:type="dxa"/>
          <w:right w:w="108" w:type="dxa"/>
        </w:tblCellMar>
      </w:tblPr>
      <w:tblGrid>
        <w:gridCol w:w="9072"/>
      </w:tblGrid>
      <w:tr>
        <w:tblPrEx>
          <w:tblBorders>
            <w:top w:val="thinThickSmallGap" w:color="auto" w:sz="18" w:space="0"/>
            <w:left w:val="thinThickSmallGap" w:color="auto" w:sz="18" w:space="0"/>
            <w:bottom w:val="thickThinSmallGap" w:color="auto" w:sz="18" w:space="0"/>
            <w:right w:val="thickThinSmallGap" w:color="auto" w:sz="18" w:space="0"/>
            <w:insideH w:val="none" w:color="auto" w:sz="0" w:space="0"/>
            <w:insideV w:val="none" w:color="auto" w:sz="0" w:space="0"/>
          </w:tblBorders>
          <w:shd w:val="clear" w:color="auto" w:fill="F2F2F2"/>
          <w:tblCellMar>
            <w:top w:w="0" w:type="dxa"/>
            <w:left w:w="108" w:type="dxa"/>
            <w:bottom w:w="0" w:type="dxa"/>
            <w:right w:w="108" w:type="dxa"/>
          </w:tblCellMar>
        </w:tblPrEx>
        <w:tc>
          <w:tcPr>
            <w:tcW w:w="9072" w:type="dxa"/>
            <w:shd w:val="clear" w:color="auto" w:fill="F2F2F2"/>
            <w:vAlign w:val="top"/>
          </w:tcPr>
          <w:p>
            <w:pPr>
              <w:tabs>
                <w:tab w:val="right" w:pos="8838"/>
              </w:tabs>
              <w:autoSpaceDE w:val="0"/>
              <w:autoSpaceDN w:val="0"/>
              <w:adjustRightInd w:val="0"/>
              <w:ind w:right="8"/>
              <w:jc w:val="both"/>
              <w:outlineLvl w:val="0"/>
              <w:rPr>
                <w:rFonts w:ascii="Arial" w:hAnsi="Arial" w:cs="Arial"/>
                <w:b/>
                <w:bCs/>
              </w:rPr>
            </w:pPr>
            <w:r>
              <w:rPr>
                <w:rFonts w:ascii="Arial" w:hAnsi="Arial" w:cs="Arial"/>
                <w:b/>
                <w:bCs/>
              </w:rPr>
              <w:t>ENVELOPE 0</w:t>
            </w:r>
            <w:r>
              <w:rPr>
                <w:rFonts w:hint="default" w:ascii="Arial" w:hAnsi="Arial" w:cs="Arial"/>
                <w:b/>
                <w:bCs/>
                <w:lang w:val="pt-BR"/>
              </w:rPr>
              <w:t>3</w:t>
            </w:r>
            <w:r>
              <w:rPr>
                <w:rFonts w:ascii="Arial" w:hAnsi="Arial" w:cs="Arial"/>
                <w:b/>
                <w:bCs/>
              </w:rPr>
              <w:t xml:space="preserve"> - PROPOSTA DE PREÇOS</w:t>
            </w:r>
          </w:p>
          <w:p>
            <w:pPr>
              <w:tabs>
                <w:tab w:val="right" w:pos="8838"/>
              </w:tabs>
              <w:autoSpaceDE w:val="0"/>
              <w:autoSpaceDN w:val="0"/>
              <w:adjustRightInd w:val="0"/>
              <w:ind w:right="8"/>
              <w:outlineLvl w:val="0"/>
              <w:rPr>
                <w:rFonts w:ascii="Arial" w:hAnsi="Arial" w:cs="Arial"/>
                <w:b/>
                <w:bCs/>
              </w:rPr>
            </w:pPr>
            <w:r>
              <w:rPr>
                <w:rFonts w:ascii="Arial" w:hAnsi="Arial" w:cs="Arial"/>
                <w:b/>
                <w:bCs/>
              </w:rPr>
              <w:t>PREFEITURA MUNICIPAL DE PRIMAVERA DO LESTE</w:t>
            </w:r>
          </w:p>
          <w:p>
            <w:pPr>
              <w:tabs>
                <w:tab w:val="right" w:pos="8838"/>
              </w:tabs>
              <w:autoSpaceDE w:val="0"/>
              <w:autoSpaceDN w:val="0"/>
              <w:adjustRightInd w:val="0"/>
              <w:ind w:right="8"/>
              <w:outlineLvl w:val="0"/>
              <w:rPr>
                <w:rFonts w:hint="default" w:ascii="Arial" w:hAnsi="Arial" w:cs="Arial"/>
                <w:b/>
                <w:bCs/>
                <w:lang w:val="pt-BR"/>
              </w:rPr>
            </w:pPr>
            <w:r>
              <w:rPr>
                <w:rFonts w:ascii="Arial" w:hAnsi="Arial" w:cs="Arial"/>
                <w:b/>
                <w:bCs/>
              </w:rPr>
              <w:t xml:space="preserve"> </w:t>
            </w:r>
            <w:r>
              <w:rPr>
                <w:rFonts w:ascii="Arial" w:hAnsi="Arial" w:cs="Arial"/>
                <w:b/>
                <w:bCs/>
                <w:u w:val="single"/>
              </w:rPr>
              <w:t xml:space="preserve">EDITAL </w:t>
            </w:r>
            <w:r>
              <w:rPr>
                <w:rFonts w:ascii="Arial" w:hAnsi="Arial" w:cs="Arial"/>
                <w:b/>
                <w:u w:val="single"/>
              </w:rPr>
              <w:t>TOMADA DE PREÇO</w:t>
            </w:r>
            <w:r>
              <w:rPr>
                <w:rFonts w:hint="default" w:ascii="Arial" w:hAnsi="Arial" w:cs="Arial"/>
                <w:b/>
                <w:u w:val="single"/>
                <w:lang w:val="pt-BR"/>
              </w:rPr>
              <w:t>S</w:t>
            </w:r>
            <w:r>
              <w:rPr>
                <w:rFonts w:ascii="Arial" w:hAnsi="Arial" w:cs="Arial"/>
                <w:b/>
                <w:bCs/>
                <w:u w:val="single"/>
              </w:rPr>
              <w:t xml:space="preserve"> </w:t>
            </w:r>
            <w:r>
              <w:rPr>
                <w:rFonts w:ascii="Arial" w:hAnsi="Arial" w:cs="Arial"/>
                <w:b/>
                <w:bCs/>
              </w:rPr>
              <w:t xml:space="preserve">Nº. </w:t>
            </w:r>
            <w:r>
              <w:rPr>
                <w:rFonts w:ascii="Arial" w:hAnsi="Arial" w:cs="Arial"/>
                <w:b/>
                <w:bCs/>
                <w:lang w:val="pt-BR"/>
              </w:rPr>
              <w:t>005/2023</w:t>
            </w:r>
            <w:r>
              <w:rPr>
                <w:rFonts w:ascii="Arial" w:hAnsi="Arial" w:cs="Arial"/>
                <w:b/>
                <w:bCs/>
              </w:rPr>
              <w:t xml:space="preserve"> PROCESSO Nº </w:t>
            </w:r>
            <w:r>
              <w:rPr>
                <w:rFonts w:ascii="Arial" w:hAnsi="Arial" w:cs="Arial"/>
                <w:b/>
                <w:bCs/>
                <w:lang w:val="pt-BR"/>
              </w:rPr>
              <w:t>1058/2023</w:t>
            </w:r>
          </w:p>
          <w:p>
            <w:pPr>
              <w:tabs>
                <w:tab w:val="right" w:pos="8838"/>
              </w:tabs>
              <w:autoSpaceDE w:val="0"/>
              <w:autoSpaceDN w:val="0"/>
              <w:adjustRightInd w:val="0"/>
              <w:ind w:right="8"/>
              <w:outlineLvl w:val="0"/>
              <w:rPr>
                <w:rFonts w:ascii="Arial" w:hAnsi="Arial" w:cs="Arial"/>
                <w:b/>
                <w:bCs/>
              </w:rPr>
            </w:pPr>
            <w:r>
              <w:rPr>
                <w:rFonts w:ascii="Arial" w:hAnsi="Arial" w:cs="Arial"/>
                <w:b/>
                <w:bCs/>
              </w:rPr>
              <w:t>RAZÃO SOCIAL DA LICITANTE</w:t>
            </w:r>
          </w:p>
          <w:p>
            <w:pPr>
              <w:tabs>
                <w:tab w:val="right" w:pos="8838"/>
              </w:tabs>
              <w:autoSpaceDE w:val="0"/>
              <w:autoSpaceDN w:val="0"/>
              <w:adjustRightInd w:val="0"/>
              <w:ind w:right="8"/>
              <w:rPr>
                <w:rFonts w:ascii="Arial" w:hAnsi="Arial" w:cs="Arial"/>
                <w:b/>
                <w:bCs/>
              </w:rPr>
            </w:pPr>
            <w:r>
              <w:rPr>
                <w:rFonts w:ascii="Arial" w:hAnsi="Arial" w:cs="Arial"/>
                <w:b/>
                <w:bCs/>
              </w:rPr>
              <w:t>CNPJ Nº. ________________________</w:t>
            </w:r>
          </w:p>
          <w:p>
            <w:pPr>
              <w:tabs>
                <w:tab w:val="right" w:pos="8838"/>
              </w:tabs>
              <w:autoSpaceDE w:val="0"/>
              <w:autoSpaceDN w:val="0"/>
              <w:adjustRightInd w:val="0"/>
              <w:ind w:right="8"/>
              <w:jc w:val="both"/>
              <w:rPr>
                <w:b/>
                <w:bCs/>
              </w:rPr>
            </w:pPr>
            <w:r>
              <w:rPr>
                <w:rFonts w:ascii="Arial" w:hAnsi="Arial" w:cs="Arial"/>
                <w:b/>
                <w:bCs/>
              </w:rPr>
              <w:t xml:space="preserve">DATA/HORA: </w:t>
            </w:r>
            <w:r>
              <w:rPr>
                <w:rFonts w:hint="default" w:ascii="Arial" w:hAnsi="Arial" w:cs="Arial"/>
                <w:b/>
                <w:bCs/>
                <w:lang w:val="pt-BR"/>
              </w:rPr>
              <w:t>29/11/2023</w:t>
            </w:r>
            <w:r>
              <w:rPr>
                <w:rFonts w:ascii="Arial" w:hAnsi="Arial" w:cs="Arial"/>
                <w:b/>
                <w:bCs/>
              </w:rPr>
              <w:t xml:space="preserve"> ÀS </w:t>
            </w:r>
            <w:r>
              <w:rPr>
                <w:rFonts w:hint="default" w:ascii="Arial" w:hAnsi="Arial" w:cs="Arial"/>
                <w:b/>
                <w:bCs/>
                <w:lang w:val="pt-BR"/>
              </w:rPr>
              <w:t>07:30</w:t>
            </w:r>
            <w:r>
              <w:rPr>
                <w:rFonts w:ascii="Arial" w:hAnsi="Arial" w:cs="Arial"/>
                <w:b/>
                <w:bCs/>
              </w:rPr>
              <w:t xml:space="preserve"> HS.</w:t>
            </w:r>
          </w:p>
        </w:tc>
      </w:tr>
    </w:tbl>
    <w:p>
      <w:pPr>
        <w:pStyle w:val="348"/>
      </w:pP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rFonts w:hint="default"/>
          <w:lang w:val="pt-BR"/>
        </w:rPr>
      </w:pPr>
      <w:r>
        <w:rPr>
          <w:b/>
        </w:rPr>
        <w:t>9.4.</w:t>
      </w:r>
      <w:r>
        <w:t xml:space="preserve"> Inicialmente, será aberto o </w:t>
      </w:r>
      <w:r>
        <w:rPr>
          <w:u w:val="single"/>
        </w:rPr>
        <w:t>ENVELOPE 01</w:t>
      </w:r>
      <w:r>
        <w:t xml:space="preserve"> e</w:t>
      </w:r>
      <w:r>
        <w:rPr>
          <w:rFonts w:hint="default"/>
          <w:lang w:val="pt-BR"/>
        </w:rPr>
        <w:t xml:space="preserve"> analisado o contido neste</w:t>
      </w:r>
      <w:r>
        <w:t>, após,</w:t>
      </w:r>
      <w:r>
        <w:rPr>
          <w:rFonts w:hint="default"/>
          <w:lang w:val="pt-BR"/>
        </w:rPr>
        <w:t xml:space="preserve"> será aberto</w:t>
      </w:r>
      <w:r>
        <w:t xml:space="preserve"> o </w:t>
      </w:r>
      <w:r>
        <w:rPr>
          <w:u w:val="single"/>
        </w:rPr>
        <w:t>ENVELOPE 02</w:t>
      </w:r>
      <w:r>
        <w:rPr>
          <w:rFonts w:hint="default"/>
          <w:u w:val="none"/>
          <w:lang w:val="pt-BR"/>
        </w:rPr>
        <w:t xml:space="preserve">; depois será aberto o </w:t>
      </w:r>
      <w:r>
        <w:rPr>
          <w:rFonts w:hint="default"/>
          <w:u w:val="single"/>
          <w:lang w:val="pt-BR"/>
        </w:rPr>
        <w:t>ENVELOPE 03</w:t>
      </w:r>
      <w:r>
        <w:rPr>
          <w:rFonts w:hint="default"/>
          <w:u w:val="none"/>
          <w:lang w:val="pt-BR"/>
        </w:rPr>
        <w:t>.</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9.5.</w:t>
      </w:r>
      <w:r>
        <w:t xml:space="preserve"> As licitantes </w:t>
      </w:r>
      <w:r>
        <w:rPr>
          <w:u w:val="single"/>
        </w:rPr>
        <w:t>deverão</w:t>
      </w:r>
      <w:r>
        <w:t xml:space="preserve"> apresentar os documentos estritamente necessários, evitando duplicidade e inclusão de documentos </w:t>
      </w:r>
      <w:r>
        <w:rPr>
          <w:u w:val="single"/>
        </w:rPr>
        <w:t>supérfluos ou dispensáveis</w:t>
      </w:r>
      <w:r>
        <w:t>;</w:t>
      </w:r>
    </w:p>
    <w:p>
      <w:pPr>
        <w:keepNext w:val="0"/>
        <w:keepLines w:val="0"/>
        <w:pageBreakBefore w:val="0"/>
        <w:kinsoku/>
        <w:wordWrap/>
        <w:overflowPunct/>
        <w:topLinePunct w:val="0"/>
        <w:autoSpaceDE/>
        <w:autoSpaceDN/>
        <w:bidi w:val="0"/>
        <w:adjustRightInd/>
        <w:snapToGrid/>
        <w:spacing w:beforeAutospacing="0" w:after="120" w:afterAutospacing="0"/>
        <w:jc w:val="both"/>
        <w:textAlignment w:val="auto"/>
        <w:rPr>
          <w:sz w:val="22"/>
          <w:szCs w:val="22"/>
          <w:highlight w:val="none"/>
        </w:rPr>
      </w:pPr>
      <w:r>
        <w:rPr>
          <w:rFonts w:ascii="Arial" w:hAnsi="Arial" w:cs="Arial"/>
          <w:b/>
          <w:i/>
          <w:sz w:val="22"/>
          <w:szCs w:val="22"/>
          <w:highlight w:val="none"/>
          <w:u w:val="single"/>
        </w:rPr>
        <w:t>9.6.</w:t>
      </w:r>
      <w:r>
        <w:rPr>
          <w:rFonts w:ascii="Arial" w:hAnsi="Arial" w:cs="Arial"/>
          <w:i/>
          <w:sz w:val="22"/>
          <w:szCs w:val="22"/>
          <w:highlight w:val="none"/>
          <w:u w:val="single"/>
        </w:rPr>
        <w:t xml:space="preserve"> </w:t>
      </w:r>
      <w:r>
        <w:rPr>
          <w:rFonts w:ascii="Arial" w:hAnsi="Arial" w:cs="Arial"/>
          <w:i/>
          <w:iCs w:val="0"/>
          <w:sz w:val="22"/>
          <w:szCs w:val="22"/>
          <w:highlight w:val="none"/>
          <w:u w:val="single"/>
        </w:rPr>
        <w:t>Os documentos deverão ser apresentados</w:t>
      </w:r>
      <w:r>
        <w:rPr>
          <w:rFonts w:hint="default" w:ascii="Arial" w:hAnsi="Arial" w:cs="Arial"/>
          <w:i/>
          <w:iCs w:val="0"/>
          <w:sz w:val="22"/>
          <w:szCs w:val="22"/>
          <w:highlight w:val="none"/>
          <w:u w:val="single"/>
          <w:lang w:val="pt-BR"/>
        </w:rPr>
        <w:t>, preferencialmente</w:t>
      </w:r>
      <w:r>
        <w:rPr>
          <w:rFonts w:ascii="Arial" w:hAnsi="Arial" w:cs="Arial"/>
          <w:i/>
          <w:iCs w:val="0"/>
          <w:sz w:val="22"/>
          <w:szCs w:val="22"/>
          <w:highlight w:val="none"/>
          <w:u w:val="single"/>
        </w:rPr>
        <w:t xml:space="preserve"> </w:t>
      </w:r>
      <w:r>
        <w:rPr>
          <w:rFonts w:hint="default" w:ascii="Arial" w:hAnsi="Arial" w:cs="Arial"/>
          <w:i/>
          <w:iCs w:val="0"/>
          <w:sz w:val="22"/>
          <w:szCs w:val="22"/>
          <w:highlight w:val="none"/>
          <w:u w:val="single"/>
          <w:lang w:val="pt-BR"/>
        </w:rPr>
        <w:t xml:space="preserve">de forma </w:t>
      </w:r>
      <w:r>
        <w:rPr>
          <w:rFonts w:ascii="Arial" w:hAnsi="Arial" w:cs="Arial"/>
          <w:i/>
          <w:iCs w:val="0"/>
          <w:sz w:val="22"/>
          <w:szCs w:val="22"/>
          <w:highlight w:val="none"/>
          <w:u w:val="single"/>
        </w:rPr>
        <w:t xml:space="preserve">ordenada, </w:t>
      </w:r>
      <w:r>
        <w:rPr>
          <w:rFonts w:hint="default" w:ascii="Arial" w:hAnsi="Arial" w:cs="Arial"/>
          <w:i/>
          <w:iCs w:val="0"/>
          <w:sz w:val="22"/>
          <w:szCs w:val="22"/>
          <w:highlight w:val="none"/>
          <w:u w:val="single"/>
          <w:lang w:val="pt-BR"/>
        </w:rPr>
        <w:t xml:space="preserve">e </w:t>
      </w:r>
      <w:r>
        <w:rPr>
          <w:rFonts w:ascii="Arial" w:hAnsi="Arial" w:cs="Arial"/>
          <w:i/>
          <w:iCs w:val="0"/>
          <w:sz w:val="22"/>
          <w:szCs w:val="22"/>
          <w:highlight w:val="none"/>
          <w:u w:val="single"/>
        </w:rPr>
        <w:t xml:space="preserve">numerados </w:t>
      </w:r>
      <w:r>
        <w:rPr>
          <w:rFonts w:hint="default" w:ascii="Arial" w:hAnsi="Arial" w:cs="Arial"/>
          <w:i/>
          <w:iCs w:val="0"/>
          <w:sz w:val="22"/>
          <w:szCs w:val="22"/>
          <w:highlight w:val="none"/>
          <w:u w:val="single"/>
          <w:lang w:val="pt-BR"/>
        </w:rPr>
        <w:t>em sequencia,</w:t>
      </w:r>
      <w:r>
        <w:rPr>
          <w:rFonts w:ascii="Arial" w:hAnsi="Arial" w:cs="Arial"/>
          <w:i/>
          <w:iCs w:val="0"/>
          <w:sz w:val="22"/>
          <w:szCs w:val="22"/>
          <w:highlight w:val="none"/>
          <w:u w:val="single"/>
        </w:rPr>
        <w:t xml:space="preserve"> </w:t>
      </w:r>
      <w:r>
        <w:rPr>
          <w:rFonts w:hint="default" w:ascii="Arial" w:hAnsi="Arial" w:cs="Arial"/>
          <w:i/>
          <w:iCs w:val="0"/>
          <w:sz w:val="22"/>
          <w:szCs w:val="22"/>
          <w:highlight w:val="none"/>
          <w:u w:val="single"/>
          <w:lang w:val="pt-BR"/>
        </w:rPr>
        <w:t>conforme ordem de documentação exposta na Seção 10 deste edital, que trata da documentação de habilitação</w:t>
      </w:r>
      <w:r>
        <w:rPr>
          <w:rFonts w:ascii="Arial" w:hAnsi="Arial" w:cs="Arial"/>
          <w:i/>
          <w:iCs w:val="0"/>
          <w:sz w:val="22"/>
          <w:szCs w:val="22"/>
          <w:highlight w:val="none"/>
          <w:u w:val="single"/>
        </w:rPr>
        <w:t>,</w:t>
      </w:r>
      <w:r>
        <w:rPr>
          <w:rFonts w:hint="default" w:ascii="Arial" w:hAnsi="Arial" w:cs="Arial"/>
          <w:i/>
          <w:iCs w:val="0"/>
          <w:sz w:val="22"/>
          <w:szCs w:val="22"/>
          <w:highlight w:val="none"/>
          <w:u w:val="single"/>
          <w:lang w:val="pt-BR"/>
        </w:rPr>
        <w:t xml:space="preserve"> para o envelope de nº 01, na forma exposta na Seção 11 deste edital, que trata da documentação que compõe a proposta técnica, para o envelope de nº 02, e na forma exposta na Seção 12 deste edital, que trata da documentação que compõe a proposta de preços, para o envelope de nº 03</w:t>
      </w:r>
      <w:r>
        <w:rPr>
          <w:rFonts w:ascii="Arial" w:hAnsi="Arial" w:cs="Arial"/>
          <w:i/>
          <w:iCs w:val="0"/>
          <w:sz w:val="22"/>
          <w:szCs w:val="22"/>
          <w:highlight w:val="none"/>
          <w:u w:val="single"/>
        </w:rPr>
        <w:t xml:space="preserve"> de modo a facilitar a análise</w:t>
      </w:r>
      <w:r>
        <w:rPr>
          <w:rFonts w:hint="default" w:ascii="Arial" w:hAnsi="Arial" w:cs="Arial"/>
          <w:i/>
          <w:iCs w:val="0"/>
          <w:sz w:val="22"/>
          <w:szCs w:val="22"/>
          <w:highlight w:val="none"/>
          <w:u w:val="single"/>
          <w:lang w:val="pt-BR"/>
        </w:rPr>
        <w:t xml:space="preserve"> pela CPL</w:t>
      </w:r>
      <w:r>
        <w:rPr>
          <w:rFonts w:ascii="Arial" w:hAnsi="Arial" w:cs="Arial"/>
          <w:i/>
          <w:iCs w:val="0"/>
          <w:sz w:val="22"/>
          <w:szCs w:val="22"/>
          <w:highlight w:val="none"/>
        </w:rPr>
        <w:t>.</w:t>
      </w:r>
      <w:r>
        <w:rPr>
          <w:rFonts w:ascii="Arial" w:hAnsi="Arial" w:cs="Arial"/>
          <w:sz w:val="22"/>
          <w:szCs w:val="22"/>
          <w:highlight w:val="none"/>
        </w:rPr>
        <w:t xml:space="preserve"> </w:t>
      </w:r>
      <w:r>
        <w:rPr>
          <w:rFonts w:hint="default" w:ascii="Arial" w:hAnsi="Arial" w:cs="Arial"/>
          <w:i w:val="0"/>
          <w:iCs w:val="0"/>
          <w:sz w:val="22"/>
          <w:szCs w:val="22"/>
          <w:highlight w:val="none"/>
          <w:lang w:val="pt-BR"/>
        </w:rPr>
        <w:t>Solicitamos a gentileza de n</w:t>
      </w:r>
      <w:r>
        <w:rPr>
          <w:rFonts w:ascii="Arial" w:hAnsi="Arial" w:cs="Arial"/>
          <w:i w:val="0"/>
          <w:iCs w:val="0"/>
          <w:sz w:val="22"/>
          <w:szCs w:val="22"/>
          <w:highlight w:val="none"/>
        </w:rPr>
        <w:t xml:space="preserve">ão encadernar os documentos, </w:t>
      </w:r>
      <w:r>
        <w:rPr>
          <w:rFonts w:hint="default" w:ascii="Arial" w:hAnsi="Arial" w:cs="Arial"/>
          <w:i w:val="0"/>
          <w:iCs w:val="0"/>
          <w:sz w:val="22"/>
          <w:szCs w:val="22"/>
          <w:highlight w:val="none"/>
          <w:lang w:val="pt-BR"/>
        </w:rPr>
        <w:t>apresentá-los de preferência com grampo plástico macho-fêmea, a fim de facilitar a digitalização destes documentos pelos servidores desta Prefeitura Municipal</w:t>
      </w:r>
      <w:r>
        <w:rPr>
          <w:rFonts w:ascii="Arial" w:hAnsi="Arial" w:cs="Arial"/>
          <w:i w:val="0"/>
          <w:iCs w:val="0"/>
          <w:sz w:val="22"/>
          <w:szCs w:val="22"/>
          <w:highlight w:val="none"/>
        </w:rPr>
        <w:t>;</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rFonts w:hint="default"/>
          <w:lang w:val="pt-BR"/>
        </w:rPr>
      </w:pPr>
      <w:r>
        <w:rPr>
          <w:b/>
        </w:rPr>
        <w:t>9.7.</w:t>
      </w:r>
      <w:r>
        <w:t xml:space="preserve"> Os documentos apresentados pelas licitantes nos </w:t>
      </w:r>
      <w:r>
        <w:rPr>
          <w:rFonts w:hint="default"/>
          <w:lang w:val="pt-BR"/>
        </w:rPr>
        <w:t xml:space="preserve">envelopes </w:t>
      </w:r>
      <w:r>
        <w:t>de habilitação e nas propostas de preços, quando redigidos em língua estrangeira, só terão validade quando acompanhados da respectiva tradução realizada por tradutor juramentado ou consularizado</w:t>
      </w:r>
      <w:r>
        <w:rPr>
          <w:rFonts w:hint="default"/>
          <w:lang w:val="pt-BR"/>
        </w:rPr>
        <w:t>;</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rFonts w:hint="default"/>
          <w:color w:val="000000"/>
          <w:u w:val="single"/>
          <w:lang w:val="pt-BR"/>
        </w:rPr>
      </w:pPr>
      <w:r>
        <w:rPr>
          <w:b/>
        </w:rPr>
        <w:t>9.8.</w:t>
      </w:r>
      <w:r>
        <w:t xml:space="preserve"> Os documentos exigidos deverão estar com prazo vigente e poderão ser apresentados em </w:t>
      </w:r>
      <w:r>
        <w:rPr>
          <w:u w:val="single"/>
        </w:rPr>
        <w:t>cópias acompanhados dos originais</w:t>
      </w:r>
      <w:r>
        <w:t xml:space="preserve">, cópias autenticadas em cartório ou decorrentes de publicações em órgão da Imprensa Oficial, perfeitamente legíveis, </w:t>
      </w:r>
      <w:r>
        <w:rPr>
          <w:u w:val="single"/>
        </w:rPr>
        <w:t>sob pena de INABILITAÇÃO</w:t>
      </w:r>
      <w:r>
        <w:rPr>
          <w:rFonts w:hint="default"/>
          <w:u w:val="single"/>
          <w:lang w:val="pt-BR"/>
        </w:rPr>
        <w:t>.</w:t>
      </w:r>
    </w:p>
    <w:p>
      <w:pPr>
        <w:pStyle w:val="145"/>
      </w:pPr>
      <w:bookmarkStart w:id="18" w:name="_Toc380557819"/>
      <w:bookmarkStart w:id="19" w:name="_Toc514666337"/>
      <w:r>
        <w:rPr>
          <w:rFonts w:hint="default"/>
          <w:lang w:val="pt-BR"/>
        </w:rPr>
        <w:t xml:space="preserve"> </w:t>
      </w:r>
      <w:r>
        <w:t xml:space="preserve">DA </w:t>
      </w:r>
      <w:bookmarkEnd w:id="18"/>
      <w:r>
        <w:t>HABILITAÇÃO</w:t>
      </w:r>
      <w:bookmarkEnd w:id="19"/>
    </w:p>
    <w:p>
      <w:pPr>
        <w:pStyle w:val="348"/>
        <w:keepNext w:val="0"/>
        <w:keepLines w:val="0"/>
        <w:pageBreakBefore w:val="0"/>
        <w:kinsoku/>
        <w:wordWrap/>
        <w:overflowPunct/>
        <w:topLinePunct w:val="0"/>
        <w:bidi w:val="0"/>
        <w:snapToGrid w:val="0"/>
        <w:spacing w:before="0" w:beforeAutospacing="0" w:after="120" w:afterAutospacing="0"/>
        <w:textAlignment w:val="auto"/>
      </w:pPr>
      <w:r>
        <w:rPr>
          <w:b/>
        </w:rPr>
        <w:t>10.1.</w:t>
      </w:r>
      <w:r>
        <w:t xml:space="preserve"> A fase de habilitação compreenderá </w:t>
      </w:r>
      <w:r>
        <w:rPr>
          <w:rFonts w:hint="default"/>
          <w:lang w:val="pt-BR"/>
        </w:rPr>
        <w:t xml:space="preserve">a </w:t>
      </w:r>
      <w:r>
        <w:t>análise dos documentos apresentados no “ENVELOPE 01 – DOCUMENTAÇÃO DE HABILITAÇÃO” de todas as licitantes;</w:t>
      </w:r>
    </w:p>
    <w:p>
      <w:pPr>
        <w:keepNext w:val="0"/>
        <w:keepLines w:val="0"/>
        <w:pageBreakBefore w:val="0"/>
        <w:widowControl w:val="0"/>
        <w:tabs>
          <w:tab w:val="left" w:pos="567"/>
          <w:tab w:val="left" w:pos="709"/>
        </w:tabs>
        <w:kinsoku/>
        <w:wordWrap/>
        <w:overflowPunct/>
        <w:topLinePunct w:val="0"/>
        <w:bidi w:val="0"/>
        <w:snapToGrid w:val="0"/>
        <w:spacing w:beforeAutospacing="0" w:after="120" w:afterAutospacing="0"/>
        <w:jc w:val="both"/>
        <w:textAlignment w:val="auto"/>
        <w:rPr>
          <w:rFonts w:hint="default" w:ascii="Arial" w:hAnsi="Arial" w:cs="Arial"/>
          <w:sz w:val="22"/>
          <w:szCs w:val="22"/>
          <w:lang w:val="pt-BR"/>
        </w:rPr>
      </w:pPr>
      <w:r>
        <w:rPr>
          <w:rFonts w:ascii="Arial" w:hAnsi="Arial" w:cs="Arial"/>
          <w:b/>
          <w:sz w:val="22"/>
          <w:szCs w:val="22"/>
        </w:rPr>
        <w:t>10.2.</w:t>
      </w:r>
      <w:r>
        <w:rPr>
          <w:rFonts w:ascii="Arial" w:hAnsi="Arial" w:cs="Arial"/>
          <w:sz w:val="22"/>
          <w:szCs w:val="22"/>
        </w:rPr>
        <w:t xml:space="preserve"> </w:t>
      </w:r>
      <w:r>
        <w:rPr>
          <w:rFonts w:hint="default" w:ascii="Arial" w:hAnsi="Arial" w:cs="Arial"/>
          <w:sz w:val="22"/>
          <w:szCs w:val="22"/>
          <w:lang w:val="pt-BR"/>
        </w:rPr>
        <w:t xml:space="preserve">A documentação de habilitação poderá ser apresentada na forma do item </w:t>
      </w:r>
      <w:r>
        <w:rPr>
          <w:rFonts w:hint="default" w:ascii="Arial" w:hAnsi="Arial" w:cs="Arial"/>
          <w:b/>
          <w:bCs/>
          <w:sz w:val="22"/>
          <w:szCs w:val="22"/>
          <w:lang w:val="pt-BR"/>
        </w:rPr>
        <w:t>5.3.</w:t>
      </w:r>
      <w:r>
        <w:rPr>
          <w:rFonts w:hint="default" w:ascii="Arial" w:hAnsi="Arial" w:cs="Arial"/>
          <w:sz w:val="22"/>
          <w:szCs w:val="22"/>
          <w:lang w:val="pt-BR"/>
        </w:rPr>
        <w:t xml:space="preserve"> deste edital, através do Certificado de Registro Cadastral - CRC, emitido pela Prefeitura Municipal de Primavera do Leste, ou em sua forma tradicional, apresentando todos os documentos exigidos neste instrumento convocatório;</w:t>
      </w:r>
    </w:p>
    <w:p>
      <w:pPr>
        <w:pStyle w:val="348"/>
        <w:keepNext w:val="0"/>
        <w:keepLines w:val="0"/>
        <w:pageBreakBefore w:val="0"/>
        <w:kinsoku/>
        <w:wordWrap/>
        <w:overflowPunct/>
        <w:topLinePunct w:val="0"/>
        <w:bidi w:val="0"/>
        <w:snapToGrid w:val="0"/>
        <w:spacing w:before="0" w:beforeAutospacing="0" w:after="120" w:afterAutospacing="0"/>
        <w:textAlignment w:val="auto"/>
      </w:pPr>
      <w:r>
        <w:rPr>
          <w:b/>
        </w:rPr>
        <w:t>10.3.</w:t>
      </w:r>
      <w:r>
        <w:t xml:space="preserve"> Para fins de habilitação ao certame, </w:t>
      </w:r>
      <w:r>
        <w:rPr>
          <w:rFonts w:hint="default"/>
          <w:lang w:val="pt-BR"/>
        </w:rPr>
        <w:t>a</w:t>
      </w:r>
      <w:r>
        <w:t>s empresas deverão, sob pena de inabilitação apresentar no Envelope nº. 01 a seguinte documentaç</w:t>
      </w:r>
      <w:r>
        <w:rPr>
          <w:rFonts w:hint="default"/>
          <w:lang w:val="pt-BR"/>
        </w:rPr>
        <w:t>ão</w:t>
      </w:r>
      <w:r>
        <w:t xml:space="preserve"> em plena validade:</w:t>
      </w:r>
    </w:p>
    <w:p>
      <w:pPr>
        <w:pStyle w:val="86"/>
        <w:keepNext w:val="0"/>
        <w:keepLines w:val="0"/>
        <w:pageBreakBefore w:val="0"/>
        <w:widowControl w:val="0"/>
        <w:numPr>
          <w:ilvl w:val="0"/>
          <w:numId w:val="0"/>
        </w:numPr>
        <w:tabs>
          <w:tab w:val="left" w:pos="480"/>
          <w:tab w:val="left" w:pos="567"/>
        </w:tabs>
        <w:kinsoku/>
        <w:wordWrap/>
        <w:overflowPunct/>
        <w:topLinePunct w:val="0"/>
        <w:bidi w:val="0"/>
        <w:snapToGrid w:val="0"/>
        <w:spacing w:beforeAutospacing="0" w:after="120" w:afterAutospacing="0"/>
        <w:ind w:left="0" w:leftChars="0" w:firstLine="0" w:firstLineChars="0"/>
        <w:jc w:val="both"/>
        <w:textAlignment w:val="auto"/>
        <w:rPr>
          <w:rFonts w:ascii="Arial" w:hAnsi="Arial" w:cs="Arial"/>
          <w:b/>
          <w:bCs/>
          <w:dstrike/>
          <w:sz w:val="22"/>
          <w:szCs w:val="22"/>
          <w:u w:val="single"/>
        </w:rPr>
      </w:pPr>
      <w:r>
        <w:rPr>
          <w:rFonts w:hint="default" w:ascii="Arial" w:hAnsi="Arial" w:cs="Arial"/>
          <w:b/>
          <w:bCs/>
          <w:sz w:val="22"/>
          <w:szCs w:val="22"/>
          <w:lang w:val="pt-BR"/>
        </w:rPr>
        <w:t xml:space="preserve">a) </w:t>
      </w:r>
      <w:r>
        <w:rPr>
          <w:rFonts w:hint="default" w:ascii="Arial" w:hAnsi="Arial" w:cs="Arial"/>
          <w:b w:val="0"/>
          <w:bCs w:val="0"/>
          <w:sz w:val="22"/>
          <w:szCs w:val="22"/>
          <w:lang w:val="pt-BR"/>
        </w:rPr>
        <w:t xml:space="preserve">As </w:t>
      </w:r>
      <w:r>
        <w:rPr>
          <w:rFonts w:ascii="Arial" w:hAnsi="Arial" w:cs="Arial"/>
          <w:sz w:val="22"/>
          <w:szCs w:val="22"/>
        </w:rPr>
        <w:t>empresas cadastradas</w:t>
      </w:r>
      <w:r>
        <w:rPr>
          <w:rFonts w:ascii="Arial" w:hAnsi="Arial" w:cs="Arial"/>
          <w:bCs/>
          <w:color w:val="000000"/>
          <w:sz w:val="22"/>
          <w:szCs w:val="22"/>
        </w:rPr>
        <w:t xml:space="preserve"> no</w:t>
      </w:r>
      <w:r>
        <w:rPr>
          <w:rFonts w:ascii="Arial" w:hAnsi="Arial" w:cs="Arial"/>
          <w:color w:val="000000"/>
          <w:sz w:val="22"/>
          <w:szCs w:val="22"/>
        </w:rPr>
        <w:t xml:space="preserve"> </w:t>
      </w:r>
      <w:r>
        <w:rPr>
          <w:rFonts w:ascii="Arial" w:hAnsi="Arial" w:cs="Arial"/>
          <w:b/>
          <w:color w:val="000000"/>
          <w:sz w:val="22"/>
          <w:szCs w:val="22"/>
          <w:u w:val="single"/>
        </w:rPr>
        <w:t>Cadastro de Fornecedores da Prefeitura Municipal de Primavera do Leste</w:t>
      </w:r>
      <w:r>
        <w:rPr>
          <w:rFonts w:ascii="Arial" w:hAnsi="Arial" w:cs="Arial"/>
          <w:color w:val="000000"/>
          <w:sz w:val="22"/>
          <w:szCs w:val="22"/>
        </w:rPr>
        <w:t>,</w:t>
      </w:r>
      <w:r>
        <w:rPr>
          <w:rFonts w:ascii="Arial" w:hAnsi="Arial" w:cs="Arial"/>
          <w:bCs/>
          <w:sz w:val="22"/>
          <w:szCs w:val="22"/>
        </w:rPr>
        <w:t xml:space="preserve"> </w:t>
      </w:r>
      <w:r>
        <w:rPr>
          <w:rFonts w:hint="default" w:ascii="Arial" w:hAnsi="Arial" w:cs="Arial"/>
          <w:bCs/>
          <w:sz w:val="22"/>
          <w:szCs w:val="22"/>
          <w:lang w:val="pt-BR"/>
        </w:rPr>
        <w:t xml:space="preserve">poderão </w:t>
      </w:r>
      <w:r>
        <w:rPr>
          <w:rFonts w:ascii="Arial" w:hAnsi="Arial" w:cs="Arial"/>
          <w:bCs/>
          <w:sz w:val="22"/>
          <w:szCs w:val="22"/>
        </w:rPr>
        <w:t xml:space="preserve">apresentar o </w:t>
      </w:r>
      <w:r>
        <w:rPr>
          <w:rFonts w:ascii="Arial" w:hAnsi="Arial" w:cs="Arial"/>
          <w:b/>
          <w:sz w:val="22"/>
          <w:szCs w:val="22"/>
        </w:rPr>
        <w:t>CRC – Certificado de Registro Cadastral</w:t>
      </w:r>
      <w:r>
        <w:rPr>
          <w:rFonts w:hint="default" w:ascii="Arial" w:hAnsi="Arial" w:cs="Arial"/>
          <w:b/>
          <w:sz w:val="22"/>
          <w:szCs w:val="22"/>
          <w:lang w:val="pt-BR"/>
        </w:rPr>
        <w:t xml:space="preserve">, </w:t>
      </w:r>
      <w:r>
        <w:rPr>
          <w:rFonts w:hint="default" w:ascii="Arial" w:hAnsi="Arial" w:cs="Arial"/>
          <w:b w:val="0"/>
          <w:bCs/>
          <w:sz w:val="22"/>
          <w:szCs w:val="22"/>
          <w:lang w:val="pt-BR"/>
        </w:rPr>
        <w:t>juntamente com a documentação de qualificação técnica, comprovação do disposto na alínea “c” do item 10.4.3.1, e as declarações exigidas por este instrumento convocatório, e demais documentos que não estejam expressos no corpo do CRC, e que constem como exigência neste instrumento convocatório</w:t>
      </w:r>
      <w:r>
        <w:rPr>
          <w:rFonts w:ascii="Arial" w:hAnsi="Arial" w:cs="Arial"/>
          <w:sz w:val="22"/>
          <w:szCs w:val="22"/>
        </w:rPr>
        <w:t>;</w:t>
      </w:r>
    </w:p>
    <w:p>
      <w:pPr>
        <w:pStyle w:val="86"/>
        <w:keepNext w:val="0"/>
        <w:keepLines w:val="0"/>
        <w:pageBreakBefore w:val="0"/>
        <w:numPr>
          <w:ilvl w:val="0"/>
          <w:numId w:val="0"/>
        </w:numPr>
        <w:suppressAutoHyphens/>
        <w:kinsoku/>
        <w:wordWrap/>
        <w:overflowPunct/>
        <w:topLinePunct w:val="0"/>
        <w:bidi w:val="0"/>
        <w:snapToGrid w:val="0"/>
        <w:spacing w:beforeAutospacing="0" w:after="120" w:afterAutospacing="0"/>
        <w:ind w:left="0" w:leftChars="0" w:firstLine="0" w:firstLineChars="0"/>
        <w:jc w:val="both"/>
        <w:textAlignment w:val="auto"/>
        <w:rPr>
          <w:rFonts w:ascii="Arial" w:hAnsi="Arial" w:cs="Arial"/>
          <w:b/>
          <w:sz w:val="22"/>
          <w:szCs w:val="22"/>
        </w:rPr>
      </w:pPr>
      <w:r>
        <w:rPr>
          <w:rFonts w:hint="default" w:ascii="Arial" w:hAnsi="Arial" w:cs="Arial"/>
          <w:b/>
          <w:sz w:val="22"/>
          <w:szCs w:val="22"/>
          <w:lang w:val="pt-BR"/>
        </w:rPr>
        <w:t xml:space="preserve">b) </w:t>
      </w:r>
      <w:r>
        <w:rPr>
          <w:rFonts w:hint="default" w:ascii="Arial" w:hAnsi="Arial" w:cs="Arial"/>
          <w:b w:val="0"/>
          <w:bCs/>
          <w:sz w:val="22"/>
          <w:szCs w:val="22"/>
          <w:lang w:val="pt-BR"/>
        </w:rPr>
        <w:t>As</w:t>
      </w:r>
      <w:r>
        <w:rPr>
          <w:rFonts w:ascii="Arial" w:hAnsi="Arial" w:cs="Arial"/>
          <w:b w:val="0"/>
          <w:bCs/>
          <w:sz w:val="22"/>
          <w:szCs w:val="22"/>
        </w:rPr>
        <w:t xml:space="preserve"> empresas </w:t>
      </w:r>
      <w:r>
        <w:rPr>
          <w:rFonts w:hint="default" w:ascii="Arial" w:hAnsi="Arial" w:cs="Arial"/>
          <w:b w:val="0"/>
          <w:bCs/>
          <w:sz w:val="22"/>
          <w:szCs w:val="22"/>
          <w:lang w:val="pt-BR"/>
        </w:rPr>
        <w:t xml:space="preserve">que não possuem o </w:t>
      </w:r>
      <w:r>
        <w:rPr>
          <w:rFonts w:ascii="Arial" w:hAnsi="Arial" w:cs="Arial"/>
          <w:b/>
          <w:color w:val="000000"/>
          <w:sz w:val="22"/>
          <w:szCs w:val="22"/>
          <w:u w:val="single"/>
        </w:rPr>
        <w:t>Cadastro de Fornecedores da Prefeitura Municipal de Primavera do Leste</w:t>
      </w:r>
      <w:r>
        <w:rPr>
          <w:rFonts w:hint="default" w:ascii="Arial" w:hAnsi="Arial" w:cs="Arial"/>
          <w:b w:val="0"/>
          <w:bCs/>
          <w:color w:val="000000"/>
          <w:sz w:val="22"/>
          <w:szCs w:val="22"/>
          <w:u w:val="none"/>
          <w:lang w:val="pt-BR"/>
        </w:rPr>
        <w:t xml:space="preserve"> em plena validade</w:t>
      </w:r>
      <w:r>
        <w:rPr>
          <w:rFonts w:ascii="Arial" w:hAnsi="Arial" w:cs="Arial"/>
          <w:b w:val="0"/>
          <w:bCs/>
          <w:sz w:val="22"/>
          <w:szCs w:val="22"/>
        </w:rPr>
        <w:t>, ou</w:t>
      </w:r>
      <w:r>
        <w:rPr>
          <w:rFonts w:hint="default" w:ascii="Arial" w:hAnsi="Arial" w:cs="Arial"/>
          <w:b w:val="0"/>
          <w:bCs/>
          <w:sz w:val="22"/>
          <w:szCs w:val="22"/>
          <w:lang w:val="pt-BR"/>
        </w:rPr>
        <w:t xml:space="preserve"> que possua, porém não queira apresentá-lo no certame, deverão apresentar a documentação na forma a seguir</w:t>
      </w:r>
      <w:r>
        <w:rPr>
          <w:rFonts w:ascii="Arial" w:hAnsi="Arial" w:cs="Arial"/>
          <w:b w:val="0"/>
          <w:bCs/>
          <w:sz w:val="22"/>
          <w:szCs w:val="22"/>
        </w:rPr>
        <w:t>:</w:t>
      </w:r>
    </w:p>
    <w:p>
      <w:pPr>
        <w:keepNext w:val="0"/>
        <w:keepLines w:val="0"/>
        <w:pageBreakBefore w:val="0"/>
        <w:numPr>
          <w:ilvl w:val="0"/>
          <w:numId w:val="19"/>
        </w:numPr>
        <w:suppressAutoHyphens/>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Habilitação Jurídica</w:t>
      </w:r>
      <w:r>
        <w:rPr>
          <w:rFonts w:hint="default" w:ascii="Arial" w:hAnsi="Arial" w:cs="Arial"/>
          <w:sz w:val="22"/>
          <w:szCs w:val="22"/>
          <w:lang w:val="pt-BR"/>
        </w:rPr>
        <w:t>,</w:t>
      </w:r>
      <w:r>
        <w:rPr>
          <w:rFonts w:ascii="Arial" w:hAnsi="Arial" w:cs="Arial"/>
          <w:sz w:val="22"/>
          <w:szCs w:val="22"/>
        </w:rPr>
        <w:t xml:space="preserve"> nos termos do </w:t>
      </w:r>
      <w:r>
        <w:rPr>
          <w:rFonts w:ascii="Arial" w:hAnsi="Arial" w:cs="Arial"/>
          <w:b/>
          <w:sz w:val="22"/>
          <w:szCs w:val="22"/>
        </w:rPr>
        <w:t>subitem 1</w:t>
      </w:r>
      <w:r>
        <w:rPr>
          <w:rFonts w:hint="default" w:ascii="Arial" w:hAnsi="Arial" w:cs="Arial"/>
          <w:b/>
          <w:sz w:val="22"/>
          <w:szCs w:val="22"/>
          <w:lang w:val="pt-BR"/>
        </w:rPr>
        <w:t>0</w:t>
      </w:r>
      <w:r>
        <w:rPr>
          <w:rFonts w:ascii="Arial" w:hAnsi="Arial" w:cs="Arial"/>
          <w:b/>
          <w:sz w:val="22"/>
          <w:szCs w:val="22"/>
        </w:rPr>
        <w:t>.</w:t>
      </w:r>
      <w:r>
        <w:rPr>
          <w:rFonts w:hint="default" w:ascii="Arial" w:hAnsi="Arial" w:cs="Arial"/>
          <w:b/>
          <w:sz w:val="22"/>
          <w:szCs w:val="22"/>
          <w:lang w:val="pt-BR"/>
        </w:rPr>
        <w:t>4.1.</w:t>
      </w:r>
      <w:r>
        <w:rPr>
          <w:rFonts w:ascii="Arial" w:hAnsi="Arial" w:cs="Arial"/>
          <w:b/>
          <w:sz w:val="22"/>
          <w:szCs w:val="22"/>
        </w:rPr>
        <w:t xml:space="preserve"> </w:t>
      </w:r>
      <w:r>
        <w:rPr>
          <w:rFonts w:ascii="Arial" w:hAnsi="Arial" w:cs="Arial"/>
          <w:sz w:val="22"/>
          <w:szCs w:val="22"/>
        </w:rPr>
        <w:t>d</w:t>
      </w:r>
      <w:r>
        <w:rPr>
          <w:rFonts w:hint="default" w:ascii="Arial" w:hAnsi="Arial" w:cs="Arial"/>
          <w:sz w:val="22"/>
          <w:szCs w:val="22"/>
          <w:lang w:val="pt-BR"/>
        </w:rPr>
        <w:t>este</w:t>
      </w:r>
      <w:r>
        <w:rPr>
          <w:rFonts w:ascii="Arial" w:hAnsi="Arial" w:cs="Arial"/>
          <w:sz w:val="22"/>
          <w:szCs w:val="22"/>
        </w:rPr>
        <w:t xml:space="preserve"> Edital;</w:t>
      </w:r>
    </w:p>
    <w:p>
      <w:pPr>
        <w:keepNext w:val="0"/>
        <w:keepLines w:val="0"/>
        <w:pageBreakBefore w:val="0"/>
        <w:numPr>
          <w:ilvl w:val="0"/>
          <w:numId w:val="19"/>
        </w:numPr>
        <w:suppressAutoHyphens/>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 xml:space="preserve">Regularidade Fiscal e Trabalhista, nos termos do subitem </w:t>
      </w:r>
      <w:r>
        <w:rPr>
          <w:rFonts w:hint="default" w:ascii="Arial" w:hAnsi="Arial" w:cs="Arial"/>
          <w:b/>
          <w:sz w:val="22"/>
          <w:szCs w:val="22"/>
          <w:lang w:val="pt-BR"/>
        </w:rPr>
        <w:t>10.4.2.</w:t>
      </w:r>
      <w:r>
        <w:rPr>
          <w:rFonts w:ascii="Arial" w:hAnsi="Arial" w:cs="Arial"/>
          <w:b/>
          <w:sz w:val="22"/>
          <w:szCs w:val="22"/>
        </w:rPr>
        <w:t xml:space="preserve"> </w:t>
      </w:r>
      <w:r>
        <w:rPr>
          <w:rFonts w:ascii="Arial" w:hAnsi="Arial" w:cs="Arial"/>
          <w:sz w:val="22"/>
          <w:szCs w:val="22"/>
        </w:rPr>
        <w:t>d</w:t>
      </w:r>
      <w:r>
        <w:rPr>
          <w:rFonts w:hint="default" w:ascii="Arial" w:hAnsi="Arial" w:cs="Arial"/>
          <w:sz w:val="22"/>
          <w:szCs w:val="22"/>
          <w:lang w:val="pt-BR"/>
        </w:rPr>
        <w:t>este</w:t>
      </w:r>
      <w:r>
        <w:rPr>
          <w:rFonts w:ascii="Arial" w:hAnsi="Arial" w:cs="Arial"/>
          <w:sz w:val="22"/>
          <w:szCs w:val="22"/>
        </w:rPr>
        <w:t xml:space="preserve"> Edital</w:t>
      </w:r>
      <w:r>
        <w:rPr>
          <w:rFonts w:ascii="Arial" w:hAnsi="Arial" w:cs="Arial"/>
          <w:b/>
          <w:sz w:val="22"/>
          <w:szCs w:val="22"/>
        </w:rPr>
        <w:t>;</w:t>
      </w:r>
    </w:p>
    <w:p>
      <w:pPr>
        <w:keepNext w:val="0"/>
        <w:keepLines w:val="0"/>
        <w:pageBreakBefore w:val="0"/>
        <w:numPr>
          <w:ilvl w:val="0"/>
          <w:numId w:val="19"/>
        </w:numPr>
        <w:suppressAutoHyphens/>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 xml:space="preserve">Qualificação Econômico-Financeira, nos termos do subitem </w:t>
      </w:r>
      <w:r>
        <w:rPr>
          <w:rFonts w:hint="default" w:ascii="Arial" w:hAnsi="Arial" w:cs="Arial"/>
          <w:b/>
          <w:sz w:val="22"/>
          <w:szCs w:val="22"/>
          <w:lang w:val="pt-BR"/>
        </w:rPr>
        <w:t>10.4.3.</w:t>
      </w:r>
      <w:r>
        <w:rPr>
          <w:rFonts w:ascii="Arial" w:hAnsi="Arial" w:cs="Arial"/>
          <w:sz w:val="22"/>
          <w:szCs w:val="22"/>
        </w:rPr>
        <w:t xml:space="preserve"> do Edital;</w:t>
      </w:r>
    </w:p>
    <w:p>
      <w:pPr>
        <w:pStyle w:val="86"/>
        <w:keepNext w:val="0"/>
        <w:keepLines w:val="0"/>
        <w:pageBreakBefore w:val="0"/>
        <w:numPr>
          <w:ilvl w:val="0"/>
          <w:numId w:val="19"/>
        </w:numPr>
        <w:suppressAutoHyphens/>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w:t>
      </w:r>
      <w:r>
        <w:rPr>
          <w:rFonts w:ascii="Arial" w:hAnsi="Arial" w:cs="Arial"/>
          <w:sz w:val="22"/>
          <w:szCs w:val="22"/>
        </w:rPr>
        <w:t>Qualificação Técnica</w:t>
      </w:r>
      <w:r>
        <w:rPr>
          <w:rFonts w:hint="default" w:ascii="Arial" w:hAnsi="Arial" w:cs="Arial"/>
          <w:sz w:val="22"/>
          <w:szCs w:val="22"/>
          <w:lang w:val="pt-BR"/>
        </w:rPr>
        <w:t xml:space="preserve">, </w:t>
      </w:r>
      <w:r>
        <w:rPr>
          <w:rFonts w:ascii="Arial" w:hAnsi="Arial" w:cs="Arial"/>
          <w:sz w:val="22"/>
          <w:szCs w:val="22"/>
        </w:rPr>
        <w:t xml:space="preserve">nos termos do subitem </w:t>
      </w:r>
      <w:r>
        <w:rPr>
          <w:rFonts w:hint="default" w:ascii="Arial" w:hAnsi="Arial" w:cs="Arial"/>
          <w:b/>
          <w:sz w:val="22"/>
          <w:szCs w:val="22"/>
          <w:lang w:val="pt-BR"/>
        </w:rPr>
        <w:t>10.4.4.</w:t>
      </w:r>
      <w:r>
        <w:rPr>
          <w:rFonts w:ascii="Arial" w:hAnsi="Arial" w:cs="Arial"/>
          <w:b/>
          <w:sz w:val="22"/>
          <w:szCs w:val="22"/>
        </w:rPr>
        <w:t xml:space="preserve"> </w:t>
      </w:r>
      <w:r>
        <w:rPr>
          <w:rFonts w:ascii="Arial" w:hAnsi="Arial" w:cs="Arial"/>
          <w:sz w:val="22"/>
          <w:szCs w:val="22"/>
        </w:rPr>
        <w:t>do Edital</w:t>
      </w:r>
      <w:r>
        <w:rPr>
          <w:rFonts w:ascii="Arial" w:hAnsi="Arial" w:cs="Arial"/>
          <w:b/>
          <w:sz w:val="22"/>
          <w:szCs w:val="22"/>
        </w:rPr>
        <w:t>;</w:t>
      </w:r>
    </w:p>
    <w:p>
      <w:pPr>
        <w:pStyle w:val="86"/>
        <w:keepNext w:val="0"/>
        <w:keepLines w:val="0"/>
        <w:pageBreakBefore w:val="0"/>
        <w:numPr>
          <w:ilvl w:val="0"/>
          <w:numId w:val="19"/>
        </w:numPr>
        <w:suppressAutoHyphens/>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hint="default" w:ascii="Arial" w:hAnsi="Arial" w:cs="Arial"/>
          <w:sz w:val="22"/>
          <w:szCs w:val="22"/>
          <w:lang w:val="pt-BR"/>
        </w:rPr>
        <w:t xml:space="preserve"> Declarações conforme subitem </w:t>
      </w:r>
      <w:r>
        <w:rPr>
          <w:rFonts w:hint="default" w:ascii="Arial" w:hAnsi="Arial" w:cs="Arial"/>
          <w:b/>
          <w:bCs/>
          <w:sz w:val="22"/>
          <w:szCs w:val="22"/>
          <w:lang w:val="pt-BR"/>
        </w:rPr>
        <w:t>10.4.6.</w:t>
      </w:r>
      <w:r>
        <w:rPr>
          <w:rFonts w:hint="default" w:ascii="Arial" w:hAnsi="Arial" w:cs="Arial"/>
          <w:sz w:val="22"/>
          <w:szCs w:val="22"/>
          <w:lang w:val="pt-BR"/>
        </w:rPr>
        <w:t xml:space="preserve"> deste edital</w:t>
      </w:r>
      <w:r>
        <w:rPr>
          <w:rFonts w:ascii="Arial" w:hAnsi="Arial" w:cs="Arial"/>
          <w:sz w:val="22"/>
          <w:szCs w:val="22"/>
        </w:rPr>
        <w:t>;</w:t>
      </w:r>
    </w:p>
    <w:p>
      <w:pPr>
        <w:pStyle w:val="86"/>
        <w:keepNext w:val="0"/>
        <w:keepLines w:val="0"/>
        <w:pageBreakBefore w:val="0"/>
        <w:numPr>
          <w:ilvl w:val="0"/>
          <w:numId w:val="19"/>
        </w:numPr>
        <w:suppressAutoHyphens/>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b/>
          <w:sz w:val="22"/>
          <w:szCs w:val="22"/>
        </w:rPr>
      </w:pPr>
      <w:r>
        <w:rPr>
          <w:rFonts w:hint="default" w:ascii="Arial" w:hAnsi="Arial" w:cs="Arial"/>
          <w:b/>
          <w:sz w:val="22"/>
          <w:szCs w:val="22"/>
          <w:lang w:val="pt-BR"/>
        </w:rPr>
        <w:t xml:space="preserve"> </w:t>
      </w:r>
      <w:r>
        <w:rPr>
          <w:rFonts w:ascii="Arial" w:hAnsi="Arial" w:cs="Arial"/>
          <w:b w:val="0"/>
          <w:bCs/>
          <w:sz w:val="22"/>
          <w:szCs w:val="22"/>
        </w:rPr>
        <w:t>A</w:t>
      </w:r>
      <w:r>
        <w:rPr>
          <w:rFonts w:ascii="Arial" w:hAnsi="Arial" w:cs="Arial"/>
          <w:b/>
          <w:sz w:val="22"/>
          <w:szCs w:val="22"/>
        </w:rPr>
        <w:t xml:space="preserve"> </w:t>
      </w:r>
      <w:r>
        <w:rPr>
          <w:rFonts w:ascii="Arial" w:hAnsi="Arial" w:cs="Arial"/>
          <w:sz w:val="22"/>
          <w:szCs w:val="22"/>
        </w:rPr>
        <w:t xml:space="preserve">apresentação das declarações previstas nos itens anteriores, </w:t>
      </w:r>
      <w:r>
        <w:rPr>
          <w:rFonts w:ascii="Arial" w:hAnsi="Arial" w:cs="Arial"/>
          <w:b/>
          <w:sz w:val="22"/>
          <w:szCs w:val="22"/>
        </w:rPr>
        <w:t>não exclui</w:t>
      </w:r>
      <w:r>
        <w:rPr>
          <w:rFonts w:ascii="Arial" w:hAnsi="Arial" w:cs="Arial"/>
          <w:sz w:val="22"/>
          <w:szCs w:val="22"/>
        </w:rPr>
        <w:t xml:space="preserve"> a obrigação do licitante de apresentar outras declarações previstas </w:t>
      </w:r>
      <w:r>
        <w:rPr>
          <w:rFonts w:hint="default" w:ascii="Arial" w:hAnsi="Arial" w:cs="Arial"/>
          <w:sz w:val="22"/>
          <w:szCs w:val="22"/>
          <w:lang w:val="pt-BR"/>
        </w:rPr>
        <w:t>n</w:t>
      </w:r>
      <w:r>
        <w:rPr>
          <w:rFonts w:ascii="Arial" w:hAnsi="Arial" w:cs="Arial"/>
          <w:sz w:val="22"/>
          <w:szCs w:val="22"/>
        </w:rPr>
        <w:t>este Edital.</w:t>
      </w:r>
    </w:p>
    <w:p>
      <w:pPr>
        <w:pStyle w:val="349"/>
        <w:keepNext w:val="0"/>
        <w:keepLines w:val="0"/>
        <w:pageBreakBefore w:val="0"/>
        <w:kinsoku/>
        <w:wordWrap/>
        <w:overflowPunct/>
        <w:topLinePunct w:val="0"/>
        <w:bidi w:val="0"/>
        <w:snapToGrid w:val="0"/>
        <w:spacing w:before="0" w:beforeAutospacing="0" w:after="120" w:afterAutospacing="0"/>
        <w:textAlignment w:val="auto"/>
      </w:pPr>
      <w:r>
        <w:t>10.4.1. HABILITAÇÃO JURÍDICA:</w:t>
      </w:r>
    </w:p>
    <w:p>
      <w:pPr>
        <w:pStyle w:val="349"/>
        <w:keepNext w:val="0"/>
        <w:keepLines w:val="0"/>
        <w:pageBreakBefore w:val="0"/>
        <w:kinsoku/>
        <w:wordWrap/>
        <w:overflowPunct/>
        <w:topLinePunct w:val="0"/>
        <w:bidi w:val="0"/>
        <w:snapToGrid w:val="0"/>
        <w:spacing w:before="0" w:beforeAutospacing="0" w:after="120" w:afterAutospacing="0"/>
        <w:textAlignment w:val="auto"/>
        <w:rPr>
          <w:b w:val="0"/>
        </w:rPr>
      </w:pPr>
      <w:r>
        <w:t>10.4.</w:t>
      </w:r>
      <w:r>
        <w:rPr>
          <w:rFonts w:hint="default"/>
          <w:lang w:val="pt-BR"/>
        </w:rPr>
        <w:t>1</w:t>
      </w:r>
      <w:r>
        <w:t xml:space="preserve">.1. </w:t>
      </w:r>
      <w:r>
        <w:rPr>
          <w:rFonts w:hint="default"/>
          <w:b w:val="0"/>
          <w:lang w:val="pt-BR"/>
        </w:rPr>
        <w:t xml:space="preserve">A </w:t>
      </w:r>
      <w:r>
        <w:rPr>
          <w:b w:val="0"/>
        </w:rPr>
        <w:t xml:space="preserve">documentação relativa à </w:t>
      </w:r>
      <w:r>
        <w:rPr>
          <w:rFonts w:hint="default"/>
          <w:b w:val="0"/>
          <w:lang w:val="pt-BR"/>
        </w:rPr>
        <w:t>habilitação jurídica</w:t>
      </w:r>
      <w:r>
        <w:rPr>
          <w:b w:val="0"/>
        </w:rPr>
        <w:t xml:space="preserve"> consistirá na apresentação de:</w:t>
      </w:r>
    </w:p>
    <w:p>
      <w:pPr>
        <w:pStyle w:val="349"/>
        <w:keepNext w:val="0"/>
        <w:keepLines w:val="0"/>
        <w:pageBreakBefore w:val="0"/>
        <w:kinsoku/>
        <w:wordWrap/>
        <w:overflowPunct/>
        <w:topLinePunct w:val="0"/>
        <w:bidi w:val="0"/>
        <w:snapToGrid w:val="0"/>
        <w:spacing w:before="0" w:beforeAutospacing="0" w:after="120" w:afterAutospacing="0"/>
        <w:ind w:left="480" w:leftChars="200" w:firstLine="0" w:firstLineChars="0"/>
        <w:textAlignment w:val="auto"/>
        <w:rPr>
          <w:rFonts w:hint="default"/>
          <w:b/>
          <w:bCs w:val="0"/>
          <w:lang w:val="pt-BR"/>
        </w:rPr>
      </w:pPr>
      <w:r>
        <w:rPr>
          <w:rFonts w:hint="default"/>
          <w:b/>
          <w:bCs w:val="0"/>
          <w:lang w:val="pt-BR"/>
        </w:rPr>
        <w:t xml:space="preserve">a) </w:t>
      </w:r>
      <w:r>
        <w:rPr>
          <w:rFonts w:hint="default"/>
          <w:b w:val="0"/>
          <w:bCs/>
          <w:lang w:val="pt-BR"/>
        </w:rPr>
        <w:t>Cédula de Identidade do proprietário, dos sócios-administradores, diretores ou assemelhados, constantes do quadro social da empresa participante;</w:t>
      </w:r>
    </w:p>
    <w:p>
      <w:pPr>
        <w:keepNext w:val="0"/>
        <w:keepLines w:val="0"/>
        <w:pageBreakBefore w:val="0"/>
        <w:widowControl w:val="0"/>
        <w:tabs>
          <w:tab w:val="left" w:pos="851"/>
        </w:tabs>
        <w:kinsoku/>
        <w:wordWrap/>
        <w:overflowPunct/>
        <w:topLinePunct w:val="0"/>
        <w:bidi w:val="0"/>
        <w:snapToGrid w:val="0"/>
        <w:spacing w:beforeAutospacing="0" w:after="120" w:afterAutospacing="0"/>
        <w:ind w:left="480" w:leftChars="200" w:firstLine="0" w:firstLineChars="0"/>
        <w:jc w:val="both"/>
        <w:textAlignment w:val="auto"/>
        <w:rPr>
          <w:rFonts w:ascii="Arial" w:hAnsi="Arial" w:cs="Arial"/>
          <w:sz w:val="22"/>
          <w:szCs w:val="22"/>
          <w:highlight w:val="yellow"/>
        </w:rPr>
      </w:pPr>
      <w:r>
        <w:rPr>
          <w:rFonts w:hint="default" w:ascii="Arial" w:hAnsi="Arial" w:cs="Arial"/>
          <w:b/>
          <w:sz w:val="22"/>
          <w:szCs w:val="22"/>
          <w:lang w:val="pt-BR"/>
        </w:rPr>
        <w:t>b</w:t>
      </w:r>
      <w:r>
        <w:rPr>
          <w:rFonts w:ascii="Arial" w:hAnsi="Arial" w:cs="Arial"/>
          <w:b/>
          <w:sz w:val="22"/>
          <w:szCs w:val="22"/>
        </w:rPr>
        <w:t>)</w:t>
      </w:r>
      <w:r>
        <w:rPr>
          <w:rFonts w:ascii="Arial" w:hAnsi="Arial" w:cs="Arial"/>
          <w:sz w:val="22"/>
          <w:szCs w:val="22"/>
        </w:rPr>
        <w:t xml:space="preserve"> </w:t>
      </w:r>
      <w:r>
        <w:rPr>
          <w:rFonts w:hint="default" w:ascii="Arial" w:hAnsi="Arial" w:cs="Arial"/>
          <w:sz w:val="22"/>
          <w:szCs w:val="22"/>
          <w:lang w:val="pt-BR"/>
        </w:rPr>
        <w:t>N</w:t>
      </w:r>
      <w:r>
        <w:rPr>
          <w:rFonts w:ascii="Arial" w:hAnsi="Arial" w:cs="Arial"/>
          <w:sz w:val="22"/>
          <w:szCs w:val="22"/>
        </w:rPr>
        <w:t>o caso de empresário individual, inscrição no Registro Público de Empresas Mercantis;</w:t>
      </w:r>
    </w:p>
    <w:p>
      <w:pPr>
        <w:keepNext w:val="0"/>
        <w:keepLines w:val="0"/>
        <w:pageBreakBefore w:val="0"/>
        <w:widowControl w:val="0"/>
        <w:tabs>
          <w:tab w:val="left" w:pos="851"/>
        </w:tabs>
        <w:kinsoku/>
        <w:wordWrap/>
        <w:overflowPunct/>
        <w:topLinePunct w:val="0"/>
        <w:bidi w:val="0"/>
        <w:snapToGrid w:val="0"/>
        <w:spacing w:beforeAutospacing="0" w:after="120" w:afterAutospacing="0"/>
        <w:ind w:left="480" w:leftChars="200" w:firstLine="0" w:firstLineChars="0"/>
        <w:jc w:val="both"/>
        <w:textAlignment w:val="auto"/>
        <w:rPr>
          <w:rFonts w:ascii="Arial" w:hAnsi="Arial" w:cs="Arial"/>
          <w:color w:val="000000"/>
          <w:sz w:val="22"/>
          <w:szCs w:val="22"/>
        </w:rPr>
      </w:pPr>
      <w:r>
        <w:rPr>
          <w:rFonts w:hint="default" w:ascii="Arial" w:hAnsi="Arial" w:cs="Arial"/>
          <w:b/>
          <w:color w:val="000000"/>
          <w:sz w:val="22"/>
          <w:szCs w:val="22"/>
          <w:lang w:val="pt-BR"/>
        </w:rPr>
        <w:t>c</w:t>
      </w:r>
      <w:r>
        <w:rPr>
          <w:rFonts w:ascii="Arial" w:hAnsi="Arial" w:cs="Arial"/>
          <w:b/>
          <w:color w:val="000000"/>
          <w:sz w:val="22"/>
          <w:szCs w:val="22"/>
        </w:rPr>
        <w:t>)</w:t>
      </w:r>
      <w:r>
        <w:rPr>
          <w:rFonts w:ascii="Arial" w:hAnsi="Arial" w:cs="Arial"/>
          <w:color w:val="000000"/>
          <w:sz w:val="22"/>
          <w:szCs w:val="22"/>
        </w:rPr>
        <w:t xml:space="preserve"> </w:t>
      </w:r>
      <w:r>
        <w:rPr>
          <w:rFonts w:hint="default" w:ascii="Arial" w:hAnsi="Arial" w:cs="Arial"/>
          <w:color w:val="000000"/>
          <w:sz w:val="22"/>
          <w:szCs w:val="22"/>
          <w:lang w:val="pt-BR"/>
        </w:rPr>
        <w:t>P</w:t>
      </w:r>
      <w:r>
        <w:rPr>
          <w:rFonts w:ascii="Arial" w:hAnsi="Arial" w:cs="Arial"/>
          <w:color w:val="000000"/>
          <w:sz w:val="22"/>
          <w:szCs w:val="22"/>
        </w:rPr>
        <w:t>ara as sociedades empresárias ou empresas individuais de responsabilidade limitada - EIRELI: ato constitutivo, estatuto ou contrato social em vigor, devidamente registrado na Junta Comercial da respectiva sede, acompanhado de documento comprobatório de seus administradores;</w:t>
      </w:r>
    </w:p>
    <w:p>
      <w:pPr>
        <w:keepNext w:val="0"/>
        <w:keepLines w:val="0"/>
        <w:pageBreakBefore w:val="0"/>
        <w:widowControl w:val="0"/>
        <w:tabs>
          <w:tab w:val="left" w:pos="851"/>
        </w:tabs>
        <w:kinsoku/>
        <w:wordWrap/>
        <w:overflowPunct/>
        <w:topLinePunct w:val="0"/>
        <w:bidi w:val="0"/>
        <w:snapToGrid w:val="0"/>
        <w:spacing w:beforeAutospacing="0" w:after="120" w:afterAutospacing="0"/>
        <w:ind w:left="480" w:leftChars="200" w:firstLine="0" w:firstLineChars="0"/>
        <w:jc w:val="both"/>
        <w:textAlignment w:val="auto"/>
        <w:rPr>
          <w:rFonts w:ascii="Arial" w:hAnsi="Arial" w:cs="Arial"/>
          <w:color w:val="000000"/>
          <w:sz w:val="22"/>
          <w:szCs w:val="22"/>
        </w:rPr>
      </w:pPr>
      <w:r>
        <w:rPr>
          <w:rFonts w:hint="default" w:ascii="Arial" w:hAnsi="Arial" w:cs="Arial"/>
          <w:b/>
          <w:color w:val="000000"/>
          <w:sz w:val="22"/>
          <w:szCs w:val="22"/>
          <w:lang w:val="pt-BR"/>
        </w:rPr>
        <w:t>d</w:t>
      </w:r>
      <w:r>
        <w:rPr>
          <w:rFonts w:ascii="Arial" w:hAnsi="Arial" w:cs="Arial"/>
          <w:b/>
          <w:color w:val="000000"/>
          <w:sz w:val="22"/>
          <w:szCs w:val="22"/>
        </w:rPr>
        <w:t>)</w:t>
      </w:r>
      <w:r>
        <w:rPr>
          <w:rFonts w:ascii="Arial" w:hAnsi="Arial" w:cs="Arial"/>
          <w:color w:val="000000"/>
          <w:sz w:val="22"/>
          <w:szCs w:val="22"/>
        </w:rPr>
        <w:t xml:space="preserve"> </w:t>
      </w:r>
      <w:r>
        <w:rPr>
          <w:rFonts w:hint="default" w:ascii="Arial" w:hAnsi="Arial" w:cs="Arial"/>
          <w:color w:val="000000"/>
          <w:sz w:val="22"/>
          <w:szCs w:val="22"/>
          <w:lang w:val="pt-BR"/>
        </w:rPr>
        <w:t>E</w:t>
      </w:r>
      <w:r>
        <w:rPr>
          <w:rFonts w:ascii="Arial" w:hAnsi="Arial" w:cs="Arial"/>
          <w:color w:val="000000"/>
          <w:sz w:val="22"/>
          <w:szCs w:val="22"/>
        </w:rPr>
        <w:t>m se tratando de sociedades comerciais ou empresa individual de responsabilidade limitada: ato constitutivo  em vigor, devidamente registrado, e, no caso de sociedades por ações, acompanhado de documentos de eleição de seus administradores;</w:t>
      </w:r>
    </w:p>
    <w:p>
      <w:pPr>
        <w:keepNext w:val="0"/>
        <w:keepLines w:val="0"/>
        <w:pageBreakBefore w:val="0"/>
        <w:widowControl w:val="0"/>
        <w:tabs>
          <w:tab w:val="left" w:pos="851"/>
        </w:tabs>
        <w:kinsoku/>
        <w:wordWrap/>
        <w:overflowPunct/>
        <w:topLinePunct w:val="0"/>
        <w:bidi w:val="0"/>
        <w:snapToGrid w:val="0"/>
        <w:spacing w:beforeAutospacing="0" w:after="120" w:afterAutospacing="0"/>
        <w:ind w:left="480" w:leftChars="200" w:firstLine="0" w:firstLineChars="0"/>
        <w:jc w:val="both"/>
        <w:textAlignment w:val="auto"/>
        <w:rPr>
          <w:rFonts w:ascii="Arial" w:hAnsi="Arial" w:cs="Arial"/>
          <w:color w:val="000000"/>
          <w:sz w:val="22"/>
          <w:szCs w:val="22"/>
        </w:rPr>
      </w:pPr>
      <w:r>
        <w:rPr>
          <w:rFonts w:hint="default" w:ascii="Arial" w:hAnsi="Arial" w:cs="Arial"/>
          <w:b/>
          <w:color w:val="000000"/>
          <w:sz w:val="22"/>
          <w:szCs w:val="22"/>
          <w:lang w:val="pt-BR" w:eastAsia="en-US"/>
        </w:rPr>
        <w:t>e</w:t>
      </w:r>
      <w:r>
        <w:rPr>
          <w:rFonts w:ascii="Arial" w:hAnsi="Arial" w:cs="Arial"/>
          <w:b/>
          <w:color w:val="000000"/>
          <w:sz w:val="22"/>
          <w:szCs w:val="22"/>
          <w:lang w:eastAsia="en-US"/>
        </w:rPr>
        <w:t>)</w:t>
      </w:r>
      <w:r>
        <w:rPr>
          <w:rFonts w:ascii="Arial" w:hAnsi="Arial" w:cs="Arial"/>
          <w:color w:val="000000"/>
          <w:sz w:val="22"/>
          <w:szCs w:val="22"/>
          <w:lang w:eastAsia="en-US"/>
        </w:rPr>
        <w:t xml:space="preserve"> </w:t>
      </w:r>
      <w:r>
        <w:rPr>
          <w:rFonts w:hint="default" w:ascii="Arial" w:hAnsi="Arial" w:cs="Arial"/>
          <w:color w:val="000000"/>
          <w:sz w:val="22"/>
          <w:szCs w:val="22"/>
          <w:lang w:val="pt-BR" w:eastAsia="en-US"/>
        </w:rPr>
        <w:t>I</w:t>
      </w:r>
      <w:r>
        <w:rPr>
          <w:rFonts w:ascii="Arial" w:hAnsi="Arial" w:cs="Arial"/>
          <w:color w:val="000000"/>
          <w:sz w:val="22"/>
          <w:szCs w:val="22"/>
          <w:lang w:eastAsia="en-US"/>
        </w:rPr>
        <w:t>nscrição no Registro Público de Empresas Mercantis onde opera, com averbação no</w:t>
      </w:r>
      <w:r>
        <w:rPr>
          <w:rFonts w:ascii="Arial" w:hAnsi="Arial" w:cs="Arial"/>
          <w:color w:val="000000"/>
          <w:sz w:val="22"/>
          <w:szCs w:val="22"/>
        </w:rPr>
        <w:t xml:space="preserve"> Registro onde tem sede a matriz, no caso de ser o participante sucursal, filial ou agência;</w:t>
      </w:r>
    </w:p>
    <w:p>
      <w:pPr>
        <w:keepNext w:val="0"/>
        <w:keepLines w:val="0"/>
        <w:pageBreakBefore w:val="0"/>
        <w:widowControl w:val="0"/>
        <w:tabs>
          <w:tab w:val="left" w:pos="851"/>
        </w:tabs>
        <w:kinsoku/>
        <w:wordWrap/>
        <w:overflowPunct/>
        <w:topLinePunct w:val="0"/>
        <w:bidi w:val="0"/>
        <w:snapToGrid w:val="0"/>
        <w:spacing w:beforeAutospacing="0" w:after="120" w:afterAutospacing="0"/>
        <w:ind w:left="480" w:leftChars="200" w:firstLine="0" w:firstLineChars="0"/>
        <w:jc w:val="both"/>
        <w:textAlignment w:val="auto"/>
        <w:rPr>
          <w:rFonts w:ascii="Arial" w:hAnsi="Arial" w:cs="Arial"/>
          <w:color w:val="000000"/>
          <w:sz w:val="22"/>
          <w:szCs w:val="22"/>
        </w:rPr>
      </w:pPr>
      <w:r>
        <w:rPr>
          <w:rFonts w:hint="default" w:ascii="Arial" w:hAnsi="Arial" w:cs="Arial"/>
          <w:b/>
          <w:color w:val="000000"/>
          <w:sz w:val="22"/>
          <w:szCs w:val="22"/>
          <w:lang w:val="pt-BR"/>
        </w:rPr>
        <w:t>f</w:t>
      </w:r>
      <w:r>
        <w:rPr>
          <w:rFonts w:ascii="Arial" w:hAnsi="Arial" w:cs="Arial"/>
          <w:b/>
          <w:color w:val="000000"/>
          <w:sz w:val="22"/>
          <w:szCs w:val="22"/>
        </w:rPr>
        <w:t>)</w:t>
      </w:r>
      <w:r>
        <w:rPr>
          <w:rFonts w:ascii="Arial" w:hAnsi="Arial" w:cs="Arial"/>
          <w:color w:val="000000"/>
          <w:sz w:val="22"/>
          <w:szCs w:val="22"/>
        </w:rPr>
        <w:t xml:space="preserve"> </w:t>
      </w:r>
      <w:r>
        <w:rPr>
          <w:rFonts w:hint="default" w:ascii="Arial" w:hAnsi="Arial" w:cs="Arial"/>
          <w:color w:val="000000"/>
          <w:sz w:val="22"/>
          <w:szCs w:val="22"/>
          <w:lang w:val="pt-BR"/>
        </w:rPr>
        <w:t>I</w:t>
      </w:r>
      <w:r>
        <w:rPr>
          <w:rFonts w:ascii="Arial" w:hAnsi="Arial" w:cs="Arial"/>
          <w:color w:val="000000"/>
          <w:sz w:val="22"/>
          <w:szCs w:val="22"/>
        </w:rPr>
        <w:t>nscrição do ato constitutivo no Registro Civil das Pessoas Jurídicas, no caso de sociedades simples, acompanhada de prova de diretoria em exercício;</w:t>
      </w:r>
    </w:p>
    <w:p>
      <w:pPr>
        <w:pStyle w:val="376"/>
        <w:keepNext w:val="0"/>
        <w:keepLines w:val="0"/>
        <w:pageBreakBefore w:val="0"/>
        <w:widowControl w:val="0"/>
        <w:numPr>
          <w:ilvl w:val="0"/>
          <w:numId w:val="0"/>
        </w:numPr>
        <w:tabs>
          <w:tab w:val="left" w:pos="851"/>
        </w:tabs>
        <w:kinsoku/>
        <w:wordWrap/>
        <w:overflowPunct/>
        <w:topLinePunct w:val="0"/>
        <w:bidi w:val="0"/>
        <w:snapToGrid w:val="0"/>
        <w:spacing w:before="0" w:beforeAutospacing="0" w:after="120" w:afterAutospacing="0" w:line="240" w:lineRule="auto"/>
        <w:ind w:left="480" w:leftChars="200" w:firstLine="0" w:firstLineChars="0"/>
        <w:textAlignment w:val="auto"/>
        <w:rPr>
          <w:rFonts w:ascii="Arial" w:hAnsi="Arial" w:cs="Arial"/>
          <w:sz w:val="22"/>
          <w:szCs w:val="22"/>
        </w:rPr>
      </w:pPr>
      <w:r>
        <w:rPr>
          <w:rFonts w:hint="default" w:ascii="Arial" w:hAnsi="Arial" w:cs="Arial"/>
          <w:b/>
          <w:sz w:val="22"/>
          <w:szCs w:val="22"/>
          <w:lang w:val="pt-BR"/>
        </w:rPr>
        <w:t>g</w:t>
      </w:r>
      <w:r>
        <w:rPr>
          <w:rFonts w:ascii="Arial" w:hAnsi="Arial" w:cs="Arial"/>
          <w:b/>
          <w:sz w:val="22"/>
          <w:szCs w:val="22"/>
        </w:rPr>
        <w:t>)</w:t>
      </w:r>
      <w:r>
        <w:rPr>
          <w:rFonts w:ascii="Arial" w:hAnsi="Arial" w:cs="Arial"/>
          <w:sz w:val="22"/>
          <w:szCs w:val="22"/>
        </w:rPr>
        <w:t xml:space="preserve"> </w:t>
      </w:r>
      <w:r>
        <w:rPr>
          <w:rFonts w:hint="default" w:ascii="Arial" w:hAnsi="Arial" w:cs="Arial"/>
          <w:sz w:val="22"/>
          <w:szCs w:val="22"/>
          <w:lang w:val="pt-BR"/>
        </w:rPr>
        <w:t>D</w:t>
      </w:r>
      <w:r>
        <w:rPr>
          <w:rFonts w:ascii="Arial" w:hAnsi="Arial" w:cs="Arial"/>
          <w:sz w:val="22"/>
          <w:szCs w:val="22"/>
        </w:rPr>
        <w:t>ecreto de autorização, em se tratando de sociedade empresária estrangeira em funcionamento no País;</w:t>
      </w:r>
    </w:p>
    <w:p>
      <w:pPr>
        <w:pStyle w:val="376"/>
        <w:keepNext w:val="0"/>
        <w:keepLines w:val="0"/>
        <w:pageBreakBefore w:val="0"/>
        <w:widowControl w:val="0"/>
        <w:numPr>
          <w:ilvl w:val="0"/>
          <w:numId w:val="0"/>
        </w:numPr>
        <w:tabs>
          <w:tab w:val="left" w:pos="993"/>
        </w:tabs>
        <w:kinsoku/>
        <w:wordWrap/>
        <w:overflowPunct/>
        <w:topLinePunct w:val="0"/>
        <w:bidi w:val="0"/>
        <w:snapToGrid w:val="0"/>
        <w:spacing w:before="0" w:beforeAutospacing="0" w:after="120" w:afterAutospacing="0" w:line="240" w:lineRule="auto"/>
        <w:ind w:left="480" w:leftChars="200" w:firstLine="0" w:firstLineChars="0"/>
        <w:textAlignment w:val="auto"/>
        <w:rPr>
          <w:rFonts w:hint="default" w:ascii="Arial" w:hAnsi="Arial" w:cs="Arial"/>
          <w:sz w:val="22"/>
          <w:szCs w:val="22"/>
          <w:lang w:val="pt-BR"/>
        </w:rPr>
      </w:pPr>
      <w:r>
        <w:rPr>
          <w:rFonts w:hint="default" w:ascii="Arial" w:hAnsi="Arial" w:cs="Arial"/>
          <w:b/>
          <w:sz w:val="22"/>
          <w:szCs w:val="22"/>
          <w:lang w:val="pt-BR"/>
        </w:rPr>
        <w:t>h</w:t>
      </w:r>
      <w:r>
        <w:rPr>
          <w:rFonts w:ascii="Arial" w:hAnsi="Arial" w:cs="Arial"/>
          <w:b/>
          <w:sz w:val="22"/>
          <w:szCs w:val="22"/>
        </w:rPr>
        <w:t>)</w:t>
      </w:r>
      <w:r>
        <w:rPr>
          <w:rFonts w:ascii="Arial" w:hAnsi="Arial" w:cs="Arial"/>
          <w:sz w:val="22"/>
          <w:szCs w:val="22"/>
        </w:rPr>
        <w:t xml:space="preserve"> </w:t>
      </w:r>
      <w:r>
        <w:rPr>
          <w:rFonts w:hint="default" w:ascii="Arial" w:hAnsi="Arial" w:cs="Arial"/>
          <w:sz w:val="22"/>
          <w:szCs w:val="22"/>
          <w:lang w:val="pt-BR"/>
        </w:rPr>
        <w:t>O</w:t>
      </w:r>
      <w:r>
        <w:rPr>
          <w:rFonts w:ascii="Arial" w:hAnsi="Arial" w:cs="Arial"/>
          <w:sz w:val="22"/>
          <w:szCs w:val="22"/>
        </w:rPr>
        <w:t>s atos constitutivos das empresas licitantes deverão estar acompanhados dos demais documentos aditivos e modificativos do seu texto ou, preferencialmente, da respectiva consolidação;</w:t>
      </w:r>
    </w:p>
    <w:p>
      <w:pPr>
        <w:pStyle w:val="349"/>
        <w:keepNext w:val="0"/>
        <w:keepLines w:val="0"/>
        <w:pageBreakBefore w:val="0"/>
        <w:kinsoku/>
        <w:wordWrap/>
        <w:overflowPunct/>
        <w:topLinePunct w:val="0"/>
        <w:bidi w:val="0"/>
        <w:snapToGrid w:val="0"/>
        <w:spacing w:before="0" w:beforeAutospacing="0" w:after="120" w:afterAutospacing="0"/>
        <w:ind w:left="480" w:leftChars="200" w:firstLine="0" w:firstLineChars="0"/>
        <w:textAlignment w:val="auto"/>
        <w:rPr>
          <w:b w:val="0"/>
        </w:rPr>
      </w:pPr>
      <w:r>
        <w:t xml:space="preserve">10.4.1.1. </w:t>
      </w:r>
      <w:r>
        <w:rPr>
          <w:b w:val="0"/>
        </w:rPr>
        <w:t>Para fins de habilitação jurídica, o licitante deverá demonstrar a compatibilidade dos seus objetivos sociais com o objeto desta licitação;</w:t>
      </w:r>
    </w:p>
    <w:p>
      <w:pPr>
        <w:pStyle w:val="349"/>
        <w:keepNext w:val="0"/>
        <w:keepLines w:val="0"/>
        <w:pageBreakBefore w:val="0"/>
        <w:kinsoku/>
        <w:wordWrap/>
        <w:overflowPunct/>
        <w:topLinePunct w:val="0"/>
        <w:bidi w:val="0"/>
        <w:snapToGrid w:val="0"/>
        <w:spacing w:before="0" w:beforeAutospacing="0" w:after="120" w:afterAutospacing="0"/>
        <w:ind w:left="480" w:leftChars="200" w:firstLine="0" w:firstLineChars="0"/>
        <w:textAlignment w:val="auto"/>
        <w:rPr>
          <w:b w:val="0"/>
        </w:rPr>
      </w:pPr>
      <w:r>
        <w:t xml:space="preserve">10.4.1.2. </w:t>
      </w:r>
      <w:r>
        <w:rPr>
          <w:b w:val="0"/>
        </w:rPr>
        <w:t>No caso de empresa em regime de consórcio deverá apresentar compromisso público ou particular de constituição do Consórcio, subscrito pelos consorciados que, além de conter, com clareza e precisão, a descrição de seu objeto, deverá observar os seguintes requisitos:</w:t>
      </w:r>
    </w:p>
    <w:p>
      <w:pPr>
        <w:pStyle w:val="350"/>
        <w:keepNext w:val="0"/>
        <w:keepLines w:val="0"/>
        <w:pageBreakBefore w:val="0"/>
        <w:kinsoku/>
        <w:wordWrap/>
        <w:overflowPunct/>
        <w:topLinePunct w:val="0"/>
        <w:bidi w:val="0"/>
        <w:snapToGrid w:val="0"/>
        <w:spacing w:before="0" w:beforeAutospacing="0" w:after="120" w:afterAutospacing="0"/>
        <w:ind w:left="960" w:leftChars="0" w:firstLine="0" w:firstLineChars="0"/>
        <w:textAlignment w:val="auto"/>
        <w:rPr>
          <w:rFonts w:hint="default"/>
          <w:lang w:val="pt-BR"/>
        </w:rPr>
      </w:pPr>
      <w:r>
        <w:t xml:space="preserve">10.4.1.2.1. </w:t>
      </w:r>
      <w:r>
        <w:rPr>
          <w:b w:val="0"/>
        </w:rPr>
        <w:t>Indicar o líder do consórcio, ao qual deverá ser conferido amplos poderes para representar os consorciados no procedimento licitatório e no contrato, ofertar lances, receber, dar quitação, responder administrativa e judicialmente, inclusive receber notificação, intimação e citação</w:t>
      </w:r>
      <w:r>
        <w:rPr>
          <w:rFonts w:hint="default"/>
          <w:b w:val="0"/>
          <w:lang w:val="pt-BR"/>
        </w:rPr>
        <w:t>.</w:t>
      </w:r>
    </w:p>
    <w:p>
      <w:pPr>
        <w:pStyle w:val="349"/>
        <w:keepNext w:val="0"/>
        <w:keepLines w:val="0"/>
        <w:pageBreakBefore w:val="0"/>
        <w:kinsoku/>
        <w:wordWrap/>
        <w:overflowPunct/>
        <w:topLinePunct w:val="0"/>
        <w:bidi w:val="0"/>
        <w:snapToGrid w:val="0"/>
        <w:spacing w:before="0" w:beforeAutospacing="0" w:after="120" w:afterAutospacing="0"/>
        <w:textAlignment w:val="auto"/>
      </w:pPr>
      <w:r>
        <w:t>10.4.2. REGULARIDADE FISCAL E TRABALHISTA:</w:t>
      </w:r>
    </w:p>
    <w:p>
      <w:pPr>
        <w:pStyle w:val="349"/>
        <w:keepNext w:val="0"/>
        <w:keepLines w:val="0"/>
        <w:pageBreakBefore w:val="0"/>
        <w:kinsoku/>
        <w:wordWrap/>
        <w:overflowPunct/>
        <w:topLinePunct w:val="0"/>
        <w:bidi w:val="0"/>
        <w:snapToGrid w:val="0"/>
        <w:spacing w:before="0" w:beforeAutospacing="0" w:after="120" w:afterAutospacing="0"/>
        <w:textAlignment w:val="auto"/>
        <w:rPr>
          <w:b w:val="0"/>
        </w:rPr>
      </w:pPr>
      <w:r>
        <w:t xml:space="preserve">10.4.2.1. </w:t>
      </w:r>
      <w:r>
        <w:rPr>
          <w:rFonts w:hint="default"/>
          <w:b w:val="0"/>
          <w:lang w:val="pt-BR"/>
        </w:rPr>
        <w:t xml:space="preserve">A </w:t>
      </w:r>
      <w:r>
        <w:rPr>
          <w:b w:val="0"/>
        </w:rPr>
        <w:t>documentação relativa à Regularidade Fiscal e Trabalhista consistirá na apresentação de:</w:t>
      </w:r>
    </w:p>
    <w:p>
      <w:pPr>
        <w:keepNext w:val="0"/>
        <w:keepLines w:val="0"/>
        <w:pageBreakBefore w:val="0"/>
        <w:tabs>
          <w:tab w:val="left" w:pos="720"/>
        </w:tabs>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ascii="Arial" w:hAnsi="Arial" w:cs="Arial"/>
          <w:b/>
          <w:sz w:val="22"/>
          <w:szCs w:val="22"/>
        </w:rPr>
        <w:t>a)</w:t>
      </w:r>
      <w:r>
        <w:rPr>
          <w:rFonts w:ascii="Arial" w:hAnsi="Arial" w:cs="Arial"/>
          <w:sz w:val="22"/>
          <w:szCs w:val="22"/>
        </w:rPr>
        <w:t xml:space="preserve"> Prova de Inscrição no</w:t>
      </w:r>
      <w:r>
        <w:rPr>
          <w:rFonts w:hint="default" w:ascii="Arial" w:hAnsi="Arial" w:cs="Arial"/>
          <w:sz w:val="22"/>
          <w:szCs w:val="22"/>
          <w:lang w:val="pt-BR"/>
        </w:rPr>
        <w:t xml:space="preserve"> </w:t>
      </w:r>
      <w:r>
        <w:rPr>
          <w:rFonts w:ascii="Arial" w:hAnsi="Arial" w:cs="Arial"/>
          <w:sz w:val="22"/>
          <w:szCs w:val="22"/>
        </w:rPr>
        <w:t>Cadastro Nacional de Pessoa Jurídica (CNPJ/MF);</w:t>
      </w:r>
    </w:p>
    <w:p>
      <w:pPr>
        <w:keepNext w:val="0"/>
        <w:keepLines w:val="0"/>
        <w:pageBreakBefore w:val="0"/>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ascii="Arial" w:hAnsi="Arial" w:cs="Arial"/>
          <w:b/>
          <w:sz w:val="22"/>
          <w:szCs w:val="22"/>
        </w:rPr>
        <w:t>b)</w:t>
      </w:r>
      <w:r>
        <w:rPr>
          <w:rFonts w:ascii="Arial" w:hAnsi="Arial" w:cs="Arial"/>
          <w:sz w:val="22"/>
          <w:szCs w:val="22"/>
        </w:rPr>
        <w:t xml:space="preserve"> Prova de Inscrição no Cadastro de Contribuintes Estadual ou Municipal, se houver relativo ao domicílio ou sede da licitante, pertinente ao seu ramo de atividade e compatível com o objeto da licitação;</w:t>
      </w:r>
    </w:p>
    <w:p>
      <w:pPr>
        <w:keepNext w:val="0"/>
        <w:keepLines w:val="0"/>
        <w:pageBreakBefore w:val="0"/>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ascii="Arial" w:hAnsi="Arial" w:cs="Arial"/>
          <w:b/>
          <w:sz w:val="22"/>
          <w:szCs w:val="22"/>
        </w:rPr>
        <w:t>c)</w:t>
      </w:r>
      <w:r>
        <w:rPr>
          <w:rFonts w:ascii="Arial" w:hAnsi="Arial" w:cs="Arial"/>
          <w:sz w:val="22"/>
          <w:szCs w:val="22"/>
        </w:rPr>
        <w:t xml:space="preserve"> Prova de regularidade para com a Fazenda Federal:</w:t>
      </w:r>
    </w:p>
    <w:p>
      <w:pPr>
        <w:keepNext w:val="0"/>
        <w:keepLines w:val="0"/>
        <w:pageBreakBefore w:val="0"/>
        <w:kinsoku/>
        <w:wordWrap/>
        <w:overflowPunct/>
        <w:topLinePunct w:val="0"/>
        <w:bidi w:val="0"/>
        <w:snapToGrid w:val="0"/>
        <w:spacing w:beforeAutospacing="0" w:after="120" w:afterAutospacing="0"/>
        <w:ind w:left="960" w:leftChars="0" w:firstLine="0" w:firstLineChars="0"/>
        <w:jc w:val="both"/>
        <w:textAlignment w:val="auto"/>
        <w:rPr>
          <w:rFonts w:ascii="Arial" w:hAnsi="Arial" w:cs="Arial"/>
          <w:sz w:val="22"/>
          <w:szCs w:val="22"/>
        </w:rPr>
      </w:pPr>
      <w:r>
        <w:rPr>
          <w:rFonts w:ascii="Arial" w:hAnsi="Arial" w:cs="Arial"/>
          <w:b/>
          <w:sz w:val="22"/>
          <w:szCs w:val="22"/>
        </w:rPr>
        <w:t>c.1)</w:t>
      </w:r>
      <w:r>
        <w:rPr>
          <w:rFonts w:ascii="Arial" w:hAnsi="Arial" w:cs="Arial"/>
          <w:sz w:val="22"/>
          <w:szCs w:val="22"/>
        </w:rPr>
        <w:t xml:space="preserve"> Certidão de Débitos relativos a Créditos Tributários Federais e à Dívida Ativa da União (com base na Portaria Conjunta RFB/PGFN nº 1.751, de 02/10/2014), podendo ser retirada através dos sites: www.receita.fazenda.gov.br ou www.pgfn.fazenda.gov.br;</w:t>
      </w:r>
    </w:p>
    <w:p>
      <w:pPr>
        <w:keepNext w:val="0"/>
        <w:keepLines w:val="0"/>
        <w:pageBreakBefore w:val="0"/>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ascii="Arial" w:hAnsi="Arial" w:cs="Arial"/>
          <w:b/>
          <w:sz w:val="22"/>
          <w:szCs w:val="22"/>
        </w:rPr>
        <w:t>d)</w:t>
      </w:r>
      <w:r>
        <w:rPr>
          <w:rFonts w:ascii="Arial" w:hAnsi="Arial" w:cs="Arial"/>
          <w:sz w:val="22"/>
          <w:szCs w:val="22"/>
        </w:rPr>
        <w:t xml:space="preserve"> Prova de regularidade para com a Fazenda Estadual:</w:t>
      </w:r>
    </w:p>
    <w:p>
      <w:pPr>
        <w:keepNext w:val="0"/>
        <w:keepLines w:val="0"/>
        <w:pageBreakBefore w:val="0"/>
        <w:kinsoku/>
        <w:wordWrap/>
        <w:overflowPunct/>
        <w:topLinePunct w:val="0"/>
        <w:bidi w:val="0"/>
        <w:snapToGrid w:val="0"/>
        <w:spacing w:beforeAutospacing="0" w:after="120" w:afterAutospacing="0"/>
        <w:ind w:left="960" w:leftChars="0" w:firstLine="0" w:firstLineChars="0"/>
        <w:jc w:val="both"/>
        <w:textAlignment w:val="auto"/>
        <w:rPr>
          <w:rFonts w:ascii="Arial" w:hAnsi="Arial" w:cs="Arial"/>
          <w:sz w:val="22"/>
          <w:szCs w:val="22"/>
        </w:rPr>
      </w:pPr>
      <w:r>
        <w:rPr>
          <w:rFonts w:ascii="Arial" w:hAnsi="Arial" w:cs="Arial"/>
          <w:b/>
          <w:sz w:val="22"/>
          <w:szCs w:val="22"/>
        </w:rPr>
        <w:t>d.1)</w:t>
      </w:r>
      <w:r>
        <w:rPr>
          <w:rFonts w:ascii="Arial" w:hAnsi="Arial" w:cs="Arial"/>
          <w:sz w:val="22"/>
          <w:szCs w:val="22"/>
        </w:rPr>
        <w:t xml:space="preserve"> Certidão Negativa de Débito Fiscal (CND), expedida pela Agência Fazendária da Secretaria de Estado de Fazenda do domicílio tributário da licitante</w:t>
      </w:r>
      <w:r>
        <w:rPr>
          <w:rFonts w:hint="default" w:ascii="Arial" w:hAnsi="Arial" w:cs="Arial"/>
          <w:sz w:val="22"/>
          <w:szCs w:val="22"/>
          <w:lang w:val="pt-BR"/>
        </w:rPr>
        <w:t>;</w:t>
      </w:r>
      <w:r>
        <w:rPr>
          <w:rFonts w:ascii="Arial" w:hAnsi="Arial" w:cs="Arial"/>
          <w:sz w:val="22"/>
          <w:szCs w:val="22"/>
        </w:rPr>
        <w:t xml:space="preserve"> </w:t>
      </w:r>
    </w:p>
    <w:p>
      <w:pPr>
        <w:keepNext w:val="0"/>
        <w:keepLines w:val="0"/>
        <w:pageBreakBefore w:val="0"/>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ascii="Arial" w:hAnsi="Arial" w:cs="Arial"/>
          <w:b/>
          <w:sz w:val="22"/>
          <w:szCs w:val="22"/>
        </w:rPr>
        <w:t>e)</w:t>
      </w:r>
      <w:r>
        <w:rPr>
          <w:rFonts w:ascii="Arial" w:hAnsi="Arial" w:cs="Arial"/>
          <w:sz w:val="22"/>
          <w:szCs w:val="22"/>
        </w:rPr>
        <w:t xml:space="preserve"> Prova de regularidade para com a Fazenda Municipal:</w:t>
      </w:r>
    </w:p>
    <w:p>
      <w:pPr>
        <w:keepNext w:val="0"/>
        <w:keepLines w:val="0"/>
        <w:pageBreakBefore w:val="0"/>
        <w:kinsoku/>
        <w:wordWrap/>
        <w:overflowPunct/>
        <w:topLinePunct w:val="0"/>
        <w:bidi w:val="0"/>
        <w:snapToGrid w:val="0"/>
        <w:spacing w:beforeAutospacing="0" w:after="120" w:afterAutospacing="0"/>
        <w:ind w:left="960" w:leftChars="0" w:firstLine="0" w:firstLineChars="0"/>
        <w:jc w:val="both"/>
        <w:textAlignment w:val="auto"/>
        <w:rPr>
          <w:rFonts w:ascii="Arial" w:hAnsi="Arial" w:cs="Arial"/>
          <w:sz w:val="22"/>
          <w:szCs w:val="22"/>
        </w:rPr>
      </w:pPr>
      <w:r>
        <w:rPr>
          <w:rFonts w:ascii="Arial" w:hAnsi="Arial" w:cs="Arial"/>
          <w:b/>
          <w:sz w:val="22"/>
          <w:szCs w:val="22"/>
        </w:rPr>
        <w:t>e.1)</w:t>
      </w:r>
      <w:r>
        <w:rPr>
          <w:rFonts w:ascii="Arial" w:hAnsi="Arial" w:cs="Arial"/>
          <w:sz w:val="22"/>
          <w:szCs w:val="22"/>
        </w:rPr>
        <w:t xml:space="preserve"> Certidão negativa de débito</w:t>
      </w:r>
      <w:r>
        <w:rPr>
          <w:rFonts w:hint="default" w:ascii="Arial" w:hAnsi="Arial" w:cs="Arial"/>
          <w:sz w:val="22"/>
          <w:szCs w:val="22"/>
          <w:lang w:val="pt-BR"/>
        </w:rPr>
        <w:t xml:space="preserve">s municipais </w:t>
      </w:r>
      <w:r>
        <w:rPr>
          <w:rFonts w:ascii="Arial" w:hAnsi="Arial" w:cs="Arial"/>
          <w:sz w:val="22"/>
          <w:szCs w:val="22"/>
        </w:rPr>
        <w:t xml:space="preserve">da sede da licitante, </w:t>
      </w:r>
      <w:r>
        <w:rPr>
          <w:rFonts w:hint="default" w:ascii="Arial" w:hAnsi="Arial" w:cs="Arial"/>
          <w:sz w:val="22"/>
          <w:szCs w:val="22"/>
          <w:lang w:val="pt-BR"/>
        </w:rPr>
        <w:t xml:space="preserve">em plena </w:t>
      </w:r>
      <w:r>
        <w:rPr>
          <w:rFonts w:ascii="Arial" w:hAnsi="Arial" w:cs="Arial"/>
          <w:sz w:val="22"/>
          <w:szCs w:val="22"/>
        </w:rPr>
        <w:t>validade na data de apresentação da proposta;</w:t>
      </w:r>
    </w:p>
    <w:p>
      <w:pPr>
        <w:keepNext w:val="0"/>
        <w:keepLines w:val="0"/>
        <w:pageBreakBefore w:val="0"/>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color w:val="FF0000"/>
          <w:sz w:val="22"/>
          <w:szCs w:val="22"/>
        </w:rPr>
      </w:pPr>
      <w:r>
        <w:rPr>
          <w:rFonts w:ascii="Arial" w:hAnsi="Arial" w:cs="Arial"/>
          <w:b/>
          <w:sz w:val="22"/>
          <w:szCs w:val="22"/>
        </w:rPr>
        <w:t>f)</w:t>
      </w:r>
      <w:r>
        <w:rPr>
          <w:rFonts w:ascii="Arial" w:hAnsi="Arial" w:cs="Arial"/>
          <w:sz w:val="22"/>
          <w:szCs w:val="22"/>
        </w:rPr>
        <w:t xml:space="preserve"> Certificado de Regularidade relativo ao Fundo de Garantia por Tempo de Serviço (FGTS), demonstrando situação regular no cumprimento dos encargos sociais com validade na data de apresentação da proposta, onde poderá ser retirada no Site:</w:t>
      </w:r>
      <w:r>
        <w:rPr>
          <w:rFonts w:ascii="Arial" w:hAnsi="Arial" w:cs="Arial"/>
          <w:color w:val="FF0000"/>
          <w:sz w:val="22"/>
          <w:szCs w:val="22"/>
        </w:rPr>
        <w:t xml:space="preserve"> </w:t>
      </w:r>
      <w:r>
        <w:fldChar w:fldCharType="begin"/>
      </w:r>
      <w:r>
        <w:instrText xml:space="preserve"> HYPERLINK "http://www.caixa.gov.br" </w:instrText>
      </w:r>
      <w:r>
        <w:fldChar w:fldCharType="separate"/>
      </w:r>
      <w:r>
        <w:rPr>
          <w:rStyle w:val="17"/>
          <w:rFonts w:ascii="Arial" w:hAnsi="Arial" w:cs="Arial"/>
          <w:sz w:val="22"/>
          <w:szCs w:val="22"/>
        </w:rPr>
        <w:t>www.caixa.gov.br</w:t>
      </w:r>
      <w:r>
        <w:rPr>
          <w:rStyle w:val="17"/>
          <w:rFonts w:ascii="Arial" w:hAnsi="Arial" w:cs="Arial"/>
          <w:sz w:val="22"/>
          <w:szCs w:val="22"/>
        </w:rPr>
        <w:fldChar w:fldCharType="end"/>
      </w:r>
      <w:r>
        <w:rPr>
          <w:rFonts w:ascii="Arial" w:hAnsi="Arial" w:cs="Arial"/>
          <w:sz w:val="22"/>
          <w:szCs w:val="22"/>
        </w:rPr>
        <w:t>;</w:t>
      </w:r>
    </w:p>
    <w:p>
      <w:pPr>
        <w:keepNext w:val="0"/>
        <w:keepLines w:val="0"/>
        <w:pageBreakBefore w:val="0"/>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ascii="Arial" w:hAnsi="Arial" w:cs="Arial"/>
          <w:b/>
          <w:sz w:val="22"/>
          <w:szCs w:val="22"/>
        </w:rPr>
        <w:t>g)</w:t>
      </w:r>
      <w:r>
        <w:rPr>
          <w:rFonts w:ascii="Arial" w:hAnsi="Arial" w:cs="Arial"/>
          <w:sz w:val="22"/>
          <w:szCs w:val="22"/>
        </w:rPr>
        <w:t xml:space="preserve"> Certidão Negativa de Débitos Trabalhistas (CNDT), nos termos do Título VII-A da Consolidação das Leis do Trabalho, aprovada pelo Decreto-Lei no 5.452, de 1º de maio de 1943;</w:t>
      </w:r>
    </w:p>
    <w:p>
      <w:pPr>
        <w:keepNext w:val="0"/>
        <w:keepLines w:val="0"/>
        <w:pageBreakBefore w:val="0"/>
        <w:kinsoku/>
        <w:wordWrap/>
        <w:overflowPunct/>
        <w:topLinePunct w:val="0"/>
        <w:bidi w:val="0"/>
        <w:snapToGrid w:val="0"/>
        <w:spacing w:beforeAutospacing="0" w:after="120" w:afterAutospacing="0"/>
        <w:ind w:left="480" w:leftChars="0" w:firstLine="0" w:firstLineChars="0"/>
        <w:jc w:val="both"/>
        <w:textAlignment w:val="auto"/>
        <w:rPr>
          <w:rFonts w:ascii="Arial" w:hAnsi="Arial" w:cs="Arial"/>
          <w:sz w:val="22"/>
          <w:szCs w:val="22"/>
        </w:rPr>
      </w:pPr>
      <w:r>
        <w:rPr>
          <w:rFonts w:ascii="Arial" w:hAnsi="Arial" w:cs="Arial"/>
          <w:b/>
          <w:sz w:val="22"/>
          <w:szCs w:val="22"/>
        </w:rPr>
        <w:t>h)</w:t>
      </w:r>
      <w:r>
        <w:rPr>
          <w:rFonts w:ascii="Arial" w:hAnsi="Arial" w:cs="Arial"/>
          <w:sz w:val="22"/>
          <w:szCs w:val="22"/>
        </w:rPr>
        <w:t xml:space="preserve"> No caso das Microempresas e Empresas de Pequeno Porte, caso tenham se utilizado e se beneficiado do tratamento diferenciado e favorecido na presente licitação, na forma do disposto na Lei Complementar nº 123, de 14/12/2006, deverão apresentar toda a documentação exigida para efeito de comprovação de regularidade fiscal e trabalhista, mesmo que esta apresente alguma restrição. </w:t>
      </w:r>
    </w:p>
    <w:p>
      <w:pPr>
        <w:keepNext w:val="0"/>
        <w:keepLines w:val="0"/>
        <w:pageBreakBefore w:val="0"/>
        <w:kinsoku/>
        <w:wordWrap/>
        <w:overflowPunct/>
        <w:topLinePunct w:val="0"/>
        <w:bidi w:val="0"/>
        <w:snapToGrid w:val="0"/>
        <w:spacing w:beforeAutospacing="0" w:after="120" w:afterAutospacing="0"/>
        <w:jc w:val="both"/>
        <w:textAlignment w:val="auto"/>
        <w:rPr>
          <w:rFonts w:ascii="Arial" w:hAnsi="Arial" w:cs="Arial"/>
          <w:sz w:val="22"/>
          <w:szCs w:val="22"/>
        </w:rPr>
      </w:pPr>
      <w:r>
        <w:rPr>
          <w:rFonts w:ascii="Arial" w:hAnsi="Arial" w:cs="Arial"/>
          <w:b/>
          <w:sz w:val="22"/>
          <w:szCs w:val="22"/>
        </w:rPr>
        <w:t>10.4.3.</w:t>
      </w:r>
      <w:r>
        <w:rPr>
          <w:rFonts w:ascii="Arial" w:hAnsi="Arial" w:cs="Arial"/>
          <w:sz w:val="22"/>
          <w:szCs w:val="22"/>
        </w:rPr>
        <w:t xml:space="preserve"> </w:t>
      </w:r>
      <w:r>
        <w:rPr>
          <w:rFonts w:ascii="Arial" w:hAnsi="Arial" w:cs="Arial"/>
          <w:b/>
          <w:sz w:val="22"/>
          <w:szCs w:val="22"/>
        </w:rPr>
        <w:t>RELATIVOS À QUALIFICAÇÃO ECONÔMICO-FINANCEIRA:</w:t>
      </w:r>
    </w:p>
    <w:p>
      <w:pPr>
        <w:pStyle w:val="349"/>
        <w:keepNext w:val="0"/>
        <w:keepLines w:val="0"/>
        <w:pageBreakBefore w:val="0"/>
        <w:kinsoku/>
        <w:wordWrap/>
        <w:overflowPunct/>
        <w:topLinePunct w:val="0"/>
        <w:bidi w:val="0"/>
        <w:snapToGrid w:val="0"/>
        <w:spacing w:before="0" w:beforeAutospacing="0" w:after="120" w:afterAutospacing="0"/>
        <w:textAlignment w:val="auto"/>
        <w:rPr>
          <w:rFonts w:hint="default"/>
          <w:b w:val="0"/>
          <w:lang w:val="pt-BR"/>
        </w:rPr>
      </w:pPr>
      <w:r>
        <w:t xml:space="preserve">10.4.3.1. </w:t>
      </w:r>
      <w:r>
        <w:rPr>
          <w:rFonts w:hint="default"/>
          <w:b w:val="0"/>
          <w:bCs w:val="0"/>
          <w:lang w:val="pt-BR"/>
        </w:rPr>
        <w:t>A documentação relativa à qualificação econômico-financeira</w:t>
      </w:r>
      <w:r>
        <w:rPr>
          <w:b w:val="0"/>
        </w:rPr>
        <w:t xml:space="preserve"> </w:t>
      </w:r>
      <w:r>
        <w:rPr>
          <w:rFonts w:hint="default"/>
          <w:b w:val="0"/>
          <w:lang w:val="pt-BR"/>
        </w:rPr>
        <w:t>consiste na apresentação dos seguintes documentos:</w:t>
      </w:r>
    </w:p>
    <w:p>
      <w:pPr>
        <w:pStyle w:val="349"/>
        <w:keepNext w:val="0"/>
        <w:keepLines w:val="0"/>
        <w:pageBreakBefore w:val="0"/>
        <w:kinsoku/>
        <w:wordWrap/>
        <w:overflowPunct/>
        <w:topLinePunct w:val="0"/>
        <w:bidi w:val="0"/>
        <w:snapToGrid w:val="0"/>
        <w:spacing w:before="0" w:beforeAutospacing="0" w:after="120" w:afterAutospacing="0"/>
        <w:textAlignment w:val="auto"/>
        <w:rPr>
          <w:b w:val="0"/>
        </w:rPr>
      </w:pPr>
      <w:r>
        <w:rPr>
          <w:rFonts w:hint="default"/>
          <w:b/>
          <w:bCs w:val="0"/>
          <w:u w:val="none"/>
          <w:lang w:val="pt-BR"/>
        </w:rPr>
        <w:t xml:space="preserve">a) </w:t>
      </w:r>
      <w:r>
        <w:rPr>
          <w:b w:val="0"/>
          <w:u w:val="single"/>
        </w:rPr>
        <w:t>Demonstrações Contábeis, incluindo o Balanço Patrimonial do último exercício social</w:t>
      </w:r>
      <w:r>
        <w:rPr>
          <w:b w:val="0"/>
        </w:rPr>
        <w:t xml:space="preserve">, já exigíveis e apresentados na forma da Lei devidamente publicados, que comprovem a boa situação financeira da empresa, </w:t>
      </w:r>
      <w:r>
        <w:rPr>
          <w:b w:val="0"/>
          <w:u w:val="single"/>
        </w:rPr>
        <w:t>vedada a sua substituição por balancetes ou balanços provisórios</w:t>
      </w:r>
      <w:r>
        <w:rPr>
          <w:b w:val="0"/>
        </w:rPr>
        <w:t>, podendo ser atualizados, quando encerrados há mais de 03 (três) meses da data de apresentação da proposta, tomando como base a variação, ocorrida no período, do ÍNDICE GERAL DE PREÇOS – IGP-DI, publicado pela Fundação Getúlio Vargas – FGV ou outro indicador que venha substituir;</w:t>
      </w:r>
    </w:p>
    <w:p>
      <w:pPr>
        <w:pStyle w:val="348"/>
        <w:keepNext w:val="0"/>
        <w:keepLines w:val="0"/>
        <w:pageBreakBefore w:val="0"/>
        <w:tabs>
          <w:tab w:val="left" w:pos="480"/>
          <w:tab w:val="clear" w:pos="0"/>
        </w:tabs>
        <w:kinsoku/>
        <w:wordWrap/>
        <w:overflowPunct/>
        <w:topLinePunct w:val="0"/>
        <w:bidi w:val="0"/>
        <w:snapToGrid w:val="0"/>
        <w:spacing w:before="0" w:beforeAutospacing="0" w:after="120" w:afterAutospacing="0"/>
        <w:ind w:left="480" w:leftChars="200" w:firstLine="0" w:firstLineChars="0"/>
        <w:textAlignment w:val="auto"/>
      </w:pPr>
      <w:r>
        <w:rPr>
          <w:rFonts w:hint="default"/>
          <w:b/>
          <w:bCs w:val="0"/>
          <w:lang w:val="pt-BR"/>
        </w:rPr>
        <w:t>a.1</w:t>
      </w:r>
      <w:r>
        <w:rPr>
          <w:b/>
          <w:bCs w:val="0"/>
        </w:rPr>
        <w:t>)</w:t>
      </w:r>
      <w:r>
        <w:t xml:space="preserve"> O balanço quando escriturado em livro digital deverá vir acompanhado de “Recibo de entrega de livro digital”. Apresentar também termos de abertura e de encerramento dos livros contábeis. Observações</w:t>
      </w:r>
      <w:r>
        <w:rPr>
          <w:u w:val="single"/>
        </w:rPr>
        <w:t>: serão considerados</w:t>
      </w:r>
      <w:r>
        <w:t xml:space="preserve"> aceitos como na forma da lei o balanço patrimonial e demonstrações contábeis assim apresentados: </w:t>
      </w:r>
    </w:p>
    <w:p>
      <w:pPr>
        <w:pStyle w:val="348"/>
        <w:keepNext w:val="0"/>
        <w:keepLines w:val="0"/>
        <w:pageBreakBefore w:val="0"/>
        <w:kinsoku/>
        <w:wordWrap/>
        <w:overflowPunct/>
        <w:topLinePunct w:val="0"/>
        <w:bidi w:val="0"/>
        <w:snapToGrid w:val="0"/>
        <w:spacing w:before="0" w:beforeAutospacing="0" w:after="120" w:afterAutospacing="0"/>
        <w:ind w:left="960" w:leftChars="400" w:firstLine="0" w:firstLineChars="0"/>
        <w:textAlignment w:val="auto"/>
      </w:pPr>
      <w:r>
        <w:rPr>
          <w:rFonts w:hint="default"/>
          <w:b/>
          <w:bCs w:val="0"/>
          <w:lang w:val="pt-BR"/>
        </w:rPr>
        <w:t>a</w:t>
      </w:r>
      <w:r>
        <w:rPr>
          <w:b/>
          <w:bCs w:val="0"/>
        </w:rPr>
        <w:t>.1</w:t>
      </w:r>
      <w:r>
        <w:rPr>
          <w:rFonts w:hint="default"/>
          <w:b/>
          <w:bCs w:val="0"/>
          <w:lang w:val="pt-BR"/>
        </w:rPr>
        <w:t>.1</w:t>
      </w:r>
      <w:r>
        <w:rPr>
          <w:b/>
          <w:bCs w:val="0"/>
        </w:rPr>
        <w:t>)</w:t>
      </w:r>
      <w:r>
        <w:t xml:space="preserve"> Sociedades regidas pela Lei nº. 6.404/76 (sociedade anônima):</w:t>
      </w:r>
    </w:p>
    <w:p>
      <w:pPr>
        <w:pStyle w:val="348"/>
        <w:keepNext w:val="0"/>
        <w:keepLines w:val="0"/>
        <w:pageBreakBefore w:val="0"/>
        <w:kinsoku/>
        <w:wordWrap/>
        <w:overflowPunct/>
        <w:topLinePunct w:val="0"/>
        <w:bidi w:val="0"/>
        <w:snapToGrid w:val="0"/>
        <w:spacing w:before="0" w:beforeAutospacing="0" w:after="120" w:afterAutospacing="0"/>
        <w:ind w:left="960" w:leftChars="400" w:firstLine="0" w:firstLineChars="0"/>
        <w:textAlignment w:val="auto"/>
      </w:pPr>
      <w:r>
        <w:t>-Publicados em Diário Oficial; ou,</w:t>
      </w:r>
    </w:p>
    <w:p>
      <w:pPr>
        <w:pStyle w:val="348"/>
        <w:keepNext w:val="0"/>
        <w:keepLines w:val="0"/>
        <w:pageBreakBefore w:val="0"/>
        <w:kinsoku/>
        <w:wordWrap/>
        <w:overflowPunct/>
        <w:topLinePunct w:val="0"/>
        <w:bidi w:val="0"/>
        <w:snapToGrid w:val="0"/>
        <w:spacing w:before="0" w:beforeAutospacing="0" w:after="120" w:afterAutospacing="0"/>
        <w:ind w:left="960" w:leftChars="400" w:firstLine="0" w:firstLineChars="0"/>
        <w:textAlignment w:val="auto"/>
      </w:pPr>
      <w:r>
        <w:t>-Publicados em jornal de grande circulação; ou,</w:t>
      </w:r>
    </w:p>
    <w:p>
      <w:pPr>
        <w:pStyle w:val="348"/>
        <w:keepNext w:val="0"/>
        <w:keepLines w:val="0"/>
        <w:pageBreakBefore w:val="0"/>
        <w:kinsoku/>
        <w:wordWrap/>
        <w:overflowPunct/>
        <w:topLinePunct w:val="0"/>
        <w:bidi w:val="0"/>
        <w:snapToGrid w:val="0"/>
        <w:spacing w:before="0" w:beforeAutospacing="0" w:after="120" w:afterAutospacing="0"/>
        <w:ind w:left="960" w:leftChars="400" w:firstLine="0" w:firstLineChars="0"/>
        <w:textAlignment w:val="auto"/>
      </w:pPr>
      <w:r>
        <w:t>-Por fotocópia registrada ou autenticada na Junta Comercial da sede ou domicílio da licitante;</w:t>
      </w:r>
    </w:p>
    <w:p>
      <w:pPr>
        <w:pStyle w:val="348"/>
        <w:keepNext w:val="0"/>
        <w:keepLines w:val="0"/>
        <w:pageBreakBefore w:val="0"/>
        <w:kinsoku/>
        <w:wordWrap/>
        <w:overflowPunct/>
        <w:topLinePunct w:val="0"/>
        <w:bidi w:val="0"/>
        <w:snapToGrid w:val="0"/>
        <w:spacing w:before="0" w:beforeAutospacing="0" w:after="120" w:afterAutospacing="0"/>
        <w:ind w:left="960" w:leftChars="400" w:firstLine="0" w:firstLineChars="0"/>
        <w:textAlignment w:val="auto"/>
      </w:pPr>
      <w:r>
        <w:rPr>
          <w:rFonts w:hint="default"/>
          <w:b/>
          <w:bCs w:val="0"/>
          <w:lang w:val="pt-BR"/>
        </w:rPr>
        <w:t>a.1</w:t>
      </w:r>
      <w:r>
        <w:rPr>
          <w:b/>
          <w:bCs w:val="0"/>
        </w:rPr>
        <w:t xml:space="preserve">.2) </w:t>
      </w:r>
      <w:r>
        <w:t>Sociedades por cota de responsabilidade limitada (LTDA):</w:t>
      </w:r>
    </w:p>
    <w:p>
      <w:pPr>
        <w:pStyle w:val="348"/>
        <w:keepNext w:val="0"/>
        <w:keepLines w:val="0"/>
        <w:pageBreakBefore w:val="0"/>
        <w:kinsoku/>
        <w:wordWrap/>
        <w:overflowPunct/>
        <w:topLinePunct w:val="0"/>
        <w:bidi w:val="0"/>
        <w:snapToGrid w:val="0"/>
        <w:spacing w:before="0" w:beforeAutospacing="0" w:after="120" w:afterAutospacing="0"/>
        <w:ind w:left="960" w:leftChars="400" w:firstLine="0" w:firstLineChars="0"/>
        <w:textAlignment w:val="auto"/>
      </w:pPr>
      <w:r>
        <w:t>-Acompanhados por fotocópia dos Termos de Abertura e de Encerramento do Livro Diário, devidamente autenticado na Junta Comercial da sede ou domicílio da licitante ou em outro órgão equivalente;</w:t>
      </w:r>
    </w:p>
    <w:p>
      <w:pPr>
        <w:pStyle w:val="348"/>
        <w:keepNext w:val="0"/>
        <w:keepLines w:val="0"/>
        <w:pageBreakBefore w:val="0"/>
        <w:kinsoku/>
        <w:wordWrap/>
        <w:overflowPunct/>
        <w:topLinePunct w:val="0"/>
        <w:bidi w:val="0"/>
        <w:snapToGrid w:val="0"/>
        <w:spacing w:before="0" w:beforeAutospacing="0" w:after="120" w:afterAutospacing="0"/>
        <w:ind w:left="960" w:leftChars="400" w:firstLine="0" w:firstLineChars="0"/>
        <w:textAlignment w:val="auto"/>
      </w:pPr>
      <w:r>
        <w:rPr>
          <w:rFonts w:hint="default"/>
          <w:b/>
          <w:bCs w:val="0"/>
          <w:lang w:val="pt-BR"/>
        </w:rPr>
        <w:t>a.1</w:t>
      </w:r>
      <w:r>
        <w:rPr>
          <w:b/>
          <w:bCs w:val="0"/>
        </w:rPr>
        <w:t>.3)</w:t>
      </w:r>
      <w:r>
        <w:t xml:space="preserve"> Sociedades sujeitas ao regime estabelecido na Lei Complementar 123/2006 – Estatuto da Microempresa e da Empresa de Pequeno Porte: acompanhados por fotocópia dos Termos de Abertura e de encerramento do Livro Diário, devidamente autenticado na Junta Comercial da sede ou domicílio da licitante ou em outro órgão equivalente; ou declaração simplificada do último imposto de renda;</w:t>
      </w:r>
    </w:p>
    <w:p>
      <w:pPr>
        <w:pStyle w:val="348"/>
        <w:keepNext w:val="0"/>
        <w:keepLines w:val="0"/>
        <w:pageBreakBefore w:val="0"/>
        <w:kinsoku/>
        <w:wordWrap/>
        <w:overflowPunct/>
        <w:topLinePunct w:val="0"/>
        <w:bidi w:val="0"/>
        <w:snapToGrid w:val="0"/>
        <w:spacing w:before="0" w:beforeAutospacing="0" w:after="120" w:afterAutospacing="0"/>
        <w:ind w:left="960" w:leftChars="400" w:firstLine="0" w:firstLineChars="0"/>
        <w:textAlignment w:val="auto"/>
      </w:pPr>
      <w:r>
        <w:rPr>
          <w:rFonts w:hint="default"/>
          <w:b/>
          <w:bCs w:val="0"/>
          <w:lang w:val="pt-BR"/>
        </w:rPr>
        <w:t>a.1</w:t>
      </w:r>
      <w:r>
        <w:rPr>
          <w:b/>
          <w:bCs w:val="0"/>
        </w:rPr>
        <w:t xml:space="preserve">.4) </w:t>
      </w:r>
      <w:r>
        <w:t>Sociedade criada no exercício em curso ou inativa no exercício anterior: fotocópia do Balanço de Abertura ou cópia do livro diário contendo o balanço de abertura, inclusive com os termos de abertura e encerramento devidamente registrado ou autenticado na Junta Comercial da sede ou domicílio dos licitantes nos casos de sociedades anônimas;</w:t>
      </w:r>
    </w:p>
    <w:p>
      <w:pPr>
        <w:pStyle w:val="348"/>
        <w:keepNext w:val="0"/>
        <w:keepLines w:val="0"/>
        <w:pageBreakBefore w:val="0"/>
        <w:kinsoku/>
        <w:wordWrap/>
        <w:overflowPunct/>
        <w:topLinePunct w:val="0"/>
        <w:bidi w:val="0"/>
        <w:snapToGrid w:val="0"/>
        <w:spacing w:before="0" w:beforeAutospacing="0" w:after="120" w:afterAutospacing="0"/>
        <w:ind w:left="960" w:leftChars="400" w:firstLine="0" w:firstLineChars="0"/>
        <w:textAlignment w:val="auto"/>
      </w:pPr>
      <w:r>
        <w:rPr>
          <w:rFonts w:hint="default"/>
          <w:b/>
          <w:bCs w:val="0"/>
          <w:lang w:val="pt-BR"/>
        </w:rPr>
        <w:t>a.1</w:t>
      </w:r>
      <w:r>
        <w:rPr>
          <w:b/>
          <w:bCs w:val="0"/>
        </w:rPr>
        <w:t>.5)</w:t>
      </w:r>
      <w:r>
        <w:t xml:space="preserve"> Balanço patrimonial e demonstrações contábeis do último exercício social, já exigíveis e apresentados na forma da Lei, que comprovem a boa situação financeira da empresa, vedada a sua substituição por balancetes ou balanços provisórios;</w:t>
      </w:r>
    </w:p>
    <w:p>
      <w:pPr>
        <w:pStyle w:val="348"/>
        <w:keepNext w:val="0"/>
        <w:keepLines w:val="0"/>
        <w:pageBreakBefore w:val="0"/>
        <w:kinsoku/>
        <w:wordWrap/>
        <w:overflowPunct/>
        <w:topLinePunct w:val="0"/>
        <w:bidi w:val="0"/>
        <w:snapToGrid w:val="0"/>
        <w:spacing w:before="0" w:beforeAutospacing="0" w:after="120" w:afterAutospacing="0"/>
        <w:ind w:left="1440" w:leftChars="600" w:firstLine="0" w:firstLineChars="0"/>
        <w:textAlignment w:val="auto"/>
        <w:rPr>
          <w:rFonts w:hint="default"/>
          <w:lang w:val="pt-BR"/>
        </w:rPr>
      </w:pPr>
      <w:r>
        <w:rPr>
          <w:rFonts w:hint="default"/>
          <w:b/>
          <w:bCs w:val="0"/>
          <w:lang w:val="pt-BR"/>
        </w:rPr>
        <w:t>a</w:t>
      </w:r>
      <w:r>
        <w:rPr>
          <w:b/>
          <w:bCs w:val="0"/>
        </w:rPr>
        <w:t>.</w:t>
      </w:r>
      <w:r>
        <w:rPr>
          <w:rFonts w:hint="default"/>
          <w:b/>
          <w:bCs w:val="0"/>
          <w:lang w:val="pt-BR"/>
        </w:rPr>
        <w:t>1</w:t>
      </w:r>
      <w:r>
        <w:rPr>
          <w:b/>
          <w:bCs w:val="0"/>
        </w:rPr>
        <w:t>.</w:t>
      </w:r>
      <w:r>
        <w:rPr>
          <w:rFonts w:hint="default"/>
          <w:b/>
          <w:bCs w:val="0"/>
          <w:lang w:val="pt-BR"/>
        </w:rPr>
        <w:t>5.1</w:t>
      </w:r>
      <w:r>
        <w:rPr>
          <w:b/>
          <w:bCs w:val="0"/>
        </w:rPr>
        <w:t>)</w:t>
      </w:r>
      <w:r>
        <w:t xml:space="preserve"> O balanço patrimonial, as demonstrações e o balanço de abertura deverão estar assinados pelos administradores das empresas constante do ato constitutivo, estatuto ou contrato social e por Contador legalmente habilitado</w:t>
      </w:r>
      <w:r>
        <w:rPr>
          <w:color w:val="000000"/>
          <w:lang w:eastAsia="en-US"/>
        </w:rPr>
        <w:t xml:space="preserve"> ou por </w:t>
      </w:r>
      <w:r>
        <w:rPr>
          <w:lang w:eastAsia="en-US"/>
        </w:rPr>
        <w:t>outro profissional equivalente, devidamente registrado no Conselho Regional de Contabilidade</w:t>
      </w:r>
      <w:r>
        <w:rPr>
          <w:rFonts w:hint="default"/>
          <w:lang w:val="pt-BR" w:eastAsia="en-US"/>
        </w:rPr>
        <w:t>.</w:t>
      </w:r>
    </w:p>
    <w:p>
      <w:pPr>
        <w:pStyle w:val="348"/>
        <w:keepNext w:val="0"/>
        <w:keepLines w:val="0"/>
        <w:pageBreakBefore w:val="0"/>
        <w:kinsoku/>
        <w:wordWrap/>
        <w:overflowPunct/>
        <w:topLinePunct w:val="0"/>
        <w:bidi w:val="0"/>
        <w:snapToGrid w:val="0"/>
        <w:spacing w:before="0" w:beforeAutospacing="0" w:after="120" w:afterAutospacing="0"/>
        <w:textAlignment w:val="auto"/>
      </w:pPr>
      <w:r>
        <w:rPr>
          <w:rFonts w:hint="default"/>
          <w:b/>
          <w:bCs w:val="0"/>
          <w:lang w:val="pt-BR"/>
        </w:rPr>
        <w:t>b)</w:t>
      </w:r>
      <w: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pPr>
        <w:keepNext w:val="0"/>
        <w:keepLines w:val="0"/>
        <w:pageBreakBefore w:val="0"/>
        <w:tabs>
          <w:tab w:val="left" w:pos="567"/>
          <w:tab w:val="left" w:pos="851"/>
        </w:tabs>
        <w:kinsoku/>
        <w:wordWrap/>
        <w:overflowPunct/>
        <w:topLinePunct w:val="0"/>
        <w:autoSpaceDE w:val="0"/>
        <w:autoSpaceDN w:val="0"/>
        <w:bidi w:val="0"/>
        <w:adjustRightInd w:val="0"/>
        <w:snapToGrid w:val="0"/>
        <w:spacing w:beforeAutospacing="0" w:after="120" w:afterAutospacing="0"/>
        <w:ind w:left="480" w:leftChars="0" w:firstLine="0" w:firstLineChars="0"/>
        <w:jc w:val="both"/>
        <w:textAlignment w:val="auto"/>
        <w:rPr>
          <w:rFonts w:ascii="Arial" w:hAnsi="Arial" w:cs="Arial"/>
          <w:sz w:val="22"/>
          <w:szCs w:val="22"/>
        </w:rPr>
      </w:pPr>
      <w:r>
        <w:rPr>
          <w:rFonts w:ascii="Arial" w:hAnsi="Arial" w:cs="Arial"/>
          <w:b/>
          <w:bCs/>
          <w:sz w:val="22"/>
          <w:szCs w:val="22"/>
        </w:rPr>
        <w:t xml:space="preserve">I. </w:t>
      </w:r>
      <w:r>
        <w:rPr>
          <w:rFonts w:ascii="Arial" w:hAnsi="Arial" w:cs="Arial"/>
          <w:sz w:val="22"/>
          <w:szCs w:val="22"/>
        </w:rPr>
        <w:t>Recibo de Entrega de Livro Digital transmitido através do Sistema Público de Escrituração Digital – Sped;</w:t>
      </w:r>
    </w:p>
    <w:p>
      <w:pPr>
        <w:keepNext w:val="0"/>
        <w:keepLines w:val="0"/>
        <w:pageBreakBefore w:val="0"/>
        <w:tabs>
          <w:tab w:val="left" w:pos="567"/>
          <w:tab w:val="left" w:pos="851"/>
        </w:tabs>
        <w:kinsoku/>
        <w:wordWrap/>
        <w:overflowPunct/>
        <w:topLinePunct w:val="0"/>
        <w:autoSpaceDE w:val="0"/>
        <w:autoSpaceDN w:val="0"/>
        <w:bidi w:val="0"/>
        <w:adjustRightInd w:val="0"/>
        <w:snapToGrid w:val="0"/>
        <w:spacing w:beforeAutospacing="0" w:after="120" w:afterAutospacing="0"/>
        <w:ind w:left="480" w:leftChars="0" w:firstLine="0" w:firstLineChars="0"/>
        <w:jc w:val="both"/>
        <w:textAlignment w:val="auto"/>
        <w:rPr>
          <w:rFonts w:ascii="Arial" w:hAnsi="Arial" w:cs="Arial"/>
          <w:sz w:val="22"/>
          <w:szCs w:val="22"/>
        </w:rPr>
      </w:pPr>
      <w:r>
        <w:rPr>
          <w:rFonts w:ascii="Arial" w:hAnsi="Arial" w:cs="Arial"/>
          <w:b/>
          <w:bCs/>
          <w:sz w:val="22"/>
          <w:szCs w:val="22"/>
        </w:rPr>
        <w:t xml:space="preserve">II. </w:t>
      </w:r>
      <w:r>
        <w:rPr>
          <w:rFonts w:ascii="Arial" w:hAnsi="Arial" w:cs="Arial"/>
          <w:sz w:val="22"/>
          <w:szCs w:val="22"/>
        </w:rPr>
        <w:t>Termos de Abertura e Encerramento do Livro Diário Digital extraídos do Sistema Público de Escrituração Digital – Sped;</w:t>
      </w:r>
    </w:p>
    <w:p>
      <w:pPr>
        <w:keepNext w:val="0"/>
        <w:keepLines w:val="0"/>
        <w:pageBreakBefore w:val="0"/>
        <w:tabs>
          <w:tab w:val="left" w:pos="567"/>
          <w:tab w:val="left" w:pos="851"/>
        </w:tabs>
        <w:kinsoku/>
        <w:wordWrap/>
        <w:overflowPunct/>
        <w:topLinePunct w:val="0"/>
        <w:autoSpaceDE w:val="0"/>
        <w:autoSpaceDN w:val="0"/>
        <w:bidi w:val="0"/>
        <w:adjustRightInd w:val="0"/>
        <w:snapToGrid w:val="0"/>
        <w:spacing w:beforeAutospacing="0" w:after="120" w:afterAutospacing="0"/>
        <w:ind w:left="480" w:leftChars="0" w:firstLine="0" w:firstLineChars="0"/>
        <w:jc w:val="both"/>
        <w:textAlignment w:val="auto"/>
        <w:rPr>
          <w:rFonts w:hint="default" w:ascii="Arial" w:hAnsi="Arial" w:cs="Arial"/>
          <w:sz w:val="22"/>
          <w:szCs w:val="22"/>
          <w:lang w:val="pt-BR"/>
        </w:rPr>
      </w:pPr>
      <w:r>
        <w:rPr>
          <w:rFonts w:ascii="Arial" w:hAnsi="Arial" w:cs="Arial"/>
          <w:b/>
          <w:bCs/>
          <w:sz w:val="22"/>
          <w:szCs w:val="22"/>
        </w:rPr>
        <w:t xml:space="preserve">III. </w:t>
      </w:r>
      <w:r>
        <w:rPr>
          <w:rFonts w:ascii="Arial" w:hAnsi="Arial" w:cs="Arial"/>
          <w:sz w:val="22"/>
          <w:szCs w:val="22"/>
        </w:rPr>
        <w:t>Balanço e Demonstração do Resultado do Exercício extraídos do Sistema Público de Escrituração Digital – Sped</w:t>
      </w:r>
      <w:r>
        <w:rPr>
          <w:rFonts w:hint="default" w:ascii="Arial" w:hAnsi="Arial" w:cs="Arial"/>
          <w:sz w:val="22"/>
          <w:szCs w:val="22"/>
          <w:lang w:val="pt-BR"/>
        </w:rPr>
        <w:t>.</w:t>
      </w:r>
    </w:p>
    <w:p>
      <w:pPr>
        <w:keepNext w:val="0"/>
        <w:keepLines w:val="0"/>
        <w:pageBreakBefore w:val="0"/>
        <w:tabs>
          <w:tab w:val="left" w:pos="567"/>
          <w:tab w:val="left" w:pos="851"/>
        </w:tabs>
        <w:kinsoku/>
        <w:wordWrap/>
        <w:overflowPunct/>
        <w:topLinePunct w:val="0"/>
        <w:autoSpaceDE w:val="0"/>
        <w:autoSpaceDN w:val="0"/>
        <w:bidi w:val="0"/>
        <w:adjustRightInd w:val="0"/>
        <w:snapToGrid w:val="0"/>
        <w:spacing w:beforeAutospacing="0" w:after="120" w:afterAutospacing="0"/>
        <w:ind w:left="0" w:leftChars="0" w:firstLine="0" w:firstLineChars="0"/>
        <w:jc w:val="both"/>
        <w:textAlignment w:val="auto"/>
        <w:rPr>
          <w:rFonts w:ascii="Arial" w:hAnsi="Arial" w:cs="Arial"/>
          <w:sz w:val="22"/>
          <w:szCs w:val="22"/>
        </w:rPr>
      </w:pPr>
      <w:r>
        <w:rPr>
          <w:rFonts w:hint="default" w:ascii="Arial" w:hAnsi="Arial" w:cs="Arial"/>
          <w:b/>
          <w:bCs/>
          <w:sz w:val="22"/>
          <w:szCs w:val="22"/>
          <w:lang w:val="pt-BR"/>
        </w:rPr>
        <w:t xml:space="preserve">c) </w:t>
      </w:r>
      <w:r>
        <w:rPr>
          <w:rFonts w:hint="default" w:ascii="Arial" w:hAnsi="Arial" w:cs="Arial"/>
          <w:b w:val="0"/>
          <w:bCs w:val="0"/>
          <w:sz w:val="22"/>
          <w:szCs w:val="22"/>
          <w:lang w:val="pt-BR"/>
        </w:rPr>
        <w:t xml:space="preserve">Comprovante de </w:t>
      </w:r>
      <w:r>
        <w:rPr>
          <w:rFonts w:ascii="Arial" w:hAnsi="Arial" w:cs="Arial"/>
          <w:sz w:val="22"/>
          <w:szCs w:val="22"/>
        </w:rPr>
        <w:t>boa situação financeira d</w:t>
      </w:r>
      <w:r>
        <w:rPr>
          <w:rFonts w:hint="default" w:ascii="Arial" w:hAnsi="Arial" w:cs="Arial"/>
          <w:sz w:val="22"/>
          <w:szCs w:val="22"/>
          <w:lang w:val="pt-BR"/>
        </w:rPr>
        <w:t>a</w:t>
      </w:r>
      <w:r>
        <w:rPr>
          <w:rFonts w:ascii="Arial" w:hAnsi="Arial" w:cs="Arial"/>
          <w:sz w:val="22"/>
          <w:szCs w:val="22"/>
        </w:rPr>
        <w:t xml:space="preserve"> licitante</w:t>
      </w:r>
      <w:r>
        <w:rPr>
          <w:rFonts w:hint="default" w:ascii="Arial" w:hAnsi="Arial" w:cs="Arial"/>
          <w:sz w:val="22"/>
          <w:szCs w:val="22"/>
          <w:lang w:val="pt-BR"/>
        </w:rPr>
        <w:t>, a qual</w:t>
      </w:r>
      <w:r>
        <w:rPr>
          <w:rFonts w:ascii="Arial" w:hAnsi="Arial" w:cs="Arial"/>
          <w:sz w:val="22"/>
          <w:szCs w:val="22"/>
        </w:rPr>
        <w:t xml:space="preserve"> será avaliada pelos Índices de Liquidez Geral (LG), Solvência Geral (SG) e Liquidez Corrente (LC), maiores que 1 (um), resultantes da aplicação das fórmulas abaixo, com os valores extraídos de seu balanço patrimonial:</w:t>
      </w:r>
    </w:p>
    <w:tbl>
      <w:tblPr>
        <w:tblStyle w:val="12"/>
        <w:tblW w:w="8632" w:type="dxa"/>
        <w:tblInd w:w="1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0"/>
        <w:gridCol w:w="7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tcBorders>
              <w:top w:val="single" w:color="auto" w:sz="4" w:space="0"/>
              <w:left w:val="single" w:color="auto" w:sz="4" w:space="0"/>
              <w:bottom w:val="single" w:color="auto" w:sz="4" w:space="0"/>
              <w:right w:val="single" w:color="auto" w:sz="4" w:space="0"/>
            </w:tcBorders>
            <w:vAlign w:val="center"/>
          </w:tcPr>
          <w:p>
            <w:pPr>
              <w:suppressAutoHyphens/>
              <w:spacing w:before="100" w:beforeAutospacing="1" w:after="100" w:afterAutospacing="1"/>
              <w:ind w:left="-788" w:firstLine="788"/>
              <w:jc w:val="center"/>
              <w:rPr>
                <w:rFonts w:ascii="Arial" w:hAnsi="Arial" w:cs="Arial"/>
                <w:sz w:val="22"/>
                <w:szCs w:val="22"/>
                <w:lang w:eastAsia="ar-SA"/>
              </w:rPr>
            </w:pPr>
            <w:r>
              <w:rPr>
                <w:rFonts w:ascii="Arial" w:hAnsi="Arial" w:cs="Arial"/>
                <w:sz w:val="22"/>
                <w:szCs w:val="22"/>
                <w:lang w:eastAsia="ar-SA"/>
              </w:rPr>
              <w:t>ILG =</w:t>
            </w:r>
          </w:p>
        </w:tc>
        <w:tc>
          <w:tcPr>
            <w:tcW w:w="7382" w:type="dxa"/>
            <w:tcBorders>
              <w:top w:val="single" w:color="auto" w:sz="4" w:space="0"/>
              <w:left w:val="single" w:color="auto" w:sz="4" w:space="0"/>
              <w:bottom w:val="nil"/>
              <w:right w:val="single" w:color="auto" w:sz="4" w:space="0"/>
            </w:tcBorders>
            <w:vAlign w:val="center"/>
          </w:tcPr>
          <w:p>
            <w:pPr>
              <w:suppressAutoHyphens/>
              <w:spacing w:before="100" w:beforeAutospacing="1" w:after="100" w:afterAutospacing="1"/>
              <w:jc w:val="center"/>
              <w:rPr>
                <w:rFonts w:ascii="Arial" w:hAnsi="Arial" w:cs="Arial"/>
                <w:sz w:val="22"/>
                <w:szCs w:val="22"/>
                <w:u w:val="single"/>
                <w:lang w:eastAsia="ar-SA"/>
              </w:rPr>
            </w:pPr>
            <w:r>
              <w:rPr>
                <w:rFonts w:ascii="Arial" w:hAnsi="Arial" w:cs="Arial"/>
                <w:sz w:val="22"/>
                <w:szCs w:val="22"/>
                <w:u w:val="single"/>
                <w:lang w:eastAsia="ar-SA"/>
              </w:rPr>
              <w:t>Ativo Circulante + Realizável a Longo Prazo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ascii="Arial" w:hAnsi="Arial" w:cs="Arial"/>
                <w:sz w:val="22"/>
                <w:szCs w:val="22"/>
                <w:lang w:eastAsia="ar-SA"/>
              </w:rPr>
            </w:pPr>
          </w:p>
        </w:tc>
        <w:tc>
          <w:tcPr>
            <w:tcW w:w="7382" w:type="dxa"/>
            <w:tcBorders>
              <w:top w:val="nil"/>
              <w:left w:val="single" w:color="auto" w:sz="4" w:space="0"/>
              <w:bottom w:val="single" w:color="auto" w:sz="4" w:space="0"/>
              <w:right w:val="single" w:color="auto" w:sz="4" w:space="0"/>
            </w:tcBorders>
            <w:vAlign w:val="center"/>
          </w:tcPr>
          <w:p>
            <w:pPr>
              <w:suppressAutoHyphens/>
              <w:spacing w:before="100" w:beforeAutospacing="1" w:after="100" w:afterAutospacing="1"/>
              <w:jc w:val="center"/>
              <w:rPr>
                <w:rFonts w:ascii="Arial" w:hAnsi="Arial" w:cs="Arial"/>
                <w:sz w:val="22"/>
                <w:szCs w:val="22"/>
                <w:lang w:eastAsia="ar-SA"/>
              </w:rPr>
            </w:pPr>
            <w:r>
              <w:rPr>
                <w:rFonts w:ascii="Arial" w:hAnsi="Arial" w:cs="Arial"/>
                <w:sz w:val="22"/>
                <w:szCs w:val="22"/>
                <w:lang w:eastAsia="ar-SA"/>
              </w:rPr>
              <w:t>Passivo Circulante + Passivo Não Circulante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restart"/>
            <w:tcBorders>
              <w:top w:val="single" w:color="auto" w:sz="4" w:space="0"/>
              <w:left w:val="single" w:color="auto" w:sz="4" w:space="0"/>
              <w:bottom w:val="single" w:color="auto" w:sz="4" w:space="0"/>
              <w:right w:val="single" w:color="auto" w:sz="4" w:space="0"/>
            </w:tcBorders>
            <w:vAlign w:val="center"/>
          </w:tcPr>
          <w:p>
            <w:pPr>
              <w:suppressAutoHyphens/>
              <w:spacing w:before="100" w:beforeAutospacing="1" w:after="100" w:afterAutospacing="1"/>
              <w:jc w:val="center"/>
              <w:rPr>
                <w:rFonts w:ascii="Arial" w:hAnsi="Arial" w:cs="Arial"/>
                <w:sz w:val="22"/>
                <w:szCs w:val="22"/>
                <w:lang w:eastAsia="ar-SA"/>
              </w:rPr>
            </w:pPr>
            <w:r>
              <w:rPr>
                <w:rFonts w:ascii="Arial" w:hAnsi="Arial" w:cs="Arial"/>
                <w:sz w:val="22"/>
                <w:szCs w:val="22"/>
                <w:lang w:eastAsia="ar-SA"/>
              </w:rPr>
              <w:t>ISG =</w:t>
            </w:r>
          </w:p>
        </w:tc>
        <w:tc>
          <w:tcPr>
            <w:tcW w:w="7382" w:type="dxa"/>
            <w:tcBorders>
              <w:top w:val="single" w:color="auto" w:sz="4" w:space="0"/>
              <w:left w:val="single" w:color="auto" w:sz="4" w:space="0"/>
              <w:bottom w:val="nil"/>
              <w:right w:val="single" w:color="auto" w:sz="4" w:space="0"/>
            </w:tcBorders>
            <w:vAlign w:val="center"/>
          </w:tcPr>
          <w:p>
            <w:pPr>
              <w:suppressAutoHyphens/>
              <w:spacing w:before="100" w:beforeAutospacing="1" w:after="100" w:afterAutospacing="1"/>
              <w:jc w:val="center"/>
              <w:rPr>
                <w:rFonts w:ascii="Arial" w:hAnsi="Arial" w:cs="Arial"/>
                <w:sz w:val="22"/>
                <w:szCs w:val="22"/>
                <w:u w:val="single"/>
                <w:lang w:eastAsia="ar-SA"/>
              </w:rPr>
            </w:pPr>
            <w:r>
              <w:rPr>
                <w:rFonts w:ascii="Arial" w:hAnsi="Arial" w:cs="Arial"/>
                <w:sz w:val="22"/>
                <w:szCs w:val="22"/>
                <w:u w:val="single"/>
                <w:lang w:eastAsia="ar-SA"/>
              </w:rPr>
              <w:t>Ativo Total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0" w:type="dxa"/>
            <w:vMerge w:val="continue"/>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center"/>
              <w:rPr>
                <w:rFonts w:ascii="Arial" w:hAnsi="Arial" w:cs="Arial"/>
                <w:sz w:val="22"/>
                <w:szCs w:val="22"/>
                <w:lang w:eastAsia="ar-SA"/>
              </w:rPr>
            </w:pPr>
          </w:p>
        </w:tc>
        <w:tc>
          <w:tcPr>
            <w:tcW w:w="7382" w:type="dxa"/>
            <w:tcBorders>
              <w:top w:val="nil"/>
              <w:left w:val="single" w:color="auto" w:sz="4" w:space="0"/>
              <w:bottom w:val="single" w:color="auto" w:sz="4" w:space="0"/>
              <w:right w:val="single" w:color="auto" w:sz="4" w:space="0"/>
            </w:tcBorders>
            <w:vAlign w:val="center"/>
          </w:tcPr>
          <w:p>
            <w:pPr>
              <w:suppressAutoHyphens/>
              <w:spacing w:before="100" w:beforeAutospacing="1" w:after="100" w:afterAutospacing="1"/>
              <w:jc w:val="center"/>
              <w:rPr>
                <w:rFonts w:ascii="Arial" w:hAnsi="Arial" w:cs="Arial"/>
                <w:sz w:val="22"/>
                <w:szCs w:val="22"/>
                <w:lang w:eastAsia="ar-SA"/>
              </w:rPr>
            </w:pPr>
            <w:r>
              <w:rPr>
                <w:rFonts w:ascii="Arial" w:hAnsi="Arial" w:cs="Arial"/>
                <w:sz w:val="22"/>
                <w:szCs w:val="22"/>
                <w:lang w:eastAsia="ar-SA"/>
              </w:rPr>
              <w:t>Passivo Circulante + Passivo Não Circulante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2" w:hRule="atLeast"/>
        </w:trPr>
        <w:tc>
          <w:tcPr>
            <w:tcW w:w="1250" w:type="dxa"/>
            <w:tcBorders>
              <w:top w:val="single" w:color="auto" w:sz="4" w:space="0"/>
              <w:left w:val="single" w:color="auto" w:sz="4" w:space="0"/>
              <w:bottom w:val="single" w:color="auto" w:sz="4" w:space="0"/>
              <w:right w:val="single" w:color="auto" w:sz="4" w:space="0"/>
            </w:tcBorders>
            <w:vAlign w:val="center"/>
          </w:tcPr>
          <w:p>
            <w:pPr>
              <w:suppressAutoHyphens/>
              <w:spacing w:before="100" w:beforeAutospacing="1" w:after="100" w:afterAutospacing="1"/>
              <w:jc w:val="center"/>
              <w:rPr>
                <w:rFonts w:ascii="Arial" w:hAnsi="Arial" w:cs="Arial"/>
                <w:sz w:val="22"/>
                <w:szCs w:val="22"/>
                <w:lang w:eastAsia="ar-SA"/>
              </w:rPr>
            </w:pPr>
            <w:r>
              <w:rPr>
                <w:rFonts w:ascii="Arial" w:hAnsi="Arial" w:cs="Arial"/>
                <w:sz w:val="22"/>
                <w:szCs w:val="22"/>
                <w:lang w:eastAsia="ar-SA"/>
              </w:rPr>
              <w:t>ILC =</w:t>
            </w:r>
          </w:p>
        </w:tc>
        <w:tc>
          <w:tcPr>
            <w:tcW w:w="7382" w:type="dxa"/>
            <w:tcBorders>
              <w:top w:val="single" w:color="auto" w:sz="4" w:space="0"/>
              <w:left w:val="single" w:color="auto" w:sz="4" w:space="0"/>
              <w:bottom w:val="single" w:color="auto" w:sz="4" w:space="0"/>
              <w:right w:val="single" w:color="auto" w:sz="4" w:space="0"/>
            </w:tcBorders>
            <w:vAlign w:val="center"/>
          </w:tcPr>
          <w:p>
            <w:pPr>
              <w:suppressAutoHyphens/>
              <w:spacing w:before="100" w:beforeAutospacing="1" w:after="100" w:afterAutospacing="1"/>
              <w:jc w:val="center"/>
              <w:rPr>
                <w:rFonts w:ascii="Arial" w:hAnsi="Arial" w:cs="Arial"/>
                <w:sz w:val="22"/>
                <w:szCs w:val="22"/>
                <w:u w:val="single"/>
                <w:lang w:eastAsia="ar-SA"/>
              </w:rPr>
            </w:pPr>
            <w:r>
              <w:rPr>
                <w:rFonts w:ascii="Arial" w:hAnsi="Arial" w:cs="Arial"/>
                <w:sz w:val="22"/>
                <w:szCs w:val="22"/>
                <w:u w:val="single"/>
                <w:lang w:eastAsia="ar-SA"/>
              </w:rPr>
              <w:t>Ativo Circulante</w:t>
            </w:r>
          </w:p>
          <w:p>
            <w:pPr>
              <w:suppressAutoHyphens/>
              <w:spacing w:before="100" w:beforeAutospacing="1" w:after="100" w:afterAutospacing="1"/>
              <w:jc w:val="center"/>
              <w:rPr>
                <w:rFonts w:ascii="Arial" w:hAnsi="Arial" w:cs="Arial"/>
                <w:sz w:val="22"/>
                <w:szCs w:val="22"/>
                <w:u w:val="single"/>
                <w:lang w:eastAsia="ar-SA"/>
              </w:rPr>
            </w:pPr>
            <w:r>
              <w:rPr>
                <w:rFonts w:ascii="Arial" w:hAnsi="Arial" w:cs="Arial"/>
                <w:sz w:val="22"/>
                <w:szCs w:val="22"/>
                <w:lang w:eastAsia="ar-SA"/>
              </w:rPr>
              <w:t>Passivo Circulante</w:t>
            </w:r>
          </w:p>
        </w:tc>
      </w:tr>
    </w:tbl>
    <w:p>
      <w:pPr>
        <w:pStyle w:val="376"/>
        <w:keepNext w:val="0"/>
        <w:keepLines w:val="0"/>
        <w:pageBreakBefore w:val="0"/>
        <w:widowControl w:val="0"/>
        <w:numPr>
          <w:ilvl w:val="0"/>
          <w:numId w:val="0"/>
        </w:numPr>
        <w:tabs>
          <w:tab w:val="left" w:pos="567"/>
          <w:tab w:val="left" w:pos="851"/>
          <w:tab w:val="left" w:pos="1843"/>
          <w:tab w:val="left" w:pos="3119"/>
          <w:tab w:val="left" w:pos="3261"/>
        </w:tabs>
        <w:kinsoku/>
        <w:wordWrap/>
        <w:overflowPunct/>
        <w:topLinePunct w:val="0"/>
        <w:bidi w:val="0"/>
        <w:snapToGrid/>
        <w:spacing w:before="0" w:beforeAutospacing="0" w:after="120" w:afterAutospacing="0" w:line="240" w:lineRule="auto"/>
        <w:textAlignment w:val="auto"/>
        <w:rPr>
          <w:rFonts w:hint="default" w:ascii="Arial" w:hAnsi="Arial" w:cs="Arial"/>
          <w:b/>
          <w:sz w:val="22"/>
          <w:szCs w:val="22"/>
          <w:lang w:val="pt-BR"/>
        </w:rPr>
      </w:pPr>
    </w:p>
    <w:p>
      <w:pPr>
        <w:pStyle w:val="376"/>
        <w:keepNext w:val="0"/>
        <w:keepLines w:val="0"/>
        <w:pageBreakBefore w:val="0"/>
        <w:widowControl w:val="0"/>
        <w:numPr>
          <w:ilvl w:val="0"/>
          <w:numId w:val="0"/>
        </w:numPr>
        <w:tabs>
          <w:tab w:val="left" w:pos="567"/>
          <w:tab w:val="left" w:pos="851"/>
          <w:tab w:val="left" w:pos="1843"/>
          <w:tab w:val="left" w:pos="3119"/>
          <w:tab w:val="left" w:pos="3261"/>
        </w:tabs>
        <w:kinsoku/>
        <w:wordWrap/>
        <w:overflowPunct/>
        <w:topLinePunct w:val="0"/>
        <w:bidi w:val="0"/>
        <w:snapToGrid/>
        <w:spacing w:before="0" w:beforeAutospacing="0" w:after="120" w:afterAutospacing="0" w:line="240" w:lineRule="auto"/>
        <w:ind w:left="480" w:leftChars="200" w:firstLine="0" w:firstLineChars="0"/>
        <w:textAlignment w:val="auto"/>
        <w:rPr>
          <w:rFonts w:ascii="Arial" w:hAnsi="Arial" w:cs="Arial"/>
          <w:sz w:val="22"/>
          <w:szCs w:val="22"/>
        </w:rPr>
      </w:pPr>
      <w:r>
        <w:rPr>
          <w:rFonts w:hint="default" w:ascii="Arial" w:hAnsi="Arial" w:cs="Arial"/>
          <w:b/>
          <w:sz w:val="22"/>
          <w:szCs w:val="22"/>
          <w:lang w:val="pt-BR"/>
        </w:rPr>
        <w:t>c</w:t>
      </w:r>
      <w:r>
        <w:rPr>
          <w:rFonts w:ascii="Arial" w:hAnsi="Arial" w:cs="Arial"/>
          <w:b/>
          <w:sz w:val="22"/>
          <w:szCs w:val="22"/>
        </w:rPr>
        <w:t>.1</w:t>
      </w:r>
      <w:r>
        <w:rPr>
          <w:rFonts w:hint="default" w:ascii="Arial" w:hAnsi="Arial" w:cs="Arial"/>
          <w:b/>
          <w:sz w:val="22"/>
          <w:szCs w:val="22"/>
          <w:lang w:val="pt-BR"/>
        </w:rPr>
        <w:t xml:space="preserve">) </w:t>
      </w:r>
      <w:r>
        <w:rPr>
          <w:rFonts w:ascii="Arial" w:hAnsi="Arial" w:cs="Arial"/>
          <w:sz w:val="22"/>
          <w:szCs w:val="22"/>
        </w:rPr>
        <w:t>O licitante que apresentar índices econômicos iguais ou inferiores a 1 (um) em qualquer dos índices de Liquidez Geral, Solvência Geral e Liquidez Corrente deverá comprovar que possui (capital mínimo ou patrimônio líquido) equivalente a 10% (dez por cento) do valor total estimado da contratação ou do item pertinente;</w:t>
      </w:r>
    </w:p>
    <w:p>
      <w:pPr>
        <w:pStyle w:val="350"/>
        <w:keepNext w:val="0"/>
        <w:keepLines w:val="0"/>
        <w:pageBreakBefore w:val="0"/>
        <w:kinsoku/>
        <w:wordWrap/>
        <w:overflowPunct/>
        <w:topLinePunct w:val="0"/>
        <w:bidi w:val="0"/>
        <w:snapToGrid/>
        <w:spacing w:before="0" w:beforeAutospacing="0" w:after="120" w:afterAutospacing="0"/>
        <w:ind w:left="960" w:leftChars="400" w:firstLine="0" w:firstLineChars="0"/>
        <w:textAlignment w:val="auto"/>
        <w:rPr>
          <w:b w:val="0"/>
        </w:rPr>
      </w:pPr>
      <w:r>
        <w:rPr>
          <w:rFonts w:hint="default"/>
          <w:lang w:val="pt-BR"/>
        </w:rPr>
        <w:t>c</w:t>
      </w:r>
      <w:r>
        <w:t>.</w:t>
      </w:r>
      <w:r>
        <w:rPr>
          <w:rFonts w:hint="default"/>
          <w:lang w:val="pt-BR"/>
        </w:rPr>
        <w:t>1.1)</w:t>
      </w:r>
      <w:r>
        <w:t xml:space="preserve"> </w:t>
      </w:r>
      <w:r>
        <w:rPr>
          <w:b w:val="0"/>
        </w:rPr>
        <w:t>O cálculo dos índices exigidos no item anterior deverá ser realizado pela Proponente e incluído na documentação, utilizando os resultados expressos no balanço patrimonial do último exercício social, mediante a aplicação das seguintes fórmulas;</w:t>
      </w:r>
    </w:p>
    <w:p>
      <w:pPr>
        <w:pStyle w:val="350"/>
        <w:keepNext w:val="0"/>
        <w:keepLines w:val="0"/>
        <w:pageBreakBefore w:val="0"/>
        <w:kinsoku/>
        <w:wordWrap/>
        <w:overflowPunct/>
        <w:topLinePunct w:val="0"/>
        <w:bidi w:val="0"/>
        <w:snapToGrid/>
        <w:spacing w:before="0" w:beforeAutospacing="0" w:after="120" w:afterAutospacing="0"/>
        <w:ind w:left="960" w:leftChars="400" w:firstLine="0" w:firstLineChars="0"/>
        <w:textAlignment w:val="auto"/>
        <w:rPr>
          <w:b w:val="0"/>
        </w:rPr>
      </w:pPr>
      <w:r>
        <w:rPr>
          <w:rFonts w:hint="default"/>
          <w:lang w:val="pt-BR"/>
        </w:rPr>
        <w:t>c.1.2)</w:t>
      </w:r>
      <w:r>
        <w:t xml:space="preserve"> </w:t>
      </w:r>
      <w:r>
        <w:rPr>
          <w:b w:val="0"/>
        </w:rPr>
        <w:t xml:space="preserve">Todos os quocientes referidos na alínea anterior deverão ser atendidos pelos licitantes, caso contrário </w:t>
      </w:r>
      <w:r>
        <w:rPr>
          <w:rFonts w:hint="default"/>
          <w:b w:val="0"/>
          <w:lang w:val="pt-BR"/>
        </w:rPr>
        <w:t>a</w:t>
      </w:r>
      <w:r>
        <w:rPr>
          <w:b w:val="0"/>
        </w:rPr>
        <w:t xml:space="preserve"> licitante será considerad</w:t>
      </w:r>
      <w:r>
        <w:rPr>
          <w:rFonts w:hint="default"/>
          <w:b w:val="0"/>
          <w:lang w:val="pt-BR"/>
        </w:rPr>
        <w:t>a</w:t>
      </w:r>
      <w:r>
        <w:rPr>
          <w:b w:val="0"/>
        </w:rPr>
        <w:t xml:space="preserve"> inabilitad</w:t>
      </w:r>
      <w:r>
        <w:rPr>
          <w:rFonts w:hint="default"/>
          <w:b w:val="0"/>
          <w:lang w:val="pt-BR"/>
        </w:rPr>
        <w:t>a</w:t>
      </w:r>
      <w:r>
        <w:rPr>
          <w:b w:val="0"/>
        </w:rPr>
        <w:t>;</w:t>
      </w:r>
    </w:p>
    <w:p>
      <w:pPr>
        <w:pStyle w:val="350"/>
        <w:keepNext w:val="0"/>
        <w:keepLines w:val="0"/>
        <w:pageBreakBefore w:val="0"/>
        <w:kinsoku/>
        <w:wordWrap/>
        <w:overflowPunct/>
        <w:topLinePunct w:val="0"/>
        <w:bidi w:val="0"/>
        <w:snapToGrid/>
        <w:spacing w:before="0" w:beforeAutospacing="0" w:after="120" w:afterAutospacing="0"/>
        <w:ind w:left="960" w:leftChars="400" w:firstLine="0" w:firstLineChars="0"/>
        <w:textAlignment w:val="auto"/>
        <w:rPr>
          <w:b w:val="0"/>
        </w:rPr>
      </w:pPr>
      <w:r>
        <w:rPr>
          <w:rFonts w:hint="default"/>
          <w:lang w:val="pt-BR"/>
        </w:rPr>
        <w:t>c.1.3)</w:t>
      </w:r>
      <w:r>
        <w:t xml:space="preserve"> </w:t>
      </w:r>
      <w:r>
        <w:rPr>
          <w:b w:val="0"/>
        </w:rPr>
        <w:t>A</w:t>
      </w:r>
      <w:r>
        <w:t xml:space="preserve"> </w:t>
      </w:r>
      <w:r>
        <w:rPr>
          <w:b w:val="0"/>
        </w:rPr>
        <w:t>comprovação da capacidade financeira será efetuada, em folha separada, mediante a indicação dos índices, com base nos dados constantes do Balanço Patrimonial, Demonstração do Resultado do Exercício, Demonstração de Origens e aplicação de Recursos e Demonstração de Mutação do Patrimônio Líquido do último exercício social, já exigíveis e apresentados na forma da lei;</w:t>
      </w:r>
    </w:p>
    <w:p>
      <w:pPr>
        <w:widowControl w:val="0"/>
        <w:spacing w:after="120"/>
        <w:ind w:left="0" w:leftChars="0" w:firstLine="0" w:firstLineChars="0"/>
        <w:jc w:val="both"/>
        <w:rPr>
          <w:rFonts w:hint="default" w:ascii="Arial" w:hAnsi="Arial" w:cs="Arial"/>
          <w:b/>
          <w:sz w:val="22"/>
          <w:szCs w:val="22"/>
        </w:rPr>
      </w:pPr>
      <w:r>
        <w:rPr>
          <w:rFonts w:hint="default" w:ascii="Arial" w:hAnsi="Arial" w:cs="Arial"/>
          <w:b/>
          <w:bCs/>
          <w:sz w:val="22"/>
          <w:szCs w:val="22"/>
          <w:lang w:val="pt-BR"/>
        </w:rPr>
        <w:t>d)</w:t>
      </w:r>
      <w:r>
        <w:rPr>
          <w:rFonts w:hint="default" w:ascii="Arial" w:hAnsi="Arial" w:cs="Arial"/>
          <w:b w:val="0"/>
          <w:sz w:val="22"/>
          <w:szCs w:val="22"/>
          <w:lang w:val="pt-BR"/>
        </w:rPr>
        <w:t xml:space="preserve"> </w:t>
      </w:r>
      <w:r>
        <w:rPr>
          <w:rFonts w:hint="default" w:ascii="Arial" w:hAnsi="Arial" w:cs="Arial"/>
          <w:b/>
          <w:sz w:val="22"/>
          <w:szCs w:val="22"/>
        </w:rPr>
        <w:t xml:space="preserve">Todas as </w:t>
      </w:r>
      <w:r>
        <w:rPr>
          <w:rFonts w:hint="default" w:ascii="Arial" w:hAnsi="Arial" w:cs="Arial"/>
          <w:b/>
          <w:sz w:val="22"/>
          <w:szCs w:val="22"/>
          <w:lang w:val="pt-BR"/>
        </w:rPr>
        <w:t>licitantes</w:t>
      </w:r>
      <w:r>
        <w:rPr>
          <w:rFonts w:hint="default" w:ascii="Arial" w:hAnsi="Arial" w:cs="Arial"/>
          <w:b/>
          <w:sz w:val="22"/>
          <w:szCs w:val="22"/>
        </w:rPr>
        <w:t xml:space="preserve"> deverão apresentar Certidão de Falência</w:t>
      </w:r>
      <w:r>
        <w:rPr>
          <w:rFonts w:hint="default" w:ascii="Arial" w:hAnsi="Arial" w:cs="Arial"/>
          <w:b/>
          <w:sz w:val="22"/>
          <w:szCs w:val="22"/>
          <w:lang w:val="pt-BR"/>
        </w:rPr>
        <w:t>, Concordata</w:t>
      </w:r>
      <w:r>
        <w:rPr>
          <w:rFonts w:hint="default" w:ascii="Arial" w:hAnsi="Arial" w:cs="Arial"/>
          <w:b/>
          <w:sz w:val="22"/>
          <w:szCs w:val="22"/>
        </w:rPr>
        <w:t xml:space="preserve"> e Recuperação Judicial;</w:t>
      </w:r>
    </w:p>
    <w:p>
      <w:pPr>
        <w:widowControl w:val="0"/>
        <w:spacing w:after="120"/>
        <w:ind w:left="1440" w:leftChars="600" w:firstLine="0" w:firstLineChars="0"/>
        <w:jc w:val="both"/>
        <w:rPr>
          <w:rFonts w:hint="default" w:ascii="Arial" w:hAnsi="Arial" w:cs="Arial"/>
          <w:bCs/>
          <w:sz w:val="22"/>
          <w:szCs w:val="22"/>
        </w:rPr>
      </w:pPr>
      <w:r>
        <w:rPr>
          <w:rFonts w:hint="default" w:ascii="Arial" w:hAnsi="Arial" w:cs="Arial"/>
          <w:b/>
          <w:sz w:val="22"/>
          <w:szCs w:val="22"/>
          <w:lang w:val="pt-BR"/>
        </w:rPr>
        <w:t>d</w:t>
      </w:r>
      <w:r>
        <w:rPr>
          <w:rFonts w:hint="default" w:ascii="Arial" w:hAnsi="Arial" w:cs="Arial"/>
          <w:b/>
          <w:sz w:val="22"/>
          <w:szCs w:val="22"/>
        </w:rPr>
        <w:t xml:space="preserve">.1) </w:t>
      </w:r>
      <w:r>
        <w:rPr>
          <w:rFonts w:hint="default" w:ascii="Arial" w:hAnsi="Arial" w:cs="Arial"/>
          <w:bCs/>
          <w:sz w:val="22"/>
          <w:szCs w:val="22"/>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pPr>
        <w:pStyle w:val="350"/>
        <w:keepNext w:val="0"/>
        <w:keepLines w:val="0"/>
        <w:pageBreakBefore w:val="0"/>
        <w:kinsoku/>
        <w:wordWrap/>
        <w:overflowPunct/>
        <w:topLinePunct w:val="0"/>
        <w:bidi w:val="0"/>
        <w:snapToGrid/>
        <w:spacing w:before="0" w:beforeAutospacing="0" w:after="120" w:afterAutospacing="0"/>
        <w:ind w:left="1440" w:leftChars="600" w:firstLine="0" w:firstLineChars="0"/>
        <w:textAlignment w:val="auto"/>
        <w:rPr>
          <w:rFonts w:hint="default" w:ascii="Arial" w:hAnsi="Arial" w:cs="Arial"/>
          <w:b w:val="0"/>
          <w:sz w:val="22"/>
          <w:szCs w:val="22"/>
          <w:highlight w:val="none"/>
        </w:rPr>
      </w:pPr>
      <w:r>
        <w:rPr>
          <w:rFonts w:hint="default" w:cs="Arial"/>
          <w:b/>
          <w:bCs w:val="0"/>
          <w:sz w:val="22"/>
          <w:szCs w:val="22"/>
          <w:highlight w:val="none"/>
          <w:lang w:val="pt-BR"/>
        </w:rPr>
        <w:t>d</w:t>
      </w:r>
      <w:r>
        <w:rPr>
          <w:rFonts w:hint="default" w:ascii="Arial" w:hAnsi="Arial" w:cs="Arial"/>
          <w:b/>
          <w:bCs w:val="0"/>
          <w:sz w:val="22"/>
          <w:szCs w:val="22"/>
          <w:highlight w:val="none"/>
          <w:lang w:val="pt-BR"/>
        </w:rPr>
        <w:t>.2)</w:t>
      </w:r>
      <w:r>
        <w:rPr>
          <w:rFonts w:hint="default" w:ascii="Arial" w:hAnsi="Arial" w:cs="Arial"/>
          <w:bCs/>
          <w:sz w:val="22"/>
          <w:szCs w:val="22"/>
          <w:highlight w:val="none"/>
          <w:lang w:val="pt-BR"/>
        </w:rPr>
        <w:t xml:space="preserve"> Para a licitante que apresentar certidão que não contenha data de validade em seu corpo deverá ser observado o disposto no item </w:t>
      </w:r>
      <w:r>
        <w:rPr>
          <w:rFonts w:hint="default" w:cs="Arial"/>
          <w:b/>
          <w:bCs w:val="0"/>
          <w:sz w:val="22"/>
          <w:szCs w:val="22"/>
          <w:highlight w:val="none"/>
          <w:lang w:val="pt-BR"/>
        </w:rPr>
        <w:t>10.7</w:t>
      </w:r>
      <w:r>
        <w:rPr>
          <w:rFonts w:hint="default" w:ascii="Arial" w:hAnsi="Arial" w:cs="Arial"/>
          <w:b/>
          <w:bCs w:val="0"/>
          <w:sz w:val="22"/>
          <w:szCs w:val="22"/>
          <w:highlight w:val="none"/>
          <w:lang w:val="pt-BR"/>
        </w:rPr>
        <w:t xml:space="preserve">. </w:t>
      </w:r>
      <w:r>
        <w:rPr>
          <w:rFonts w:hint="default" w:ascii="Arial" w:hAnsi="Arial" w:cs="Arial"/>
          <w:b w:val="0"/>
          <w:bCs/>
          <w:sz w:val="22"/>
          <w:szCs w:val="22"/>
          <w:highlight w:val="none"/>
          <w:lang w:val="pt-BR"/>
        </w:rPr>
        <w:t>deste edital</w:t>
      </w:r>
      <w:r>
        <w:rPr>
          <w:rFonts w:hint="default" w:ascii="Arial" w:hAnsi="Arial" w:cs="Arial"/>
          <w:b w:val="0"/>
          <w:sz w:val="22"/>
          <w:szCs w:val="22"/>
          <w:highlight w:val="none"/>
        </w:rPr>
        <w:t>;</w:t>
      </w:r>
    </w:p>
    <w:p>
      <w:pPr>
        <w:pStyle w:val="349"/>
        <w:keepNext w:val="0"/>
        <w:keepLines w:val="0"/>
        <w:pageBreakBefore w:val="0"/>
        <w:kinsoku/>
        <w:wordWrap/>
        <w:overflowPunct/>
        <w:topLinePunct w:val="0"/>
        <w:bidi w:val="0"/>
        <w:snapToGrid/>
        <w:spacing w:before="0" w:beforeAutospacing="0" w:after="120" w:afterAutospacing="0"/>
        <w:textAlignment w:val="auto"/>
      </w:pPr>
      <w:r>
        <w:t>10.4.4. RELATIVOS À QUALIFICAÇÃO TÉCNICA:</w:t>
      </w:r>
    </w:p>
    <w:p>
      <w:pPr>
        <w:pStyle w:val="349"/>
        <w:keepNext w:val="0"/>
        <w:keepLines w:val="0"/>
        <w:pageBreakBefore w:val="0"/>
        <w:kinsoku/>
        <w:wordWrap/>
        <w:overflowPunct/>
        <w:topLinePunct w:val="0"/>
        <w:bidi w:val="0"/>
        <w:snapToGrid/>
        <w:spacing w:before="0" w:beforeAutospacing="0" w:after="120" w:afterAutospacing="0"/>
        <w:textAlignment w:val="auto"/>
        <w:rPr>
          <w:b w:val="0"/>
        </w:rPr>
      </w:pPr>
      <w:r>
        <w:t>10.4.4.1.</w:t>
      </w:r>
      <w:r>
        <w:rPr>
          <w:color w:val="FF0000"/>
        </w:rPr>
        <w:t xml:space="preserve"> </w:t>
      </w:r>
      <w:r>
        <w:rPr>
          <w:b w:val="0"/>
        </w:rPr>
        <w:t>A prova da Qualificação Técnica será feita mediante a apresentação dos seguintes documentos:</w:t>
      </w:r>
    </w:p>
    <w:p>
      <w:pPr>
        <w:keepNext w:val="0"/>
        <w:keepLines w:val="0"/>
        <w:pageBreakBefore w:val="0"/>
        <w:kinsoku/>
        <w:wordWrap/>
        <w:overflowPunct/>
        <w:topLinePunct w:val="0"/>
        <w:bidi w:val="0"/>
        <w:snapToGrid/>
        <w:spacing w:beforeAutospacing="0" w:after="120" w:afterAutospacing="0"/>
        <w:ind w:right="215"/>
        <w:jc w:val="both"/>
        <w:textAlignment w:val="auto"/>
        <w:rPr>
          <w:rFonts w:ascii="Arial" w:hAnsi="Arial" w:cs="Arial"/>
          <w:color w:val="000000"/>
          <w:sz w:val="22"/>
          <w:szCs w:val="22"/>
        </w:rPr>
      </w:pPr>
      <w:r>
        <w:rPr>
          <w:rFonts w:ascii="Arial" w:hAnsi="Arial" w:cs="Arial"/>
          <w:b/>
          <w:sz w:val="22"/>
          <w:szCs w:val="22"/>
        </w:rPr>
        <w:t>a)</w:t>
      </w:r>
      <w:r>
        <w:rPr>
          <w:rFonts w:ascii="Arial" w:hAnsi="Arial" w:cs="Arial"/>
          <w:sz w:val="22"/>
          <w:szCs w:val="22"/>
        </w:rPr>
        <w:t xml:space="preserve"> </w:t>
      </w:r>
      <w:r>
        <w:rPr>
          <w:rFonts w:ascii="Arial" w:hAnsi="Arial" w:cs="Arial"/>
          <w:color w:val="000000"/>
          <w:sz w:val="22"/>
          <w:szCs w:val="22"/>
        </w:rPr>
        <w:t xml:space="preserve">Registro/Certidão de inscrição da empresa no Conselho Regional de Engenharia e Agronomia – CREA ou CAU (Conselho de Arquitetura e Urbanismo), </w:t>
      </w:r>
      <w:r>
        <w:rPr>
          <w:rStyle w:val="385"/>
          <w:i/>
          <w:iCs/>
          <w:color w:val="auto"/>
          <w:sz w:val="22"/>
          <w:szCs w:val="22"/>
          <w:u w:val="single"/>
        </w:rPr>
        <w:t>conforme as áreas de atuação previstas no Projeto Básico/Memorial Descritivo</w:t>
      </w:r>
      <w:r>
        <w:rPr>
          <w:rStyle w:val="385"/>
          <w:color w:val="auto"/>
          <w:sz w:val="22"/>
          <w:szCs w:val="22"/>
        </w:rPr>
        <w:t>,</w:t>
      </w:r>
      <w:r>
        <w:rPr>
          <w:rStyle w:val="385"/>
          <w:sz w:val="22"/>
          <w:szCs w:val="22"/>
        </w:rPr>
        <w:t xml:space="preserve"> </w:t>
      </w:r>
      <w:r>
        <w:rPr>
          <w:rFonts w:ascii="Arial" w:hAnsi="Arial" w:cs="Arial"/>
          <w:color w:val="000000"/>
          <w:sz w:val="22"/>
          <w:szCs w:val="22"/>
        </w:rPr>
        <w:t>em plena validade;</w:t>
      </w:r>
    </w:p>
    <w:p>
      <w:pPr>
        <w:keepNext w:val="0"/>
        <w:keepLines w:val="0"/>
        <w:pageBreakBefore w:val="0"/>
        <w:kinsoku/>
        <w:wordWrap/>
        <w:overflowPunct/>
        <w:topLinePunct w:val="0"/>
        <w:bidi w:val="0"/>
        <w:snapToGrid/>
        <w:spacing w:beforeAutospacing="0" w:after="120" w:afterAutospacing="0"/>
        <w:ind w:right="215"/>
        <w:jc w:val="both"/>
        <w:textAlignment w:val="auto"/>
        <w:rPr>
          <w:rFonts w:ascii="Arial" w:hAnsi="Arial" w:cs="Arial"/>
          <w:bCs/>
          <w:sz w:val="22"/>
          <w:szCs w:val="22"/>
        </w:rPr>
      </w:pPr>
      <w:r>
        <w:rPr>
          <w:rFonts w:ascii="Arial" w:hAnsi="Arial" w:cs="Arial"/>
          <w:b/>
          <w:color w:val="000000"/>
          <w:sz w:val="22"/>
          <w:szCs w:val="22"/>
        </w:rPr>
        <w:t>b)</w:t>
      </w:r>
      <w:r>
        <w:rPr>
          <w:rFonts w:ascii="Arial" w:hAnsi="Arial" w:cs="Arial"/>
          <w:color w:val="000000"/>
          <w:sz w:val="22"/>
          <w:szCs w:val="22"/>
        </w:rPr>
        <w:t xml:space="preserve"> </w:t>
      </w:r>
      <w:r>
        <w:rPr>
          <w:rFonts w:ascii="Arial" w:hAnsi="Arial" w:cs="Arial"/>
          <w:sz w:val="22"/>
          <w:szCs w:val="22"/>
        </w:rPr>
        <w:t>Atestado de capacidade técnica de comprovação de</w:t>
      </w:r>
      <w:r>
        <w:rPr>
          <w:rFonts w:hint="default" w:ascii="Arial" w:hAnsi="Arial" w:cs="Arial"/>
          <w:sz w:val="22"/>
          <w:szCs w:val="22"/>
          <w:lang w:val="pt-BR"/>
        </w:rPr>
        <w:t xml:space="preserve"> que</w:t>
      </w:r>
      <w:r>
        <w:rPr>
          <w:rFonts w:ascii="Arial" w:hAnsi="Arial" w:cs="Arial"/>
          <w:sz w:val="22"/>
          <w:szCs w:val="22"/>
        </w:rPr>
        <w:t xml:space="preserve"> a licitante te</w:t>
      </w:r>
      <w:r>
        <w:rPr>
          <w:rFonts w:hint="default" w:ascii="Arial" w:hAnsi="Arial" w:cs="Arial"/>
          <w:sz w:val="22"/>
          <w:szCs w:val="22"/>
          <w:lang w:val="pt-BR"/>
        </w:rPr>
        <w:t>nha</w:t>
      </w:r>
      <w:r>
        <w:rPr>
          <w:rFonts w:ascii="Arial" w:hAnsi="Arial" w:cs="Arial"/>
          <w:sz w:val="22"/>
          <w:szCs w:val="22"/>
        </w:rPr>
        <w:t xml:space="preserve"> executado </w:t>
      </w:r>
      <w:r>
        <w:rPr>
          <w:rFonts w:hint="default" w:ascii="Arial" w:hAnsi="Arial" w:cs="Arial"/>
          <w:sz w:val="22"/>
          <w:szCs w:val="22"/>
          <w:lang w:val="pt-BR"/>
        </w:rPr>
        <w:t>projeto</w:t>
      </w:r>
      <w:r>
        <w:rPr>
          <w:rFonts w:ascii="Arial" w:hAnsi="Arial" w:cs="Arial"/>
          <w:sz w:val="22"/>
          <w:szCs w:val="22"/>
        </w:rPr>
        <w:t xml:space="preserve"> em grau de complexidade igual ou superior ao licitado, através de certidão e/ou atestado, fornecido (s) por pessoa (s) jurídica (s) de direito público ou privado</w:t>
      </w:r>
      <w:r>
        <w:rPr>
          <w:rFonts w:ascii="Arial" w:hAnsi="Arial" w:cs="Arial"/>
          <w:bCs/>
          <w:sz w:val="22"/>
          <w:szCs w:val="22"/>
        </w:rPr>
        <w:t>;</w:t>
      </w:r>
    </w:p>
    <w:p>
      <w:pPr>
        <w:keepNext w:val="0"/>
        <w:keepLines w:val="0"/>
        <w:pageBreakBefore w:val="0"/>
        <w:kinsoku/>
        <w:wordWrap/>
        <w:overflowPunct/>
        <w:topLinePunct w:val="0"/>
        <w:bidi w:val="0"/>
        <w:snapToGrid/>
        <w:spacing w:beforeAutospacing="0" w:after="120" w:afterAutospacing="0"/>
        <w:ind w:left="480" w:leftChars="200" w:right="215" w:firstLine="0" w:firstLineChars="0"/>
        <w:jc w:val="both"/>
        <w:textAlignment w:val="auto"/>
        <w:rPr>
          <w:rFonts w:hint="default" w:ascii="Arial" w:hAnsi="Arial" w:cs="Arial"/>
          <w:b w:val="0"/>
          <w:bCs/>
          <w:sz w:val="22"/>
          <w:szCs w:val="22"/>
          <w:lang w:val="pt-BR"/>
        </w:rPr>
      </w:pPr>
      <w:r>
        <w:rPr>
          <w:rFonts w:hint="default" w:ascii="Arial" w:hAnsi="Arial" w:cs="Arial"/>
          <w:b/>
          <w:bCs w:val="0"/>
          <w:sz w:val="22"/>
          <w:szCs w:val="22"/>
          <w:lang w:val="pt-BR"/>
        </w:rPr>
        <w:t xml:space="preserve">b.1.) </w:t>
      </w:r>
      <w:r>
        <w:rPr>
          <w:rFonts w:hint="default" w:ascii="Arial" w:hAnsi="Arial" w:cs="Arial"/>
          <w:b w:val="0"/>
          <w:bCs/>
          <w:sz w:val="22"/>
          <w:szCs w:val="22"/>
          <w:lang w:val="pt-BR"/>
        </w:rPr>
        <w:t>Caso o atestado de capacidade técnica seja emitido por Pessoa Jurídica de Direito Privado, este deverá conter a FIRMA DO SIGNATÁRIO RECONHECIDA EM CARTÓRIO;</w:t>
      </w:r>
    </w:p>
    <w:p>
      <w:pPr>
        <w:pStyle w:val="24"/>
        <w:numPr>
          <w:ilvl w:val="0"/>
          <w:numId w:val="0"/>
        </w:numPr>
        <w:ind w:leftChars="0"/>
        <w:jc w:val="both"/>
        <w:rPr>
          <w:rFonts w:hint="default" w:ascii="Arial" w:hAnsi="Arial" w:eastAsia="Arial" w:cs="Arial"/>
          <w:sz w:val="24"/>
          <w:szCs w:val="24"/>
          <w:lang w:val="pt-BR" w:eastAsia="pt-PT" w:bidi="pt-PT"/>
        </w:rPr>
      </w:pPr>
      <w:r>
        <w:rPr>
          <w:rFonts w:ascii="Arial" w:hAnsi="Arial" w:cs="Arial"/>
          <w:b/>
          <w:sz w:val="21"/>
          <w:szCs w:val="21"/>
        </w:rPr>
        <w:t>c</w:t>
      </w:r>
      <w:r>
        <w:rPr>
          <w:rFonts w:hint="default" w:ascii="Arial" w:hAnsi="Arial" w:eastAsia="Arial" w:cs="Arial"/>
          <w:sz w:val="22"/>
          <w:szCs w:val="22"/>
          <w:lang w:val="pt-BR" w:eastAsia="pt-PT" w:bidi="pt-PT"/>
        </w:rPr>
        <w:t>) A licitante deverá comprovar ter executado, a qualquer tempo, Execução de Construção de complexidade equivalente ou superior ao objeto desta licitação, apresentando Atestado(s) de capacidade técnico-operacional (em caso de consórcio, de quaisquer das empresas que o compõem) que comprove(m) que a licitante tenha executado, para órgão ou entidade da Administração pública direta ou indireta, federal, estadual, municipal ou do Distrito Federal, ou ainda para empresa privada, projeto/serviços de características técnicas às do objeto da presente licitação, não se admitindo atestado(s) de fiscalização da execução de projeto/serviços.</w:t>
      </w:r>
    </w:p>
    <w:p>
      <w:pPr>
        <w:pStyle w:val="86"/>
        <w:keepNext w:val="0"/>
        <w:keepLines w:val="0"/>
        <w:pageBreakBefore w:val="0"/>
        <w:widowControl w:val="0"/>
        <w:tabs>
          <w:tab w:val="left" w:pos="-4111"/>
          <w:tab w:val="left" w:pos="851"/>
        </w:tabs>
        <w:kinsoku/>
        <w:wordWrap/>
        <w:overflowPunct/>
        <w:topLinePunct w:val="0"/>
        <w:autoSpaceDE/>
        <w:autoSpaceDN/>
        <w:bidi w:val="0"/>
        <w:adjustRightInd/>
        <w:snapToGrid/>
        <w:spacing w:beforeAutospacing="0" w:after="120" w:afterAutospacing="0"/>
        <w:ind w:left="0"/>
        <w:jc w:val="both"/>
        <w:textAlignment w:val="auto"/>
        <w:rPr>
          <w:rFonts w:ascii="Arial" w:hAnsi="Arial" w:cs="Arial"/>
          <w:sz w:val="22"/>
          <w:szCs w:val="22"/>
        </w:rPr>
      </w:pPr>
      <w:r>
        <w:rPr>
          <w:rFonts w:ascii="Arial" w:hAnsi="Arial" w:cs="Arial"/>
          <w:b/>
          <w:color w:val="000000"/>
          <w:sz w:val="22"/>
          <w:szCs w:val="22"/>
        </w:rPr>
        <w:t xml:space="preserve">d) </w:t>
      </w:r>
      <w:r>
        <w:rPr>
          <w:rFonts w:ascii="Arial" w:hAnsi="Arial" w:cs="Arial"/>
          <w:color w:val="000000"/>
          <w:sz w:val="22"/>
          <w:szCs w:val="22"/>
        </w:rPr>
        <w:t xml:space="preserve">Apresentar </w:t>
      </w:r>
      <w:r>
        <w:rPr>
          <w:rFonts w:ascii="Arial" w:hAnsi="Arial" w:cs="Arial"/>
          <w:sz w:val="22"/>
          <w:szCs w:val="22"/>
        </w:rPr>
        <w:t>comprovação</w:t>
      </w:r>
      <w:r>
        <w:rPr>
          <w:rFonts w:ascii="Arial" w:hAnsi="Arial" w:cs="Arial"/>
          <w:color w:val="000000"/>
          <w:sz w:val="22"/>
          <w:szCs w:val="22"/>
        </w:rPr>
        <w:t xml:space="preserve"> </w:t>
      </w:r>
      <w:r>
        <w:rPr>
          <w:rFonts w:ascii="Arial" w:hAnsi="Arial" w:cs="Arial"/>
          <w:sz w:val="22"/>
          <w:szCs w:val="22"/>
        </w:rPr>
        <w:t xml:space="preserve">Registro/Certidão de inscrição do (s) </w:t>
      </w:r>
      <w:r>
        <w:rPr>
          <w:rFonts w:ascii="Arial" w:hAnsi="Arial" w:cs="Arial"/>
          <w:b/>
          <w:sz w:val="22"/>
          <w:szCs w:val="22"/>
        </w:rPr>
        <w:t>responsável (is) técnico(s)</w:t>
      </w:r>
      <w:r>
        <w:rPr>
          <w:rFonts w:ascii="Arial" w:hAnsi="Arial" w:cs="Arial"/>
          <w:sz w:val="22"/>
          <w:szCs w:val="22"/>
        </w:rPr>
        <w:t xml:space="preserve"> no Conselho Regional de Engenharia e Agronomia – CREA ou CAU ( Conselho de Arquitetura e Urbanismo), </w:t>
      </w:r>
      <w:r>
        <w:rPr>
          <w:rStyle w:val="381"/>
          <w:rFonts w:cs="Arial"/>
          <w:i/>
          <w:color w:val="auto"/>
          <w:sz w:val="22"/>
          <w:szCs w:val="22"/>
          <w:u w:val="single"/>
        </w:rPr>
        <w:t>conforme as áreas de atuação previstas no Projeto Básico/Memorial Descritivo</w:t>
      </w:r>
      <w:r>
        <w:rPr>
          <w:rStyle w:val="381"/>
          <w:rFonts w:cs="Arial"/>
          <w:color w:val="auto"/>
          <w:sz w:val="22"/>
          <w:szCs w:val="22"/>
        </w:rPr>
        <w:t xml:space="preserve">, </w:t>
      </w:r>
      <w:r>
        <w:rPr>
          <w:rFonts w:ascii="Arial" w:hAnsi="Arial" w:cs="Arial"/>
          <w:sz w:val="22"/>
          <w:szCs w:val="22"/>
        </w:rPr>
        <w:t xml:space="preserve">em plena validade; </w:t>
      </w:r>
    </w:p>
    <w:p>
      <w:pPr>
        <w:pStyle w:val="86"/>
        <w:keepNext w:val="0"/>
        <w:keepLines w:val="0"/>
        <w:pageBreakBefore w:val="0"/>
        <w:widowControl w:val="0"/>
        <w:tabs>
          <w:tab w:val="left" w:pos="-4111"/>
          <w:tab w:val="left" w:pos="851"/>
        </w:tabs>
        <w:kinsoku/>
        <w:wordWrap/>
        <w:overflowPunct/>
        <w:topLinePunct w:val="0"/>
        <w:autoSpaceDE/>
        <w:autoSpaceDN/>
        <w:bidi w:val="0"/>
        <w:adjustRightInd/>
        <w:snapToGrid/>
        <w:spacing w:beforeAutospacing="0" w:after="120" w:afterAutospacing="0"/>
        <w:ind w:left="480" w:leftChars="200" w:firstLine="0" w:firstLineChars="0"/>
        <w:jc w:val="both"/>
        <w:textAlignment w:val="auto"/>
        <w:rPr>
          <w:rFonts w:ascii="Arial" w:hAnsi="Arial" w:cs="Arial"/>
          <w:sz w:val="22"/>
          <w:szCs w:val="22"/>
        </w:rPr>
      </w:pPr>
      <w:r>
        <w:rPr>
          <w:rFonts w:hint="default" w:ascii="Arial" w:hAnsi="Arial"/>
          <w:b/>
          <w:bCs/>
          <w:sz w:val="22"/>
          <w:szCs w:val="22"/>
        </w:rPr>
        <w:t>d.1)</w:t>
      </w:r>
      <w:r>
        <w:rPr>
          <w:rFonts w:hint="default" w:ascii="Arial" w:hAnsi="Arial"/>
          <w:sz w:val="22"/>
          <w:szCs w:val="22"/>
        </w:rPr>
        <w:t xml:space="preserve"> Apresentar atestado (s) de Qualificação técnica, fornecido por pessoas </w:t>
      </w:r>
      <w:r>
        <w:rPr>
          <w:rFonts w:hint="default" w:ascii="Arial" w:hAnsi="Arial"/>
          <w:sz w:val="22"/>
          <w:szCs w:val="22"/>
          <w:lang w:val="pt-BR"/>
        </w:rPr>
        <w:t>j</w:t>
      </w:r>
      <w:r>
        <w:rPr>
          <w:rFonts w:hint="default" w:ascii="Arial" w:hAnsi="Arial"/>
          <w:sz w:val="22"/>
          <w:szCs w:val="22"/>
        </w:rPr>
        <w:t>urídicas de direito público ou privado, para o técnico responsável devidamente registrado na entidade profissional competente, devidamente acompanhado da respectiva Certidão de Acervo Téc</w:t>
      </w:r>
      <w:r>
        <w:rPr>
          <w:rFonts w:hint="default" w:ascii="Arial" w:hAnsi="Arial"/>
          <w:sz w:val="22"/>
          <w:szCs w:val="22"/>
          <w:lang w:val="pt-BR"/>
        </w:rPr>
        <w:t>n</w:t>
      </w:r>
      <w:r>
        <w:rPr>
          <w:rFonts w:hint="default" w:ascii="Arial" w:hAnsi="Arial"/>
          <w:sz w:val="22"/>
          <w:szCs w:val="22"/>
        </w:rPr>
        <w:t xml:space="preserve">ico – CAT, de </w:t>
      </w:r>
      <w:r>
        <w:rPr>
          <w:rFonts w:hint="default" w:ascii="Arial" w:hAnsi="Arial"/>
          <w:sz w:val="22"/>
          <w:szCs w:val="22"/>
          <w:lang w:val="pt-BR"/>
        </w:rPr>
        <w:t>projeto</w:t>
      </w:r>
      <w:r>
        <w:rPr>
          <w:rFonts w:hint="default" w:ascii="Arial" w:hAnsi="Arial"/>
          <w:sz w:val="22"/>
          <w:szCs w:val="22"/>
        </w:rPr>
        <w:t xml:space="preserve"> ou serviços executados, que comprove a execução de </w:t>
      </w:r>
      <w:r>
        <w:rPr>
          <w:rFonts w:hint="default" w:ascii="Arial" w:hAnsi="Arial"/>
          <w:sz w:val="22"/>
          <w:szCs w:val="22"/>
          <w:lang w:val="pt-BR"/>
        </w:rPr>
        <w:t>projeto</w:t>
      </w:r>
      <w:r>
        <w:rPr>
          <w:rFonts w:hint="default" w:ascii="Arial" w:hAnsi="Arial"/>
          <w:sz w:val="22"/>
          <w:szCs w:val="22"/>
        </w:rPr>
        <w:t xml:space="preserve"> em grau de complexidade igual ou superior ao licitado;</w:t>
      </w:r>
    </w:p>
    <w:p>
      <w:pPr>
        <w:keepNext w:val="0"/>
        <w:keepLines w:val="0"/>
        <w:pageBreakBefore w:val="0"/>
        <w:kinsoku/>
        <w:wordWrap/>
        <w:overflowPunct/>
        <w:topLinePunct w:val="0"/>
        <w:autoSpaceDE/>
        <w:autoSpaceDN/>
        <w:bidi w:val="0"/>
        <w:adjustRightInd/>
        <w:snapToGrid/>
        <w:spacing w:beforeAutospacing="0" w:after="120" w:afterAutospacing="0"/>
        <w:ind w:right="215"/>
        <w:jc w:val="both"/>
        <w:textAlignment w:val="auto"/>
        <w:rPr>
          <w:rFonts w:ascii="Arial" w:hAnsi="Arial" w:cs="Arial"/>
          <w:sz w:val="22"/>
          <w:szCs w:val="22"/>
        </w:rPr>
      </w:pPr>
      <w:r>
        <w:rPr>
          <w:rFonts w:ascii="Arial" w:hAnsi="Arial" w:cs="Arial"/>
          <w:b/>
          <w:sz w:val="22"/>
          <w:szCs w:val="22"/>
        </w:rPr>
        <w:t>e)</w:t>
      </w:r>
      <w:r>
        <w:rPr>
          <w:rFonts w:ascii="Arial" w:hAnsi="Arial" w:cs="Arial"/>
          <w:sz w:val="22"/>
          <w:szCs w:val="22"/>
        </w:rPr>
        <w:t xml:space="preserve"> Deverão ser observadas as seguintes condições na apresentação dos atestados/e ou Certidões: </w:t>
      </w:r>
    </w:p>
    <w:p>
      <w:pPr>
        <w:keepNext w:val="0"/>
        <w:keepLines w:val="0"/>
        <w:pageBreakBefore w:val="0"/>
        <w:kinsoku/>
        <w:wordWrap/>
        <w:overflowPunct/>
        <w:topLinePunct w:val="0"/>
        <w:autoSpaceDE/>
        <w:autoSpaceDN/>
        <w:bidi w:val="0"/>
        <w:adjustRightInd/>
        <w:snapToGrid/>
        <w:spacing w:beforeAutospacing="0" w:after="120" w:afterAutospacing="0"/>
        <w:ind w:left="480" w:leftChars="0" w:right="215" w:firstLine="0" w:firstLineChars="0"/>
        <w:jc w:val="both"/>
        <w:textAlignment w:val="auto"/>
        <w:rPr>
          <w:rFonts w:ascii="Arial" w:hAnsi="Arial" w:cs="Arial"/>
          <w:sz w:val="22"/>
          <w:szCs w:val="22"/>
        </w:rPr>
      </w:pPr>
      <w:r>
        <w:rPr>
          <w:rFonts w:ascii="Arial" w:hAnsi="Arial" w:cs="Arial"/>
          <w:b/>
          <w:sz w:val="22"/>
          <w:szCs w:val="22"/>
        </w:rPr>
        <w:t>e.1.)</w:t>
      </w:r>
      <w:r>
        <w:rPr>
          <w:rFonts w:ascii="Arial" w:hAnsi="Arial" w:cs="Arial"/>
          <w:sz w:val="22"/>
          <w:szCs w:val="22"/>
        </w:rPr>
        <w:t xml:space="preserve"> </w:t>
      </w:r>
      <w:r>
        <w:rPr>
          <w:rFonts w:ascii="Arial" w:hAnsi="Arial" w:cs="Arial"/>
          <w:b/>
          <w:sz w:val="22"/>
          <w:szCs w:val="22"/>
        </w:rPr>
        <w:t>A(s) certidão(ões) e/ou atestado(s) apresentado(s) deverá(ão) conter as seguintes informações básicas:</w:t>
      </w:r>
      <w:r>
        <w:rPr>
          <w:rFonts w:ascii="Arial" w:hAnsi="Arial" w:cs="Arial"/>
          <w:sz w:val="22"/>
          <w:szCs w:val="22"/>
        </w:rPr>
        <w:t xml:space="preserve"> </w:t>
      </w:r>
    </w:p>
    <w:p>
      <w:pPr>
        <w:keepNext w:val="0"/>
        <w:keepLines w:val="0"/>
        <w:pageBreakBefore w:val="0"/>
        <w:numPr>
          <w:ilvl w:val="0"/>
          <w:numId w:val="20"/>
        </w:numPr>
        <w:kinsoku/>
        <w:wordWrap/>
        <w:overflowPunct/>
        <w:topLinePunct w:val="0"/>
        <w:autoSpaceDE/>
        <w:autoSpaceDN/>
        <w:bidi w:val="0"/>
        <w:adjustRightInd/>
        <w:snapToGrid/>
        <w:spacing w:beforeAutospacing="0" w:after="120" w:afterAutospacing="0"/>
        <w:ind w:left="480" w:leftChars="0" w:right="215" w:firstLine="0" w:firstLineChars="0"/>
        <w:jc w:val="both"/>
        <w:textAlignment w:val="auto"/>
        <w:rPr>
          <w:rFonts w:ascii="Arial" w:hAnsi="Arial" w:cs="Arial"/>
          <w:i/>
          <w:sz w:val="22"/>
          <w:szCs w:val="22"/>
        </w:rPr>
      </w:pPr>
      <w:r>
        <w:rPr>
          <w:rFonts w:ascii="Arial" w:hAnsi="Arial" w:cs="Arial"/>
          <w:i/>
          <w:sz w:val="22"/>
          <w:szCs w:val="22"/>
        </w:rPr>
        <w:t xml:space="preserve">Nome do contratado e do contratante; </w:t>
      </w:r>
    </w:p>
    <w:p>
      <w:pPr>
        <w:keepNext w:val="0"/>
        <w:keepLines w:val="0"/>
        <w:pageBreakBefore w:val="0"/>
        <w:numPr>
          <w:ilvl w:val="0"/>
          <w:numId w:val="20"/>
        </w:numPr>
        <w:kinsoku/>
        <w:wordWrap/>
        <w:overflowPunct/>
        <w:topLinePunct w:val="0"/>
        <w:autoSpaceDE/>
        <w:autoSpaceDN/>
        <w:bidi w:val="0"/>
        <w:adjustRightInd/>
        <w:snapToGrid/>
        <w:spacing w:beforeAutospacing="0" w:after="120" w:afterAutospacing="0"/>
        <w:ind w:left="480" w:leftChars="0" w:right="215" w:firstLine="0" w:firstLineChars="0"/>
        <w:jc w:val="both"/>
        <w:textAlignment w:val="auto"/>
        <w:rPr>
          <w:rFonts w:ascii="Arial" w:hAnsi="Arial" w:cs="Arial"/>
          <w:i/>
          <w:sz w:val="22"/>
          <w:szCs w:val="22"/>
        </w:rPr>
      </w:pPr>
      <w:r>
        <w:rPr>
          <w:rFonts w:ascii="Arial" w:hAnsi="Arial" w:cs="Arial"/>
          <w:i/>
          <w:sz w:val="22"/>
          <w:szCs w:val="22"/>
        </w:rPr>
        <w:t>Identificação do objeto do contrato (tipo ou natureza do serviço);</w:t>
      </w:r>
    </w:p>
    <w:p>
      <w:pPr>
        <w:keepNext w:val="0"/>
        <w:keepLines w:val="0"/>
        <w:pageBreakBefore w:val="0"/>
        <w:numPr>
          <w:ilvl w:val="0"/>
          <w:numId w:val="20"/>
        </w:numPr>
        <w:kinsoku/>
        <w:wordWrap/>
        <w:overflowPunct/>
        <w:topLinePunct w:val="0"/>
        <w:autoSpaceDE/>
        <w:autoSpaceDN/>
        <w:bidi w:val="0"/>
        <w:adjustRightInd/>
        <w:snapToGrid/>
        <w:spacing w:beforeAutospacing="0" w:after="120" w:afterAutospacing="0"/>
        <w:ind w:left="480" w:leftChars="0" w:right="215" w:firstLine="0" w:firstLineChars="0"/>
        <w:jc w:val="both"/>
        <w:textAlignment w:val="auto"/>
        <w:rPr>
          <w:rFonts w:ascii="Arial" w:hAnsi="Arial" w:cs="Arial"/>
          <w:i/>
          <w:sz w:val="22"/>
          <w:szCs w:val="22"/>
        </w:rPr>
      </w:pPr>
      <w:r>
        <w:rPr>
          <w:rFonts w:ascii="Arial" w:hAnsi="Arial" w:cs="Arial"/>
          <w:i/>
          <w:sz w:val="22"/>
          <w:szCs w:val="22"/>
        </w:rPr>
        <w:t>Localização do serviço (rodovia, trecho, subtrecho, extensão);</w:t>
      </w:r>
    </w:p>
    <w:p>
      <w:pPr>
        <w:keepNext w:val="0"/>
        <w:keepLines w:val="0"/>
        <w:pageBreakBefore w:val="0"/>
        <w:numPr>
          <w:ilvl w:val="0"/>
          <w:numId w:val="20"/>
        </w:numPr>
        <w:kinsoku/>
        <w:wordWrap/>
        <w:overflowPunct/>
        <w:topLinePunct w:val="0"/>
        <w:autoSpaceDE/>
        <w:autoSpaceDN/>
        <w:bidi w:val="0"/>
        <w:adjustRightInd/>
        <w:snapToGrid/>
        <w:spacing w:beforeAutospacing="0" w:after="120" w:afterAutospacing="0"/>
        <w:ind w:left="480" w:leftChars="0" w:right="215" w:firstLine="0" w:firstLineChars="0"/>
        <w:jc w:val="both"/>
        <w:textAlignment w:val="auto"/>
        <w:rPr>
          <w:rFonts w:ascii="Arial" w:hAnsi="Arial" w:cs="Arial"/>
          <w:i/>
          <w:sz w:val="22"/>
          <w:szCs w:val="22"/>
        </w:rPr>
      </w:pPr>
      <w:r>
        <w:rPr>
          <w:rFonts w:ascii="Arial" w:hAnsi="Arial" w:cs="Arial"/>
          <w:i/>
          <w:sz w:val="22"/>
          <w:szCs w:val="22"/>
        </w:rPr>
        <w:t xml:space="preserve">Serviços executados (discriminação). </w:t>
      </w:r>
    </w:p>
    <w:p>
      <w:pPr>
        <w:keepNext w:val="0"/>
        <w:keepLines w:val="0"/>
        <w:pageBreakBefore w:val="0"/>
        <w:kinsoku/>
        <w:wordWrap/>
        <w:overflowPunct/>
        <w:topLinePunct w:val="0"/>
        <w:autoSpaceDE/>
        <w:autoSpaceDN/>
        <w:bidi w:val="0"/>
        <w:adjustRightInd/>
        <w:snapToGrid/>
        <w:spacing w:beforeAutospacing="0" w:after="120" w:afterAutospacing="0"/>
        <w:ind w:left="480" w:leftChars="0" w:right="215" w:firstLine="0" w:firstLineChars="0"/>
        <w:jc w:val="both"/>
        <w:textAlignment w:val="auto"/>
        <w:rPr>
          <w:rFonts w:ascii="Arial" w:hAnsi="Arial" w:cs="Arial"/>
          <w:sz w:val="22"/>
          <w:szCs w:val="22"/>
        </w:rPr>
      </w:pPr>
      <w:r>
        <w:rPr>
          <w:rFonts w:ascii="Arial" w:hAnsi="Arial" w:cs="Arial"/>
          <w:b/>
          <w:sz w:val="22"/>
          <w:szCs w:val="22"/>
        </w:rPr>
        <w:t>e.2)</w:t>
      </w:r>
      <w:r>
        <w:rPr>
          <w:rFonts w:ascii="Arial" w:hAnsi="Arial" w:cs="Arial"/>
          <w:sz w:val="22"/>
          <w:szCs w:val="22"/>
        </w:rPr>
        <w:t xml:space="preserve"> O atestado ou certidão que não atender a todas as características citadas nas condições acima, </w:t>
      </w:r>
      <w:r>
        <w:rPr>
          <w:rFonts w:ascii="Arial" w:hAnsi="Arial" w:cs="Arial"/>
          <w:b/>
          <w:sz w:val="22"/>
          <w:szCs w:val="22"/>
          <w:u w:val="single"/>
        </w:rPr>
        <w:t>não serão consideradas pela Comissão de Licitação</w:t>
      </w:r>
      <w:r>
        <w:rPr>
          <w:rFonts w:ascii="Arial" w:hAnsi="Arial" w:cs="Arial"/>
          <w:sz w:val="22"/>
          <w:szCs w:val="22"/>
        </w:rPr>
        <w:t>;</w:t>
      </w:r>
    </w:p>
    <w:p>
      <w:pPr>
        <w:keepNext w:val="0"/>
        <w:keepLines w:val="0"/>
        <w:pageBreakBefore w:val="0"/>
        <w:kinsoku/>
        <w:wordWrap/>
        <w:overflowPunct/>
        <w:topLinePunct w:val="0"/>
        <w:autoSpaceDE/>
        <w:autoSpaceDN/>
        <w:bidi w:val="0"/>
        <w:adjustRightInd/>
        <w:snapToGrid/>
        <w:spacing w:beforeAutospacing="0" w:after="120" w:afterAutospacing="0"/>
        <w:ind w:left="480" w:leftChars="0" w:right="215" w:firstLine="0" w:firstLineChars="0"/>
        <w:jc w:val="both"/>
        <w:textAlignment w:val="auto"/>
        <w:rPr>
          <w:rFonts w:ascii="Arial" w:hAnsi="Arial" w:cs="Arial"/>
          <w:b/>
          <w:sz w:val="22"/>
          <w:szCs w:val="22"/>
        </w:rPr>
      </w:pPr>
      <w:r>
        <w:rPr>
          <w:rFonts w:ascii="Arial" w:hAnsi="Arial" w:cs="Arial"/>
          <w:b/>
          <w:sz w:val="22"/>
          <w:szCs w:val="22"/>
        </w:rPr>
        <w:t>e.3)</w:t>
      </w:r>
      <w:r>
        <w:rPr>
          <w:rFonts w:ascii="Arial" w:hAnsi="Arial" w:cs="Arial"/>
          <w:sz w:val="22"/>
          <w:szCs w:val="22"/>
        </w:rPr>
        <w:t xml:space="preserve"> Os atestados e/ou certidões de capacidade técnica  do técnico responsável, que será solicitado no ato da assinatura do contrato, deverão ter sido emitidos por pessoas jurídicas de direito público ou privado e </w:t>
      </w:r>
      <w:r>
        <w:rPr>
          <w:rFonts w:ascii="Arial" w:hAnsi="Arial" w:cs="Arial"/>
          <w:sz w:val="22"/>
          <w:szCs w:val="22"/>
          <w:u w:val="single"/>
        </w:rPr>
        <w:t>devidamente certificados/averbados pelo CREA ou Conselho Profissional competente</w:t>
      </w:r>
      <w:r>
        <w:rPr>
          <w:rFonts w:ascii="Arial" w:hAnsi="Arial" w:cs="Arial"/>
          <w:sz w:val="22"/>
          <w:szCs w:val="22"/>
        </w:rPr>
        <w:t>, neles constando os contratos, nomes do contratado, do contratante e discriminação dos serviços;</w:t>
      </w:r>
    </w:p>
    <w:p>
      <w:pPr>
        <w:keepNext w:val="0"/>
        <w:keepLines w:val="0"/>
        <w:pageBreakBefore w:val="0"/>
        <w:kinsoku/>
        <w:wordWrap/>
        <w:overflowPunct/>
        <w:topLinePunct w:val="0"/>
        <w:autoSpaceDE/>
        <w:autoSpaceDN/>
        <w:bidi w:val="0"/>
        <w:adjustRightInd/>
        <w:snapToGrid/>
        <w:spacing w:beforeAutospacing="0" w:after="120" w:afterAutospacing="0"/>
        <w:ind w:left="960" w:leftChars="0" w:right="215" w:firstLine="0" w:firstLineChars="0"/>
        <w:jc w:val="both"/>
        <w:textAlignment w:val="auto"/>
        <w:rPr>
          <w:rFonts w:ascii="Arial" w:hAnsi="Arial" w:cs="Arial"/>
          <w:sz w:val="22"/>
          <w:szCs w:val="22"/>
        </w:rPr>
      </w:pPr>
      <w:r>
        <w:rPr>
          <w:rFonts w:ascii="Arial" w:hAnsi="Arial" w:cs="Arial"/>
          <w:b/>
          <w:sz w:val="22"/>
          <w:szCs w:val="22"/>
        </w:rPr>
        <w:t>e.3.1.)</w:t>
      </w:r>
      <w:r>
        <w:rPr>
          <w:rFonts w:ascii="Arial" w:hAnsi="Arial" w:cs="Arial"/>
          <w:sz w:val="22"/>
          <w:szCs w:val="22"/>
        </w:rPr>
        <w:t xml:space="preserve"> Quando a certidão e/ou atestado não for emitida pelo contratante principal da </w:t>
      </w:r>
      <w:r>
        <w:rPr>
          <w:rFonts w:hint="default" w:ascii="Arial" w:hAnsi="Arial" w:cs="Arial"/>
          <w:sz w:val="22"/>
          <w:szCs w:val="22"/>
          <w:lang w:val="pt-BR"/>
        </w:rPr>
        <w:t>projeto</w:t>
      </w:r>
      <w:r>
        <w:rPr>
          <w:rFonts w:ascii="Arial" w:hAnsi="Arial" w:cs="Arial"/>
          <w:sz w:val="22"/>
          <w:szCs w:val="22"/>
        </w:rPr>
        <w:t xml:space="preserve"> (órgão ou ente público), deverá ser juntada à documentação: </w:t>
      </w:r>
    </w:p>
    <w:p>
      <w:pPr>
        <w:keepNext w:val="0"/>
        <w:keepLines w:val="0"/>
        <w:pageBreakBefore w:val="0"/>
        <w:kinsoku/>
        <w:wordWrap/>
        <w:overflowPunct/>
        <w:topLinePunct w:val="0"/>
        <w:autoSpaceDE/>
        <w:autoSpaceDN/>
        <w:bidi w:val="0"/>
        <w:adjustRightInd/>
        <w:snapToGrid/>
        <w:spacing w:beforeAutospacing="0" w:after="120" w:afterAutospacing="0"/>
        <w:ind w:left="1440" w:leftChars="0" w:right="215" w:firstLine="0" w:firstLineChars="0"/>
        <w:jc w:val="both"/>
        <w:textAlignment w:val="auto"/>
        <w:rPr>
          <w:rFonts w:ascii="Arial" w:hAnsi="Arial" w:cs="Arial"/>
          <w:sz w:val="22"/>
          <w:szCs w:val="22"/>
        </w:rPr>
      </w:pPr>
      <w:r>
        <w:rPr>
          <w:rFonts w:ascii="Arial" w:hAnsi="Arial" w:cs="Arial"/>
          <w:b/>
          <w:sz w:val="22"/>
          <w:szCs w:val="22"/>
        </w:rPr>
        <w:t>e.3.1.1.)</w:t>
      </w:r>
      <w:r>
        <w:rPr>
          <w:rFonts w:ascii="Arial" w:hAnsi="Arial" w:cs="Arial"/>
          <w:sz w:val="22"/>
          <w:szCs w:val="22"/>
        </w:rPr>
        <w:t xml:space="preserve"> Declaração formal do contratante principal confirmando que o técnico indicado foi responsável técnico pela sua execução, ou um de seus responsáveis técnicos, ou; </w:t>
      </w:r>
    </w:p>
    <w:p>
      <w:pPr>
        <w:keepNext w:val="0"/>
        <w:keepLines w:val="0"/>
        <w:pageBreakBefore w:val="0"/>
        <w:kinsoku/>
        <w:wordWrap/>
        <w:overflowPunct/>
        <w:topLinePunct w:val="0"/>
        <w:autoSpaceDE/>
        <w:autoSpaceDN/>
        <w:bidi w:val="0"/>
        <w:adjustRightInd/>
        <w:snapToGrid/>
        <w:spacing w:beforeAutospacing="0" w:after="120" w:afterAutospacing="0"/>
        <w:ind w:left="1440" w:leftChars="0" w:right="215" w:firstLine="0" w:firstLineChars="0"/>
        <w:jc w:val="both"/>
        <w:textAlignment w:val="auto"/>
        <w:rPr>
          <w:rFonts w:ascii="Arial" w:hAnsi="Arial" w:cs="Arial"/>
          <w:sz w:val="22"/>
          <w:szCs w:val="22"/>
        </w:rPr>
      </w:pPr>
      <w:r>
        <w:rPr>
          <w:rFonts w:ascii="Arial" w:hAnsi="Arial" w:cs="Arial"/>
          <w:b/>
          <w:sz w:val="22"/>
          <w:szCs w:val="22"/>
        </w:rPr>
        <w:t>e.3.1.2)</w:t>
      </w:r>
      <w:r>
        <w:rPr>
          <w:rFonts w:ascii="Arial" w:hAnsi="Arial" w:cs="Arial"/>
          <w:sz w:val="22"/>
          <w:szCs w:val="22"/>
        </w:rPr>
        <w:t xml:space="preserve"> Comprovação por meio de carteira profissional de trabalho e Ficha de Registro de Empresa – FRE acompanhados do recolhimento do Fundo de Garantia por Tempo de Serviço, todos esses com data referente ao período de execução do objeto do atestado/certidão, ou; </w:t>
      </w:r>
    </w:p>
    <w:p>
      <w:pPr>
        <w:keepNext w:val="0"/>
        <w:keepLines w:val="0"/>
        <w:pageBreakBefore w:val="0"/>
        <w:kinsoku/>
        <w:wordWrap/>
        <w:overflowPunct/>
        <w:topLinePunct w:val="0"/>
        <w:autoSpaceDE/>
        <w:autoSpaceDN/>
        <w:bidi w:val="0"/>
        <w:adjustRightInd/>
        <w:snapToGrid/>
        <w:spacing w:beforeAutospacing="0" w:after="120" w:afterAutospacing="0"/>
        <w:ind w:left="1440" w:leftChars="0" w:right="215" w:firstLine="0" w:firstLineChars="0"/>
        <w:jc w:val="both"/>
        <w:textAlignment w:val="auto"/>
        <w:rPr>
          <w:rFonts w:ascii="Arial" w:hAnsi="Arial" w:cs="Arial"/>
          <w:sz w:val="22"/>
          <w:szCs w:val="22"/>
        </w:rPr>
      </w:pPr>
      <w:r>
        <w:rPr>
          <w:rFonts w:ascii="Arial" w:hAnsi="Arial" w:cs="Arial"/>
          <w:b/>
          <w:sz w:val="22"/>
          <w:szCs w:val="22"/>
        </w:rPr>
        <w:t>e.3.1.3)</w:t>
      </w:r>
      <w:r>
        <w:rPr>
          <w:rFonts w:ascii="Arial" w:hAnsi="Arial" w:cs="Arial"/>
          <w:sz w:val="22"/>
          <w:szCs w:val="22"/>
        </w:rPr>
        <w:t xml:space="preserve"> Contrato de trabalho registrado no Conselho Regional do Profissional à época da execução do objeto do atestado/certidão; </w:t>
      </w:r>
    </w:p>
    <w:p>
      <w:pPr>
        <w:keepNext w:val="0"/>
        <w:keepLines w:val="0"/>
        <w:pageBreakBefore w:val="0"/>
        <w:kinsoku/>
        <w:wordWrap/>
        <w:overflowPunct/>
        <w:topLinePunct w:val="0"/>
        <w:autoSpaceDE/>
        <w:autoSpaceDN/>
        <w:bidi w:val="0"/>
        <w:adjustRightInd/>
        <w:snapToGrid/>
        <w:spacing w:beforeAutospacing="0" w:after="120" w:afterAutospacing="0"/>
        <w:ind w:right="215"/>
        <w:jc w:val="both"/>
        <w:textAlignment w:val="auto"/>
        <w:rPr>
          <w:rFonts w:ascii="Arial" w:hAnsi="Arial" w:cs="Arial"/>
          <w:sz w:val="22"/>
          <w:szCs w:val="22"/>
        </w:rPr>
      </w:pPr>
      <w:r>
        <w:rPr>
          <w:rFonts w:ascii="Arial" w:hAnsi="Arial" w:cs="Arial"/>
          <w:b/>
          <w:sz w:val="22"/>
          <w:szCs w:val="22"/>
        </w:rPr>
        <w:t>f)</w:t>
      </w:r>
      <w:r>
        <w:rPr>
          <w:rFonts w:ascii="Arial" w:hAnsi="Arial" w:cs="Arial"/>
          <w:sz w:val="22"/>
          <w:szCs w:val="22"/>
        </w:rPr>
        <w:t xml:space="preserve"> A não apresentação de documentação comprobatória prevista na alínea “e.3.1” não importará na inabilitação sumária da licitante, mas a sujeitará à diligência documental pela Comissão. Caso não sejam confirmadas as informações contidas nos atestados fornecidos por empresas privadas, a licitante será considerada inabilitada para o certame; </w:t>
      </w:r>
    </w:p>
    <w:p>
      <w:pPr>
        <w:keepNext w:val="0"/>
        <w:keepLines w:val="0"/>
        <w:pageBreakBefore w:val="0"/>
        <w:kinsoku/>
        <w:wordWrap/>
        <w:overflowPunct/>
        <w:topLinePunct w:val="0"/>
        <w:autoSpaceDE/>
        <w:autoSpaceDN/>
        <w:bidi w:val="0"/>
        <w:adjustRightInd/>
        <w:snapToGrid/>
        <w:spacing w:beforeAutospacing="0" w:after="120" w:afterAutospacing="0"/>
        <w:ind w:right="215"/>
        <w:jc w:val="both"/>
        <w:textAlignment w:val="auto"/>
        <w:rPr>
          <w:rFonts w:hint="default" w:ascii="Arial" w:hAnsi="Arial" w:cs="Arial"/>
          <w:sz w:val="22"/>
          <w:szCs w:val="22"/>
          <w:lang w:val="pt-BR"/>
        </w:rPr>
      </w:pPr>
      <w:r>
        <w:rPr>
          <w:rFonts w:ascii="Arial" w:hAnsi="Arial" w:cs="Arial"/>
          <w:b/>
          <w:sz w:val="22"/>
          <w:szCs w:val="22"/>
        </w:rPr>
        <w:t>g)</w:t>
      </w:r>
      <w:r>
        <w:rPr>
          <w:rFonts w:ascii="Arial" w:hAnsi="Arial" w:cs="Arial"/>
          <w:sz w:val="22"/>
          <w:szCs w:val="22"/>
        </w:rPr>
        <w:t xml:space="preserve"> A comprovação de vinculo dar-se-á de acordo com o item “17.3”- Termo de Contrato do edital</w:t>
      </w:r>
      <w:r>
        <w:rPr>
          <w:rFonts w:hint="default" w:ascii="Arial" w:hAnsi="Arial" w:cs="Arial"/>
          <w:sz w:val="22"/>
          <w:szCs w:val="22"/>
          <w:lang w:val="pt-BR"/>
        </w:rPr>
        <w:t>;</w:t>
      </w:r>
    </w:p>
    <w:p>
      <w:pPr>
        <w:keepNext w:val="0"/>
        <w:keepLines w:val="0"/>
        <w:pageBreakBefore w:val="0"/>
        <w:kinsoku/>
        <w:wordWrap/>
        <w:overflowPunct/>
        <w:topLinePunct w:val="0"/>
        <w:autoSpaceDE/>
        <w:autoSpaceDN/>
        <w:bidi w:val="0"/>
        <w:adjustRightInd/>
        <w:snapToGrid/>
        <w:spacing w:beforeAutospacing="0" w:after="120" w:afterAutospacing="0"/>
        <w:ind w:right="215"/>
        <w:jc w:val="both"/>
        <w:textAlignment w:val="auto"/>
        <w:rPr>
          <w:rFonts w:hint="default" w:ascii="Arial" w:hAnsi="Arial" w:cs="Arial"/>
          <w:b/>
          <w:bCs/>
          <w:sz w:val="22"/>
          <w:szCs w:val="22"/>
          <w:lang w:val="pt-BR"/>
        </w:rPr>
      </w:pPr>
      <w:r>
        <w:rPr>
          <w:rFonts w:hint="default" w:ascii="Arial" w:hAnsi="Arial" w:cs="Arial"/>
          <w:b/>
          <w:bCs/>
          <w:sz w:val="22"/>
          <w:szCs w:val="22"/>
          <w:lang w:val="pt-BR"/>
        </w:rPr>
        <w:t xml:space="preserve">h) </w:t>
      </w:r>
      <w:r>
        <w:rPr>
          <w:rFonts w:hint="default" w:ascii="Arial" w:hAnsi="Arial" w:cs="Arial"/>
          <w:b w:val="0"/>
          <w:bCs w:val="0"/>
          <w:sz w:val="22"/>
          <w:szCs w:val="22"/>
          <w:lang w:val="pt-BR"/>
        </w:rPr>
        <w:t>O profissional indicado pelo licitante para fins de comprovação da capacidade técnica-profissional deverá acompanhar a execução dos serviços, admitindo-se sua substituição por profissionais de experiência equivalente ou superior, desde que aprovada pela Administração.</w:t>
      </w:r>
    </w:p>
    <w:p>
      <w:pPr>
        <w:pStyle w:val="350"/>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t>10.4.5. DA HABILITAÇÃO DE CONSÓRCIO</w:t>
      </w:r>
    </w:p>
    <w:p>
      <w:pPr>
        <w:pStyle w:val="350"/>
        <w:keepNext w:val="0"/>
        <w:keepLines w:val="0"/>
        <w:pageBreakBefore w:val="0"/>
        <w:widowControl/>
        <w:kinsoku/>
        <w:wordWrap/>
        <w:overflowPunct/>
        <w:topLinePunct w:val="0"/>
        <w:autoSpaceDE/>
        <w:autoSpaceDN/>
        <w:bidi w:val="0"/>
        <w:adjustRightInd/>
        <w:snapToGrid/>
        <w:spacing w:before="0" w:beforeAutospacing="0" w:after="120" w:afterAutospacing="0"/>
        <w:ind w:left="480" w:leftChars="0" w:firstLine="0" w:firstLineChars="0"/>
        <w:textAlignment w:val="auto"/>
        <w:rPr>
          <w:b w:val="0"/>
        </w:rPr>
      </w:pPr>
      <w:r>
        <w:t xml:space="preserve">10.4.5.1. </w:t>
      </w:r>
      <w:r>
        <w:rPr>
          <w:b w:val="0"/>
        </w:rPr>
        <w:t>Quando da participação de consórcio de empresas na presente licitação, além dos requisitos estabelecidos, deverão ser observados:</w:t>
      </w:r>
    </w:p>
    <w:p>
      <w:pPr>
        <w:pStyle w:val="350"/>
        <w:keepNext w:val="0"/>
        <w:keepLines w:val="0"/>
        <w:pageBreakBefore w:val="0"/>
        <w:widowControl/>
        <w:tabs>
          <w:tab w:val="clear" w:pos="709"/>
        </w:tabs>
        <w:kinsoku/>
        <w:wordWrap/>
        <w:overflowPunct/>
        <w:topLinePunct w:val="0"/>
        <w:autoSpaceDE/>
        <w:autoSpaceDN/>
        <w:bidi w:val="0"/>
        <w:adjustRightInd/>
        <w:snapToGrid/>
        <w:spacing w:before="0" w:beforeAutospacing="0" w:after="120" w:afterAutospacing="0"/>
        <w:ind w:left="480" w:leftChars="200" w:firstLine="0" w:firstLineChars="0"/>
        <w:textAlignment w:val="auto"/>
        <w:rPr>
          <w:b w:val="0"/>
        </w:rPr>
      </w:pPr>
      <w:r>
        <w:t xml:space="preserve">10.4.5.2. </w:t>
      </w:r>
      <w:r>
        <w:rPr>
          <w:b w:val="0"/>
        </w:rPr>
        <w:t>Para prova de qualificação técnica, será admitido o somatório dos acervos de cada consorciado para atendimento do Edital:</w:t>
      </w:r>
    </w:p>
    <w:p>
      <w:pPr>
        <w:pStyle w:val="350"/>
        <w:keepNext w:val="0"/>
        <w:keepLines w:val="0"/>
        <w:pageBreakBefore w:val="0"/>
        <w:widowControl/>
        <w:kinsoku/>
        <w:wordWrap/>
        <w:overflowPunct/>
        <w:topLinePunct w:val="0"/>
        <w:autoSpaceDE/>
        <w:autoSpaceDN/>
        <w:bidi w:val="0"/>
        <w:adjustRightInd/>
        <w:snapToGrid/>
        <w:spacing w:before="0" w:beforeAutospacing="0" w:after="120" w:afterAutospacing="0"/>
        <w:ind w:left="480" w:leftChars="200" w:firstLine="0" w:firstLineChars="0"/>
        <w:textAlignment w:val="auto"/>
        <w:rPr>
          <w:b w:val="0"/>
        </w:rPr>
      </w:pPr>
      <w:r>
        <w:t xml:space="preserve">10.4.5.3. </w:t>
      </w:r>
      <w:r>
        <w:rPr>
          <w:b w:val="0"/>
        </w:rPr>
        <w:t>Para fazer prova de qualificação econômico financeira, cada consorciado deverá apresentar suas demonstrações financeiras e possuir os índices contábeis mínimos indicados neste Edital. Da mesma forma, cada consorciado deverá apresentar a certidão negativa de falência e recuperação judicial;</w:t>
      </w:r>
    </w:p>
    <w:p>
      <w:pPr>
        <w:pStyle w:val="349"/>
        <w:keepNext w:val="0"/>
        <w:keepLines w:val="0"/>
        <w:pageBreakBefore w:val="0"/>
        <w:kinsoku/>
        <w:wordWrap/>
        <w:overflowPunct/>
        <w:topLinePunct w:val="0"/>
        <w:autoSpaceDE/>
        <w:autoSpaceDN/>
        <w:bidi w:val="0"/>
        <w:adjustRightInd/>
        <w:snapToGrid/>
        <w:spacing w:before="0" w:beforeAutospacing="0" w:after="120" w:afterAutospacing="0"/>
        <w:textAlignment w:val="auto"/>
      </w:pPr>
      <w:r>
        <w:t>10.4.6. D</w:t>
      </w:r>
      <w:r>
        <w:rPr>
          <w:rFonts w:hint="default"/>
          <w:lang w:val="pt-BR"/>
        </w:rPr>
        <w:t>OCUMENTAÇÃO COMPLEMENTAR</w:t>
      </w:r>
      <w:r>
        <w:t>:</w:t>
      </w:r>
    </w:p>
    <w:p>
      <w:pPr>
        <w:pStyle w:val="86"/>
        <w:keepNext w:val="0"/>
        <w:keepLines w:val="0"/>
        <w:pageBreakBefore w:val="0"/>
        <w:widowControl w:val="0"/>
        <w:tabs>
          <w:tab w:val="left" w:pos="426"/>
          <w:tab w:val="left" w:pos="567"/>
          <w:tab w:val="left" w:pos="851"/>
          <w:tab w:val="left" w:pos="1701"/>
          <w:tab w:val="left" w:pos="2552"/>
        </w:tabs>
        <w:kinsoku/>
        <w:wordWrap/>
        <w:overflowPunct/>
        <w:topLinePunct w:val="0"/>
        <w:autoSpaceDE/>
        <w:autoSpaceDN/>
        <w:bidi w:val="0"/>
        <w:adjustRightInd/>
        <w:snapToGrid/>
        <w:spacing w:beforeAutospacing="0" w:after="120" w:afterAutospacing="0"/>
        <w:ind w:left="0"/>
        <w:jc w:val="both"/>
        <w:textAlignment w:val="auto"/>
        <w:rPr>
          <w:rFonts w:ascii="Arial" w:hAnsi="Arial" w:cs="Arial"/>
          <w:bCs/>
          <w:iCs/>
          <w:color w:val="000000"/>
          <w:sz w:val="22"/>
          <w:szCs w:val="22"/>
        </w:rPr>
      </w:pPr>
      <w:r>
        <w:rPr>
          <w:rFonts w:hint="default" w:ascii="Arial" w:hAnsi="Arial" w:cs="Arial"/>
          <w:b/>
          <w:bCs/>
          <w:iCs/>
          <w:color w:val="000000"/>
          <w:sz w:val="22"/>
          <w:szCs w:val="22"/>
          <w:lang w:val="pt-BR"/>
        </w:rPr>
        <w:t>a)</w:t>
      </w:r>
      <w:r>
        <w:rPr>
          <w:rFonts w:ascii="Arial" w:hAnsi="Arial" w:cs="Arial"/>
          <w:bCs/>
          <w:iCs/>
          <w:color w:val="000000"/>
          <w:sz w:val="22"/>
          <w:szCs w:val="22"/>
        </w:rPr>
        <w:t xml:space="preserve"> </w:t>
      </w:r>
      <w:r>
        <w:rPr>
          <w:rFonts w:ascii="Arial" w:hAnsi="Arial" w:cs="Arial"/>
          <w:b/>
          <w:bCs w:val="0"/>
          <w:iCs/>
          <w:color w:val="000000"/>
          <w:sz w:val="22"/>
          <w:szCs w:val="22"/>
          <w:u w:val="single"/>
        </w:rPr>
        <w:t>Tod</w:t>
      </w:r>
      <w:r>
        <w:rPr>
          <w:rFonts w:hint="default" w:ascii="Arial" w:hAnsi="Arial" w:cs="Arial"/>
          <w:b/>
          <w:bCs w:val="0"/>
          <w:iCs/>
          <w:color w:val="000000"/>
          <w:sz w:val="22"/>
          <w:szCs w:val="22"/>
          <w:u w:val="single"/>
          <w:lang w:val="pt-BR"/>
        </w:rPr>
        <w:t>a</w:t>
      </w:r>
      <w:r>
        <w:rPr>
          <w:rFonts w:ascii="Arial" w:hAnsi="Arial" w:cs="Arial"/>
          <w:b/>
          <w:bCs w:val="0"/>
          <w:iCs/>
          <w:color w:val="000000"/>
          <w:sz w:val="22"/>
          <w:szCs w:val="22"/>
          <w:u w:val="single"/>
        </w:rPr>
        <w:t xml:space="preserve">s </w:t>
      </w:r>
      <w:r>
        <w:rPr>
          <w:rFonts w:hint="default" w:ascii="Arial" w:hAnsi="Arial" w:cs="Arial"/>
          <w:b/>
          <w:bCs w:val="0"/>
          <w:iCs/>
          <w:color w:val="000000"/>
          <w:sz w:val="22"/>
          <w:szCs w:val="22"/>
          <w:u w:val="single"/>
          <w:lang w:val="pt-BR"/>
        </w:rPr>
        <w:t>a</w:t>
      </w:r>
      <w:r>
        <w:rPr>
          <w:rFonts w:ascii="Arial" w:hAnsi="Arial" w:cs="Arial"/>
          <w:b/>
          <w:bCs w:val="0"/>
          <w:iCs/>
          <w:color w:val="000000"/>
          <w:sz w:val="22"/>
          <w:szCs w:val="22"/>
          <w:u w:val="single"/>
        </w:rPr>
        <w:t>s licitantes deverão apresentar, ainda</w:t>
      </w:r>
      <w:r>
        <w:rPr>
          <w:rFonts w:ascii="Arial" w:hAnsi="Arial" w:cs="Arial"/>
          <w:bCs/>
          <w:iCs/>
          <w:color w:val="000000"/>
          <w:sz w:val="22"/>
          <w:szCs w:val="22"/>
        </w:rPr>
        <w:t>:</w:t>
      </w:r>
    </w:p>
    <w:p>
      <w:pPr>
        <w:keepNext w:val="0"/>
        <w:keepLines w:val="0"/>
        <w:pageBreakBefore w:val="0"/>
        <w:widowControl w:val="0"/>
        <w:tabs>
          <w:tab w:val="left" w:pos="-7797"/>
          <w:tab w:val="left" w:pos="567"/>
          <w:tab w:val="left" w:pos="851"/>
          <w:tab w:val="left" w:pos="1276"/>
        </w:tabs>
        <w:kinsoku/>
        <w:wordWrap/>
        <w:overflowPunct/>
        <w:topLinePunct w:val="0"/>
        <w:autoSpaceDE/>
        <w:autoSpaceDN/>
        <w:bidi w:val="0"/>
        <w:adjustRightInd/>
        <w:snapToGrid/>
        <w:spacing w:beforeAutospacing="0" w:after="120" w:afterAutospacing="0"/>
        <w:ind w:left="567"/>
        <w:jc w:val="both"/>
        <w:textAlignment w:val="auto"/>
        <w:rPr>
          <w:rFonts w:hint="default" w:ascii="Arial" w:hAnsi="Arial" w:cs="Arial"/>
          <w:bCs/>
          <w:iCs/>
          <w:sz w:val="22"/>
          <w:szCs w:val="22"/>
          <w:lang w:val="pt-BR"/>
        </w:rPr>
      </w:pPr>
      <w:r>
        <w:rPr>
          <w:rFonts w:hint="default" w:ascii="Arial" w:hAnsi="Arial" w:cs="Arial"/>
          <w:b/>
          <w:sz w:val="22"/>
          <w:szCs w:val="22"/>
          <w:lang w:val="pt-BR"/>
        </w:rPr>
        <w:t>a</w:t>
      </w:r>
      <w:r>
        <w:rPr>
          <w:rFonts w:ascii="Arial" w:hAnsi="Arial" w:cs="Arial"/>
          <w:b/>
          <w:sz w:val="22"/>
          <w:szCs w:val="22"/>
        </w:rPr>
        <w:t>.</w:t>
      </w:r>
      <w:r>
        <w:rPr>
          <w:rFonts w:hint="default" w:ascii="Arial" w:hAnsi="Arial" w:cs="Arial"/>
          <w:b/>
          <w:sz w:val="22"/>
          <w:szCs w:val="22"/>
          <w:lang w:val="pt-BR"/>
        </w:rPr>
        <w:t>1)</w:t>
      </w:r>
      <w:r>
        <w:rPr>
          <w:rFonts w:ascii="Arial" w:hAnsi="Arial" w:cs="Arial"/>
          <w:sz w:val="22"/>
          <w:szCs w:val="22"/>
        </w:rPr>
        <w:t xml:space="preserve"> </w:t>
      </w:r>
      <w:r>
        <w:rPr>
          <w:rFonts w:hint="default" w:ascii="Arial" w:hAnsi="Arial" w:cs="Arial"/>
          <w:sz w:val="22"/>
          <w:szCs w:val="22"/>
          <w:lang w:val="pt-BR"/>
        </w:rPr>
        <w:t xml:space="preserve">Atestado de visita técnica ou declaração de conhecimento do objeto, conforme </w:t>
      </w:r>
      <w:r>
        <w:rPr>
          <w:rFonts w:hint="default" w:ascii="Arial" w:hAnsi="Arial" w:cs="Arial"/>
          <w:b/>
          <w:bCs/>
          <w:sz w:val="22"/>
          <w:szCs w:val="22"/>
          <w:lang w:val="pt-BR"/>
        </w:rPr>
        <w:t>anexos IX e X</w:t>
      </w:r>
      <w:r>
        <w:rPr>
          <w:rFonts w:hint="default" w:ascii="Arial" w:hAnsi="Arial" w:cs="Arial"/>
          <w:sz w:val="22"/>
          <w:szCs w:val="22"/>
          <w:lang w:val="pt-BR"/>
        </w:rPr>
        <w:t>.</w:t>
      </w:r>
    </w:p>
    <w:p>
      <w:pPr>
        <w:pStyle w:val="349"/>
        <w:keepNext w:val="0"/>
        <w:keepLines w:val="0"/>
        <w:pageBreakBefore w:val="0"/>
        <w:kinsoku/>
        <w:wordWrap/>
        <w:overflowPunct/>
        <w:topLinePunct w:val="0"/>
        <w:autoSpaceDE/>
        <w:autoSpaceDN/>
        <w:bidi w:val="0"/>
        <w:adjustRightInd/>
        <w:snapToGrid/>
        <w:spacing w:before="0" w:beforeAutospacing="0" w:after="120" w:afterAutospacing="0"/>
        <w:textAlignment w:val="auto"/>
        <w:rPr>
          <w:b w:val="0"/>
        </w:rPr>
      </w:pPr>
      <w:r>
        <w:rPr>
          <w:rFonts w:hint="default"/>
          <w:lang w:val="pt-BR"/>
        </w:rPr>
        <w:t xml:space="preserve">b) </w:t>
      </w:r>
      <w:r>
        <w:rPr>
          <w:b w:val="0"/>
        </w:rPr>
        <w:t xml:space="preserve">As licitantes deverão </w:t>
      </w:r>
      <w:r>
        <w:rPr>
          <w:rFonts w:hint="default"/>
          <w:b w:val="0"/>
          <w:lang w:val="pt-BR"/>
        </w:rPr>
        <w:t>apresentar ainda, as seguintes declarações</w:t>
      </w:r>
      <w:r>
        <w:rPr>
          <w:b w:val="0"/>
        </w:rPr>
        <w:t>:</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120" w:afterAutospacing="0"/>
        <w:ind w:left="480" w:leftChars="0" w:right="49" w:rightChars="0" w:firstLine="0" w:firstLineChars="0"/>
        <w:jc w:val="both"/>
        <w:textAlignment w:val="auto"/>
        <w:rPr>
          <w:rFonts w:ascii="Arial" w:hAnsi="Arial" w:cs="Arial"/>
          <w:sz w:val="22"/>
          <w:szCs w:val="22"/>
        </w:rPr>
      </w:pPr>
      <w:r>
        <w:rPr>
          <w:rFonts w:hint="default" w:ascii="Arial" w:hAnsi="Arial" w:cs="Arial"/>
          <w:b/>
          <w:bCs/>
          <w:sz w:val="22"/>
          <w:szCs w:val="22"/>
          <w:lang w:val="pt-BR"/>
        </w:rPr>
        <w:t>b.1)</w:t>
      </w:r>
      <w:r>
        <w:rPr>
          <w:rFonts w:ascii="Arial" w:hAnsi="Arial" w:cs="Arial"/>
          <w:sz w:val="22"/>
          <w:szCs w:val="22"/>
        </w:rPr>
        <w:t xml:space="preserve"> Declara</w:t>
      </w:r>
      <w:r>
        <w:rPr>
          <w:rFonts w:hint="default" w:ascii="Arial" w:hAnsi="Arial" w:cs="Arial"/>
          <w:sz w:val="22"/>
          <w:szCs w:val="22"/>
          <w:lang w:val="pt-BR"/>
        </w:rPr>
        <w:t>ção de</w:t>
      </w:r>
      <w:r>
        <w:rPr>
          <w:rFonts w:ascii="Arial" w:hAnsi="Arial" w:cs="Arial"/>
          <w:sz w:val="22"/>
          <w:szCs w:val="22"/>
        </w:rPr>
        <w:t xml:space="preserve"> inexistência de fato superveniente impeditivo de habilitação, na forma do Art. 32, § 2°, da Lei 8.666/93</w:t>
      </w:r>
      <w:r>
        <w:rPr>
          <w:rFonts w:hint="default" w:ascii="Arial" w:hAnsi="Arial" w:cs="Arial"/>
          <w:sz w:val="22"/>
          <w:szCs w:val="22"/>
          <w:lang w:val="pt-BR"/>
        </w:rPr>
        <w:t xml:space="preserve">, conforme </w:t>
      </w:r>
      <w:r>
        <w:rPr>
          <w:rFonts w:hint="default" w:ascii="Arial" w:hAnsi="Arial" w:cs="Arial"/>
          <w:b/>
          <w:bCs/>
          <w:sz w:val="22"/>
          <w:szCs w:val="22"/>
          <w:lang w:val="pt-BR"/>
        </w:rPr>
        <w:t>Anexo VI</w:t>
      </w:r>
      <w:r>
        <w:rPr>
          <w:rFonts w:ascii="Arial" w:hAnsi="Arial" w:cs="Arial"/>
          <w:sz w:val="22"/>
          <w:szCs w:val="22"/>
        </w:rPr>
        <w:t>;</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120" w:afterAutospacing="0"/>
        <w:ind w:left="480" w:leftChars="0" w:right="49" w:rightChars="0" w:firstLine="0" w:firstLineChars="0"/>
        <w:jc w:val="both"/>
        <w:textAlignment w:val="auto"/>
        <w:rPr>
          <w:rFonts w:ascii="Arial" w:hAnsi="Arial" w:cs="Arial"/>
          <w:sz w:val="22"/>
          <w:szCs w:val="22"/>
        </w:rPr>
      </w:pPr>
      <w:r>
        <w:rPr>
          <w:rFonts w:hint="default" w:ascii="Arial" w:hAnsi="Arial" w:cs="Arial"/>
          <w:b/>
          <w:bCs/>
          <w:sz w:val="22"/>
          <w:szCs w:val="22"/>
          <w:lang w:val="pt-BR"/>
        </w:rPr>
        <w:t>b.2)</w:t>
      </w:r>
      <w:r>
        <w:rPr>
          <w:rFonts w:ascii="Arial" w:hAnsi="Arial" w:cs="Arial"/>
          <w:sz w:val="22"/>
          <w:szCs w:val="22"/>
        </w:rPr>
        <w:t xml:space="preserve"> Declara que não existe em seu quadro de empregados, servidores públicos ou dirigente do Município de Primavera do Leste, exercendo funções de gerência, administração ou tomada de decisão</w:t>
      </w:r>
      <w:r>
        <w:rPr>
          <w:rFonts w:hint="default" w:ascii="Arial" w:hAnsi="Arial" w:cs="Arial"/>
          <w:sz w:val="22"/>
          <w:szCs w:val="22"/>
          <w:lang w:val="pt-BR"/>
        </w:rPr>
        <w:t xml:space="preserve">, conforme </w:t>
      </w:r>
      <w:r>
        <w:rPr>
          <w:rFonts w:hint="default" w:ascii="Arial" w:hAnsi="Arial" w:cs="Arial"/>
          <w:b/>
          <w:bCs/>
          <w:sz w:val="22"/>
          <w:szCs w:val="22"/>
          <w:lang w:val="pt-BR"/>
        </w:rPr>
        <w:t>Anexo VI</w:t>
      </w:r>
      <w:r>
        <w:rPr>
          <w:rFonts w:ascii="Arial" w:hAnsi="Arial" w:cs="Arial"/>
          <w:snapToGrid w:val="0"/>
          <w:sz w:val="22"/>
          <w:szCs w:val="22"/>
        </w:rPr>
        <w:t>;</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120" w:afterAutospacing="0"/>
        <w:ind w:left="480" w:leftChars="0" w:firstLine="0" w:firstLineChars="0"/>
        <w:jc w:val="both"/>
        <w:textAlignment w:val="auto"/>
        <w:rPr>
          <w:rFonts w:ascii="Arial" w:hAnsi="Arial" w:cs="Arial"/>
          <w:sz w:val="22"/>
          <w:szCs w:val="22"/>
        </w:rPr>
      </w:pPr>
      <w:r>
        <w:rPr>
          <w:rFonts w:hint="default" w:ascii="Arial" w:hAnsi="Arial" w:cs="Arial"/>
          <w:b/>
          <w:bCs/>
          <w:sz w:val="22"/>
          <w:szCs w:val="22"/>
          <w:lang w:val="pt-BR"/>
        </w:rPr>
        <w:t>b.3)</w:t>
      </w:r>
      <w:r>
        <w:rPr>
          <w:rFonts w:ascii="Arial" w:hAnsi="Arial" w:cs="Arial"/>
          <w:sz w:val="22"/>
          <w:szCs w:val="22"/>
        </w:rPr>
        <w:t xml:space="preserve"> Declara que tem pleno conhecimento de todas as informações, das condições locais para o cumprimento das obrigações e da natureza dos serviços a que se propõe, bem como, de todos os termos do instrumento convocatório que rege a licitação e demais anexos que o integram</w:t>
      </w:r>
      <w:r>
        <w:rPr>
          <w:rFonts w:hint="default" w:ascii="Arial" w:hAnsi="Arial" w:cs="Arial"/>
          <w:sz w:val="22"/>
          <w:szCs w:val="22"/>
          <w:lang w:val="pt-BR"/>
        </w:rPr>
        <w:t xml:space="preserve">, conforme </w:t>
      </w:r>
      <w:r>
        <w:rPr>
          <w:rFonts w:hint="default" w:ascii="Arial" w:hAnsi="Arial" w:cs="Arial"/>
          <w:b/>
          <w:bCs/>
          <w:sz w:val="22"/>
          <w:szCs w:val="22"/>
          <w:lang w:val="pt-BR"/>
        </w:rPr>
        <w:t>Anexo VI</w:t>
      </w:r>
      <w:r>
        <w:rPr>
          <w:rFonts w:ascii="Arial" w:hAnsi="Arial" w:cs="Arial"/>
          <w:sz w:val="22"/>
          <w:szCs w:val="22"/>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120" w:afterAutospacing="0"/>
        <w:ind w:left="480" w:leftChars="0" w:right="49" w:rightChars="0" w:firstLine="0" w:firstLineChars="0"/>
        <w:jc w:val="both"/>
        <w:textAlignment w:val="auto"/>
        <w:rPr>
          <w:rFonts w:ascii="Arial" w:hAnsi="Arial" w:cs="Arial"/>
          <w:sz w:val="22"/>
          <w:szCs w:val="22"/>
        </w:rPr>
      </w:pPr>
      <w:r>
        <w:rPr>
          <w:rFonts w:hint="default" w:ascii="Arial" w:hAnsi="Arial" w:cs="Arial"/>
          <w:b/>
          <w:bCs/>
          <w:sz w:val="22"/>
          <w:szCs w:val="22"/>
          <w:lang w:val="pt-BR"/>
        </w:rPr>
        <w:t xml:space="preserve">b.4) </w:t>
      </w:r>
      <w:r>
        <w:rPr>
          <w:rFonts w:ascii="Arial" w:hAnsi="Arial" w:cs="Arial"/>
          <w:sz w:val="22"/>
          <w:szCs w:val="22"/>
        </w:rPr>
        <w:t>Apresentar declaração (ões) individual (is), por escrito do(s) profissional (ais), autorizando sua(s) inclusão (ões) na equipe técnica, e que irá participar na execução dos trabalhos;</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120" w:afterAutospacing="0"/>
        <w:ind w:left="480" w:leftChars="0" w:right="49" w:rightChars="0" w:firstLine="0" w:firstLineChars="0"/>
        <w:jc w:val="both"/>
        <w:textAlignment w:val="auto"/>
        <w:rPr>
          <w:rFonts w:ascii="Arial" w:hAnsi="Arial" w:cs="Arial"/>
          <w:bCs/>
          <w:iCs/>
          <w:sz w:val="22"/>
          <w:szCs w:val="22"/>
        </w:rPr>
      </w:pPr>
      <w:r>
        <w:rPr>
          <w:rFonts w:hint="default" w:ascii="Arial" w:hAnsi="Arial" w:cs="Arial"/>
          <w:b/>
          <w:bCs/>
          <w:sz w:val="22"/>
          <w:szCs w:val="22"/>
          <w:lang w:val="pt-BR"/>
        </w:rPr>
        <w:t xml:space="preserve">b.5) </w:t>
      </w:r>
      <w:r>
        <w:rPr>
          <w:rFonts w:ascii="Arial" w:hAnsi="Arial" w:cs="Arial"/>
          <w:bCs/>
          <w:iCs/>
          <w:color w:val="000000"/>
          <w:sz w:val="22"/>
          <w:szCs w:val="22"/>
        </w:rPr>
        <w:t xml:space="preserve">Declaração de que não utiliza de mão de obra direta ou indireta de menores de 18 (dezoito) anos em trabalho noturno, perigoso ou insalubre e de qualquer trabalho a menores de 16 (dezesseis) anos, salvo na condição de aprendiz, a partir de 14 (quatorze) anos, nos termos da Lei 9.854, 1999, conforme </w:t>
      </w:r>
      <w:r>
        <w:rPr>
          <w:rFonts w:ascii="Arial" w:hAnsi="Arial" w:cs="Arial"/>
          <w:bCs/>
          <w:iCs/>
          <w:sz w:val="22"/>
          <w:szCs w:val="22"/>
        </w:rPr>
        <w:t xml:space="preserve">modelo </w:t>
      </w:r>
      <w:r>
        <w:rPr>
          <w:rFonts w:hint="default" w:ascii="Arial" w:hAnsi="Arial" w:cs="Arial"/>
          <w:b/>
          <w:bCs/>
          <w:iCs/>
          <w:sz w:val="22"/>
          <w:szCs w:val="22"/>
          <w:lang w:val="pt-BR"/>
        </w:rPr>
        <w:t xml:space="preserve">Anexo </w:t>
      </w:r>
      <w:r>
        <w:rPr>
          <w:rFonts w:ascii="Arial" w:hAnsi="Arial" w:cs="Arial"/>
          <w:b/>
          <w:bCs/>
          <w:iCs/>
          <w:sz w:val="22"/>
          <w:szCs w:val="22"/>
        </w:rPr>
        <w:t>VI</w:t>
      </w:r>
      <w:r>
        <w:rPr>
          <w:rFonts w:ascii="Arial" w:hAnsi="Arial" w:cs="Arial"/>
          <w:bCs/>
          <w:iCs/>
          <w:sz w:val="22"/>
          <w:szCs w:val="22"/>
        </w:rPr>
        <w:t>;</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120" w:afterAutospacing="0"/>
        <w:ind w:left="480" w:leftChars="0" w:right="49" w:rightChars="0" w:firstLine="0" w:firstLineChars="0"/>
        <w:jc w:val="both"/>
        <w:textAlignment w:val="auto"/>
        <w:rPr>
          <w:rFonts w:ascii="Arial" w:hAnsi="Arial" w:cs="Arial"/>
          <w:b/>
          <w:sz w:val="22"/>
          <w:szCs w:val="22"/>
        </w:rPr>
      </w:pPr>
      <w:r>
        <w:rPr>
          <w:rFonts w:hint="default" w:ascii="Arial" w:hAnsi="Arial" w:cs="Arial"/>
          <w:b/>
          <w:bCs w:val="0"/>
          <w:iCs/>
          <w:sz w:val="22"/>
          <w:szCs w:val="22"/>
          <w:lang w:val="pt-BR"/>
        </w:rPr>
        <w:t>b.6)</w:t>
      </w:r>
      <w:r>
        <w:rPr>
          <w:rFonts w:hint="default" w:ascii="Arial" w:hAnsi="Arial" w:cs="Arial"/>
          <w:bCs/>
          <w:iCs/>
          <w:sz w:val="22"/>
          <w:szCs w:val="22"/>
          <w:lang w:val="pt-BR"/>
        </w:rPr>
        <w:t xml:space="preserve"> </w:t>
      </w:r>
      <w:r>
        <w:rPr>
          <w:rFonts w:ascii="Arial" w:hAnsi="Arial" w:cs="Arial"/>
          <w:sz w:val="22"/>
          <w:szCs w:val="22"/>
        </w:rPr>
        <w:t xml:space="preserve">Declaração firmada por seu representante legal, assegurando a inexistência de impedimento legal para licitar ou contratar com a Administração, conforme </w:t>
      </w:r>
      <w:r>
        <w:rPr>
          <w:rFonts w:hint="default" w:ascii="Arial" w:hAnsi="Arial" w:cs="Arial"/>
          <w:b/>
          <w:sz w:val="22"/>
          <w:szCs w:val="22"/>
          <w:lang w:val="pt-BR"/>
        </w:rPr>
        <w:t xml:space="preserve">Anexo </w:t>
      </w:r>
      <w:r>
        <w:rPr>
          <w:rFonts w:ascii="Arial" w:hAnsi="Arial" w:cs="Arial"/>
          <w:b/>
          <w:sz w:val="22"/>
          <w:szCs w:val="22"/>
        </w:rPr>
        <w:t>VI;</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120" w:afterAutospacing="0"/>
        <w:ind w:left="480" w:leftChars="0" w:right="49" w:rightChars="0" w:firstLine="0" w:firstLineChars="0"/>
        <w:jc w:val="both"/>
        <w:textAlignment w:val="auto"/>
        <w:rPr>
          <w:rFonts w:hint="default" w:ascii="Arial" w:hAnsi="Arial" w:cs="Arial"/>
          <w:b/>
          <w:sz w:val="22"/>
          <w:szCs w:val="22"/>
          <w:lang w:val="pt-BR"/>
        </w:rPr>
      </w:pPr>
      <w:r>
        <w:rPr>
          <w:rFonts w:hint="default" w:ascii="Arial" w:hAnsi="Arial" w:cs="Arial"/>
          <w:b/>
          <w:sz w:val="22"/>
          <w:szCs w:val="22"/>
          <w:lang w:val="pt-BR"/>
        </w:rPr>
        <w:t xml:space="preserve">b.7) </w:t>
      </w:r>
      <w:r>
        <w:rPr>
          <w:rFonts w:ascii="Arial" w:hAnsi="Arial" w:cs="Arial"/>
          <w:sz w:val="22"/>
          <w:szCs w:val="22"/>
        </w:rPr>
        <w:t>Declaração firmada por seu representante legal, assegurando que tem pleno conhecimento do Cronograma Financeiro de desembolso conforme medição e do prazo de execução d</w:t>
      </w:r>
      <w:r>
        <w:rPr>
          <w:rFonts w:hint="default" w:ascii="Arial" w:hAnsi="Arial" w:cs="Arial"/>
          <w:sz w:val="22"/>
          <w:szCs w:val="22"/>
          <w:lang w:val="pt-BR"/>
        </w:rPr>
        <w:t>o projeto, conforme</w:t>
      </w:r>
      <w:r>
        <w:rPr>
          <w:rFonts w:ascii="Arial" w:hAnsi="Arial" w:cs="Arial"/>
          <w:sz w:val="22"/>
          <w:szCs w:val="22"/>
        </w:rPr>
        <w:t xml:space="preserve">  </w:t>
      </w:r>
      <w:r>
        <w:rPr>
          <w:rFonts w:hint="default" w:ascii="Arial" w:hAnsi="Arial" w:cs="Arial"/>
          <w:b/>
          <w:sz w:val="22"/>
          <w:szCs w:val="22"/>
          <w:lang w:val="pt-BR"/>
        </w:rPr>
        <w:t xml:space="preserve">Anexo </w:t>
      </w:r>
      <w:r>
        <w:rPr>
          <w:rFonts w:ascii="Arial" w:hAnsi="Arial" w:cs="Arial"/>
          <w:b/>
          <w:sz w:val="22"/>
          <w:szCs w:val="22"/>
        </w:rPr>
        <w:t>XIII;</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120" w:afterAutospacing="0"/>
        <w:ind w:left="480" w:leftChars="0" w:right="49" w:rightChars="0" w:firstLine="0" w:firstLineChars="0"/>
        <w:jc w:val="both"/>
        <w:textAlignment w:val="auto"/>
        <w:rPr>
          <w:rFonts w:hint="default" w:ascii="Arial" w:hAnsi="Arial" w:cs="Arial"/>
          <w:b/>
          <w:bCs/>
          <w:sz w:val="22"/>
          <w:szCs w:val="22"/>
          <w:lang w:val="pt-BR"/>
        </w:rPr>
      </w:pPr>
      <w:r>
        <w:rPr>
          <w:rFonts w:hint="default" w:ascii="Arial" w:hAnsi="Arial" w:cs="Arial"/>
          <w:b/>
          <w:bCs/>
          <w:sz w:val="22"/>
          <w:szCs w:val="22"/>
          <w:lang w:val="pt-BR"/>
        </w:rPr>
        <w:t xml:space="preserve">b.8) </w:t>
      </w:r>
      <w:r>
        <w:rPr>
          <w:rFonts w:ascii="Arial" w:hAnsi="Arial" w:cs="Arial"/>
          <w:sz w:val="22"/>
          <w:szCs w:val="22"/>
        </w:rPr>
        <w:t>No caso de microempresa e empresa de pequeno porte que, nos termos da LC 123/2006, possu</w:t>
      </w:r>
      <w:r>
        <w:rPr>
          <w:rFonts w:hint="default" w:ascii="Arial" w:hAnsi="Arial" w:cs="Arial"/>
          <w:sz w:val="22"/>
          <w:szCs w:val="22"/>
          <w:lang w:val="pt-BR"/>
        </w:rPr>
        <w:t>a</w:t>
      </w:r>
      <w:r>
        <w:rPr>
          <w:rFonts w:ascii="Arial" w:hAnsi="Arial" w:cs="Arial"/>
          <w:sz w:val="22"/>
          <w:szCs w:val="22"/>
        </w:rPr>
        <w:t xml:space="preserve"> alguma restrição na documentação referente à regularidade fiscal, esta deverá ser mencionada, como ressalva, na supracitada declaração</w:t>
      </w:r>
      <w:r>
        <w:rPr>
          <w:rFonts w:hint="default" w:ascii="Arial" w:hAnsi="Arial" w:cs="Arial"/>
          <w:sz w:val="22"/>
          <w:szCs w:val="22"/>
          <w:lang w:val="pt-BR"/>
        </w:rPr>
        <w:t xml:space="preserve">, conforme </w:t>
      </w:r>
      <w:r>
        <w:rPr>
          <w:rFonts w:hint="default" w:ascii="Arial" w:hAnsi="Arial" w:cs="Arial"/>
          <w:b/>
          <w:bCs/>
          <w:sz w:val="22"/>
          <w:szCs w:val="22"/>
          <w:lang w:val="pt-BR"/>
        </w:rPr>
        <w:t>Anexo VIII;</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120" w:afterAutospacing="0"/>
        <w:ind w:left="480" w:leftChars="0" w:right="49" w:rightChars="0" w:firstLine="0" w:firstLineChars="0"/>
        <w:jc w:val="both"/>
        <w:textAlignment w:val="auto"/>
        <w:rPr>
          <w:rFonts w:hint="default" w:ascii="Arial" w:hAnsi="Arial" w:cs="Arial"/>
          <w:b/>
          <w:bCs/>
          <w:sz w:val="22"/>
          <w:szCs w:val="22"/>
          <w:lang w:val="pt-BR"/>
        </w:rPr>
      </w:pPr>
      <w:r>
        <w:rPr>
          <w:rFonts w:hint="default" w:ascii="Arial" w:hAnsi="Arial" w:cs="Arial"/>
          <w:b/>
          <w:bCs/>
          <w:sz w:val="22"/>
          <w:szCs w:val="22"/>
          <w:lang w:val="pt-BR"/>
        </w:rPr>
        <w:t xml:space="preserve">b.9) </w:t>
      </w:r>
      <w:r>
        <w:rPr>
          <w:rFonts w:hint="default" w:ascii="Arial" w:hAnsi="Arial" w:cs="Arial"/>
          <w:b w:val="0"/>
          <w:bCs w:val="0"/>
          <w:sz w:val="22"/>
          <w:szCs w:val="22"/>
          <w:lang w:val="pt-BR"/>
        </w:rPr>
        <w:t xml:space="preserve">Declaração de operacionalidade dos equipamentos, conforme </w:t>
      </w:r>
      <w:r>
        <w:rPr>
          <w:rFonts w:hint="default" w:ascii="Arial" w:hAnsi="Arial" w:cs="Arial"/>
          <w:b/>
          <w:bCs/>
          <w:sz w:val="22"/>
          <w:szCs w:val="22"/>
          <w:lang w:val="pt-BR"/>
        </w:rPr>
        <w:t>Anexo XI;</w:t>
      </w:r>
    </w:p>
    <w:p>
      <w:pPr>
        <w:keepNext w:val="0"/>
        <w:keepLines w:val="0"/>
        <w:pageBreakBefore w:val="0"/>
        <w:widowControl/>
        <w:numPr>
          <w:ilvl w:val="0"/>
          <w:numId w:val="0"/>
        </w:numPr>
        <w:kinsoku/>
        <w:wordWrap/>
        <w:overflowPunct/>
        <w:topLinePunct w:val="0"/>
        <w:autoSpaceDE/>
        <w:autoSpaceDN/>
        <w:bidi w:val="0"/>
        <w:adjustRightInd/>
        <w:snapToGrid/>
        <w:spacing w:beforeAutospacing="0" w:after="120" w:afterAutospacing="0"/>
        <w:ind w:left="480" w:leftChars="0" w:right="49" w:rightChars="0" w:firstLine="0" w:firstLineChars="0"/>
        <w:jc w:val="both"/>
        <w:textAlignment w:val="auto"/>
        <w:rPr>
          <w:rFonts w:hint="default" w:ascii="Arial" w:hAnsi="Arial" w:cs="Arial"/>
          <w:b/>
          <w:bCs/>
          <w:sz w:val="22"/>
          <w:szCs w:val="22"/>
          <w:lang w:val="pt-BR"/>
        </w:rPr>
      </w:pPr>
      <w:r>
        <w:rPr>
          <w:rFonts w:hint="default" w:ascii="Arial" w:hAnsi="Arial" w:cs="Arial"/>
          <w:b/>
          <w:bCs/>
          <w:sz w:val="22"/>
          <w:szCs w:val="22"/>
          <w:lang w:val="pt-BR"/>
        </w:rPr>
        <w:t xml:space="preserve">b.10) </w:t>
      </w:r>
      <w:r>
        <w:rPr>
          <w:rFonts w:hint="default" w:ascii="Arial" w:hAnsi="Arial" w:cs="Arial"/>
          <w:b w:val="0"/>
          <w:bCs w:val="0"/>
          <w:sz w:val="22"/>
          <w:szCs w:val="22"/>
          <w:lang w:val="pt-BR"/>
        </w:rPr>
        <w:t xml:space="preserve">Declaração de disponibilidade de pessoal e de condições de execução do objeto, conforme </w:t>
      </w:r>
      <w:r>
        <w:rPr>
          <w:rFonts w:hint="default" w:ascii="Arial" w:hAnsi="Arial" w:cs="Arial"/>
          <w:b/>
          <w:bCs/>
          <w:sz w:val="22"/>
          <w:szCs w:val="22"/>
          <w:lang w:val="pt-BR"/>
        </w:rPr>
        <w:t>Anexo XII.</w:t>
      </w:r>
    </w:p>
    <w:p>
      <w:pPr>
        <w:keepNext w:val="0"/>
        <w:keepLines w:val="0"/>
        <w:pageBreakBefore w:val="0"/>
        <w:kinsoku/>
        <w:wordWrap/>
        <w:overflowPunct/>
        <w:topLinePunct w:val="0"/>
        <w:autoSpaceDE/>
        <w:autoSpaceDN/>
        <w:bidi w:val="0"/>
        <w:adjustRightInd/>
        <w:spacing w:beforeAutospacing="0" w:after="120" w:afterAutospacing="0"/>
        <w:ind w:left="-142" w:right="49"/>
        <w:jc w:val="both"/>
        <w:textAlignment w:val="auto"/>
        <w:rPr>
          <w:rFonts w:ascii="Arial" w:hAnsi="Arial" w:cs="Arial"/>
          <w:sz w:val="22"/>
          <w:szCs w:val="22"/>
        </w:rPr>
      </w:pPr>
      <w:r>
        <w:rPr>
          <w:rFonts w:ascii="Arial" w:hAnsi="Arial" w:cs="Arial"/>
          <w:b/>
          <w:sz w:val="22"/>
          <w:szCs w:val="22"/>
        </w:rPr>
        <w:t>10.4.7.</w:t>
      </w:r>
      <w:r>
        <w:rPr>
          <w:sz w:val="22"/>
          <w:szCs w:val="22"/>
        </w:rPr>
        <w:t xml:space="preserve"> </w:t>
      </w:r>
      <w:r>
        <w:rPr>
          <w:rFonts w:ascii="Arial" w:hAnsi="Arial" w:cs="Arial"/>
          <w:sz w:val="22"/>
          <w:szCs w:val="22"/>
        </w:rPr>
        <w:t xml:space="preserve">Todas as licitantes deverão apresentar dentro do Envelope nº 01, os documentos específicos para a participação nesta licitação, preferencialmente </w:t>
      </w:r>
      <w:r>
        <w:rPr>
          <w:rFonts w:hint="default" w:ascii="Arial" w:hAnsi="Arial" w:cs="Arial"/>
          <w:sz w:val="22"/>
          <w:szCs w:val="22"/>
          <w:lang w:val="pt-BR"/>
        </w:rPr>
        <w:t>na forma do item 9.6</w:t>
      </w:r>
      <w:r>
        <w:rPr>
          <w:rFonts w:ascii="Arial" w:hAnsi="Arial" w:cs="Arial"/>
          <w:sz w:val="22"/>
          <w:szCs w:val="22"/>
        </w:rPr>
        <w:t xml:space="preserve">, a fim de permitir celeridade na </w:t>
      </w:r>
      <w:r>
        <w:rPr>
          <w:rFonts w:hint="default" w:ascii="Arial" w:hAnsi="Arial" w:cs="Arial"/>
          <w:sz w:val="22"/>
          <w:szCs w:val="22"/>
          <w:lang w:val="pt-BR"/>
        </w:rPr>
        <w:t>análise</w:t>
      </w:r>
      <w:r>
        <w:rPr>
          <w:rFonts w:ascii="Arial" w:hAnsi="Arial" w:cs="Arial"/>
          <w:sz w:val="22"/>
          <w:szCs w:val="22"/>
        </w:rPr>
        <w:t>;</w:t>
      </w:r>
    </w:p>
    <w:p>
      <w:pPr>
        <w:keepNext w:val="0"/>
        <w:keepLines w:val="0"/>
        <w:pageBreakBefore w:val="0"/>
        <w:kinsoku/>
        <w:wordWrap/>
        <w:overflowPunct/>
        <w:topLinePunct w:val="0"/>
        <w:autoSpaceDE/>
        <w:autoSpaceDN/>
        <w:bidi w:val="0"/>
        <w:adjustRightInd/>
        <w:spacing w:beforeAutospacing="0" w:after="120" w:afterAutospacing="0"/>
        <w:ind w:left="-142" w:right="49"/>
        <w:jc w:val="both"/>
        <w:textAlignment w:val="auto"/>
        <w:rPr>
          <w:rFonts w:ascii="Arial" w:hAnsi="Arial" w:cs="Arial"/>
          <w:sz w:val="22"/>
          <w:szCs w:val="22"/>
        </w:rPr>
      </w:pPr>
      <w:r>
        <w:rPr>
          <w:rFonts w:ascii="Arial" w:hAnsi="Arial" w:cs="Arial"/>
          <w:b/>
          <w:sz w:val="22"/>
          <w:szCs w:val="22"/>
        </w:rPr>
        <w:t xml:space="preserve">10.4.8. </w:t>
      </w:r>
      <w:r>
        <w:rPr>
          <w:rFonts w:ascii="Arial" w:hAnsi="Arial" w:cs="Arial"/>
          <w:sz w:val="22"/>
          <w:szCs w:val="22"/>
        </w:rPr>
        <w:t xml:space="preserve"> Sob pena de inabilitação, todos os documentos apresentados para habilitação deverão estar em nome da</w:t>
      </w:r>
      <w:r>
        <w:rPr>
          <w:rFonts w:ascii="Arial" w:hAnsi="Arial" w:cs="Arial"/>
          <w:b/>
          <w:sz w:val="22"/>
          <w:szCs w:val="22"/>
        </w:rPr>
        <w:t xml:space="preserve"> licitante</w:t>
      </w:r>
      <w:r>
        <w:rPr>
          <w:rFonts w:ascii="Arial" w:hAnsi="Arial" w:cs="Arial"/>
          <w:sz w:val="22"/>
          <w:szCs w:val="22"/>
        </w:rPr>
        <w:t>,</w:t>
      </w:r>
      <w:r>
        <w:rPr>
          <w:rFonts w:ascii="Arial" w:hAnsi="Arial" w:cs="Arial"/>
          <w:b/>
          <w:sz w:val="22"/>
          <w:szCs w:val="22"/>
        </w:rPr>
        <w:t xml:space="preserve"> </w:t>
      </w:r>
      <w:r>
        <w:rPr>
          <w:rFonts w:ascii="Arial" w:hAnsi="Arial" w:cs="Arial"/>
          <w:sz w:val="22"/>
          <w:szCs w:val="22"/>
        </w:rPr>
        <w:t>e, preferencialmente com número do CNPJ/MF e com o endereço respectivo, salientando que:</w:t>
      </w:r>
    </w:p>
    <w:p>
      <w:pPr>
        <w:keepNext w:val="0"/>
        <w:keepLines w:val="0"/>
        <w:pageBreakBefore w:val="0"/>
        <w:numPr>
          <w:ilvl w:val="0"/>
          <w:numId w:val="21"/>
        </w:numPr>
        <w:kinsoku/>
        <w:wordWrap/>
        <w:overflowPunct/>
        <w:topLinePunct w:val="0"/>
        <w:autoSpaceDE/>
        <w:autoSpaceDN/>
        <w:bidi w:val="0"/>
        <w:adjustRightInd/>
        <w:spacing w:beforeAutospacing="0" w:after="120" w:afterAutospacing="0"/>
        <w:ind w:left="0" w:leftChars="0" w:hanging="5" w:firstLineChars="0"/>
        <w:jc w:val="both"/>
        <w:textAlignment w:val="auto"/>
        <w:rPr>
          <w:rFonts w:ascii="Arial" w:hAnsi="Arial" w:cs="Arial"/>
          <w:sz w:val="22"/>
          <w:szCs w:val="22"/>
        </w:rPr>
      </w:pPr>
      <w:r>
        <w:rPr>
          <w:rFonts w:ascii="Arial" w:hAnsi="Arial" w:cs="Arial"/>
          <w:sz w:val="22"/>
          <w:szCs w:val="22"/>
        </w:rPr>
        <w:t xml:space="preserve">Se a </w:t>
      </w:r>
      <w:r>
        <w:rPr>
          <w:rFonts w:ascii="Arial" w:hAnsi="Arial" w:cs="Arial"/>
          <w:b/>
          <w:sz w:val="22"/>
          <w:szCs w:val="22"/>
        </w:rPr>
        <w:t>licitante</w:t>
      </w:r>
      <w:r>
        <w:rPr>
          <w:rFonts w:ascii="Arial" w:hAnsi="Arial" w:cs="Arial"/>
          <w:sz w:val="22"/>
          <w:szCs w:val="22"/>
        </w:rPr>
        <w:t xml:space="preserve"> for </w:t>
      </w:r>
      <w:r>
        <w:rPr>
          <w:rFonts w:hint="default" w:ascii="Arial" w:hAnsi="Arial" w:cs="Arial"/>
          <w:sz w:val="22"/>
          <w:szCs w:val="22"/>
          <w:lang w:val="pt-BR"/>
        </w:rPr>
        <w:t>a</w:t>
      </w:r>
      <w:r>
        <w:rPr>
          <w:rFonts w:ascii="Arial" w:hAnsi="Arial" w:cs="Arial"/>
          <w:sz w:val="22"/>
          <w:szCs w:val="22"/>
        </w:rPr>
        <w:t xml:space="preserve"> matriz, todos os documentos deverão estar em nome da matriz; ou</w:t>
      </w:r>
      <w:r>
        <w:rPr>
          <w:rFonts w:hint="default" w:ascii="Arial" w:hAnsi="Arial" w:cs="Arial"/>
          <w:sz w:val="22"/>
          <w:szCs w:val="22"/>
          <w:lang w:val="pt-BR"/>
        </w:rPr>
        <w:t>;</w:t>
      </w:r>
    </w:p>
    <w:p>
      <w:pPr>
        <w:keepNext w:val="0"/>
        <w:keepLines w:val="0"/>
        <w:pageBreakBefore w:val="0"/>
        <w:numPr>
          <w:ilvl w:val="0"/>
          <w:numId w:val="21"/>
        </w:numPr>
        <w:kinsoku/>
        <w:wordWrap/>
        <w:overflowPunct/>
        <w:topLinePunct w:val="0"/>
        <w:autoSpaceDE/>
        <w:autoSpaceDN/>
        <w:bidi w:val="0"/>
        <w:adjustRightInd/>
        <w:spacing w:beforeAutospacing="0" w:after="120" w:afterAutospacing="0"/>
        <w:ind w:left="0" w:leftChars="0" w:hanging="5" w:firstLineChars="0"/>
        <w:jc w:val="both"/>
        <w:textAlignment w:val="auto"/>
        <w:rPr>
          <w:rFonts w:ascii="Arial" w:hAnsi="Arial" w:cs="Arial"/>
          <w:b/>
          <w:sz w:val="22"/>
          <w:szCs w:val="22"/>
        </w:rPr>
      </w:pPr>
      <w:r>
        <w:rPr>
          <w:rFonts w:ascii="Arial" w:hAnsi="Arial" w:cs="Arial"/>
          <w:sz w:val="22"/>
          <w:szCs w:val="22"/>
        </w:rPr>
        <w:t>Se a</w:t>
      </w:r>
      <w:r>
        <w:rPr>
          <w:rFonts w:ascii="Arial" w:hAnsi="Arial" w:cs="Arial"/>
          <w:b/>
          <w:sz w:val="22"/>
          <w:szCs w:val="22"/>
        </w:rPr>
        <w:t xml:space="preserve"> licitante </w:t>
      </w:r>
      <w:r>
        <w:rPr>
          <w:rFonts w:ascii="Arial" w:hAnsi="Arial" w:cs="Arial"/>
          <w:sz w:val="22"/>
          <w:szCs w:val="22"/>
        </w:rPr>
        <w:t xml:space="preserve">for </w:t>
      </w:r>
      <w:r>
        <w:rPr>
          <w:rFonts w:hint="default" w:ascii="Arial" w:hAnsi="Arial" w:cs="Arial"/>
          <w:sz w:val="22"/>
          <w:szCs w:val="22"/>
          <w:lang w:val="pt-BR"/>
        </w:rPr>
        <w:t>a</w:t>
      </w:r>
      <w:r>
        <w:rPr>
          <w:rFonts w:ascii="Arial" w:hAnsi="Arial" w:cs="Arial"/>
          <w:sz w:val="22"/>
          <w:szCs w:val="22"/>
        </w:rPr>
        <w:t xml:space="preserve"> filial, todos os documentos deverão estar em nome da filial, exceto aqueles documentos que, pela própria natureza, comprovadamente, forem emitidos somente em nome da matriz;</w:t>
      </w:r>
    </w:p>
    <w:p>
      <w:pPr>
        <w:keepNext w:val="0"/>
        <w:keepLines w:val="0"/>
        <w:pageBreakBefore w:val="0"/>
        <w:numPr>
          <w:ilvl w:val="0"/>
          <w:numId w:val="21"/>
        </w:numPr>
        <w:kinsoku/>
        <w:wordWrap/>
        <w:overflowPunct/>
        <w:topLinePunct w:val="0"/>
        <w:autoSpaceDE/>
        <w:autoSpaceDN/>
        <w:bidi w:val="0"/>
        <w:adjustRightInd/>
        <w:spacing w:beforeAutospacing="0" w:after="120" w:afterAutospacing="0"/>
        <w:ind w:left="0" w:leftChars="0" w:hanging="5" w:firstLineChars="0"/>
        <w:jc w:val="both"/>
        <w:textAlignment w:val="auto"/>
        <w:rPr>
          <w:rFonts w:ascii="Arial" w:hAnsi="Arial" w:cs="Arial"/>
          <w:b/>
          <w:sz w:val="22"/>
          <w:szCs w:val="22"/>
        </w:rPr>
      </w:pPr>
      <w:r>
        <w:rPr>
          <w:rFonts w:ascii="Arial" w:hAnsi="Arial" w:cs="Arial"/>
          <w:sz w:val="22"/>
          <w:szCs w:val="22"/>
        </w:rPr>
        <w:t>Serão dispensados da filial aqueles documentos que, pela própria natureza, comprovadamente, forem emitidos somente em nome da matriz; e;</w:t>
      </w:r>
    </w:p>
    <w:p>
      <w:pPr>
        <w:keepNext w:val="0"/>
        <w:keepLines w:val="0"/>
        <w:pageBreakBefore w:val="0"/>
        <w:numPr>
          <w:ilvl w:val="0"/>
          <w:numId w:val="21"/>
        </w:numPr>
        <w:kinsoku/>
        <w:wordWrap/>
        <w:overflowPunct/>
        <w:topLinePunct w:val="0"/>
        <w:autoSpaceDE/>
        <w:autoSpaceDN/>
        <w:bidi w:val="0"/>
        <w:adjustRightInd/>
        <w:spacing w:beforeAutospacing="0" w:after="120" w:afterAutospacing="0"/>
        <w:ind w:left="0" w:leftChars="0" w:hanging="5" w:firstLineChars="0"/>
        <w:jc w:val="both"/>
        <w:textAlignment w:val="auto"/>
        <w:rPr>
          <w:rFonts w:ascii="Arial" w:hAnsi="Arial" w:cs="Arial"/>
          <w:b/>
          <w:sz w:val="22"/>
          <w:szCs w:val="22"/>
        </w:rPr>
      </w:pPr>
      <w:r>
        <w:rPr>
          <w:rFonts w:ascii="Arial" w:hAnsi="Arial" w:cs="Arial"/>
          <w:sz w:val="22"/>
          <w:szCs w:val="22"/>
        </w:rPr>
        <w:t>O(s) atestado(s) de capacidade técnica/responsabilidade técnica poderão ser apresentados em nome e com CNPJ/MF da matriz e/ou da(s) filial(ais) da</w:t>
      </w:r>
      <w:r>
        <w:rPr>
          <w:rFonts w:ascii="Arial" w:hAnsi="Arial" w:cs="Arial"/>
          <w:b/>
          <w:sz w:val="22"/>
          <w:szCs w:val="22"/>
        </w:rPr>
        <w:t xml:space="preserve"> licitante.</w:t>
      </w:r>
    </w:p>
    <w:p>
      <w:pPr>
        <w:pStyle w:val="348"/>
        <w:keepNext w:val="0"/>
        <w:keepLines w:val="0"/>
        <w:pageBreakBefore w:val="0"/>
        <w:tabs>
          <w:tab w:val="left" w:pos="-142"/>
          <w:tab w:val="clear" w:pos="0"/>
        </w:tabs>
        <w:kinsoku/>
        <w:wordWrap/>
        <w:overflowPunct/>
        <w:topLinePunct w:val="0"/>
        <w:autoSpaceDE/>
        <w:autoSpaceDN/>
        <w:bidi w:val="0"/>
        <w:adjustRightInd/>
        <w:spacing w:before="0" w:beforeAutospacing="0" w:after="120" w:afterAutospacing="0"/>
        <w:textAlignment w:val="auto"/>
      </w:pPr>
      <w:r>
        <w:rPr>
          <w:b/>
        </w:rPr>
        <w:t>10.5.</w:t>
      </w:r>
      <w:r>
        <w:t xml:space="preserve"> Os documentos necessários à habilitação poderão ser apresentados em original, em cópia legível autenticada por cartório competente, ou em publicação da imprensa oficial ou em cópias simples legíveis, desde que apresentadas na sessão às originais para conferência pelo Presidente da Comissão de Licitação, sendo que estas não deverão estar no interior do envelope, ressalvada as hipóteses da apresentação de documentos expedidos pela </w:t>
      </w:r>
      <w:r>
        <w:rPr>
          <w:i/>
          <w:iCs/>
        </w:rPr>
        <w:t xml:space="preserve">internet </w:t>
      </w:r>
      <w:r>
        <w:t>(desde que possibilite a averiguação completa pela Comissão de Licitação);</w:t>
      </w:r>
    </w:p>
    <w:p>
      <w:pPr>
        <w:pStyle w:val="349"/>
        <w:keepNext w:val="0"/>
        <w:keepLines w:val="0"/>
        <w:pageBreakBefore w:val="0"/>
        <w:kinsoku/>
        <w:wordWrap/>
        <w:overflowPunct/>
        <w:topLinePunct w:val="0"/>
        <w:autoSpaceDE/>
        <w:autoSpaceDN/>
        <w:bidi w:val="0"/>
        <w:adjustRightInd/>
        <w:spacing w:before="0" w:beforeAutospacing="0" w:after="120" w:afterAutospacing="0"/>
        <w:textAlignment w:val="auto"/>
        <w:rPr>
          <w:b w:val="0"/>
        </w:rPr>
      </w:pPr>
      <w:r>
        <w:t>10.6.</w:t>
      </w:r>
      <w:r>
        <w:rPr>
          <w:b w:val="0"/>
        </w:rPr>
        <w:t xml:space="preserve"> Não serão aceitos documentos cujas datas estejam rasuradas;</w:t>
      </w:r>
    </w:p>
    <w:p>
      <w:pPr>
        <w:pStyle w:val="349"/>
        <w:keepNext w:val="0"/>
        <w:keepLines w:val="0"/>
        <w:pageBreakBefore w:val="0"/>
        <w:kinsoku/>
        <w:wordWrap/>
        <w:overflowPunct/>
        <w:topLinePunct w:val="0"/>
        <w:autoSpaceDE/>
        <w:autoSpaceDN/>
        <w:bidi w:val="0"/>
        <w:adjustRightInd/>
        <w:spacing w:before="0" w:beforeAutospacing="0" w:after="120" w:afterAutospacing="0"/>
        <w:textAlignment w:val="auto"/>
        <w:rPr>
          <w:b w:val="0"/>
        </w:rPr>
      </w:pPr>
      <w:r>
        <w:t>10.7.</w:t>
      </w:r>
      <w:r>
        <w:rPr>
          <w:b w:val="0"/>
        </w:rPr>
        <w:t xml:space="preserve"> Os documentos apresentados no envelope de habilitação sem disposição expressa do órgão expedidor quanto a sua validade, terão o prazo de vencimento de 60 (sessenta) dias contados a partir da data de sua emissão;</w:t>
      </w:r>
    </w:p>
    <w:p>
      <w:pPr>
        <w:pStyle w:val="348"/>
        <w:keepNext w:val="0"/>
        <w:keepLines w:val="0"/>
        <w:pageBreakBefore w:val="0"/>
        <w:kinsoku/>
        <w:wordWrap/>
        <w:overflowPunct/>
        <w:topLinePunct w:val="0"/>
        <w:autoSpaceDE/>
        <w:autoSpaceDN/>
        <w:bidi w:val="0"/>
        <w:adjustRightInd/>
        <w:spacing w:before="0" w:beforeAutospacing="0" w:after="120" w:afterAutospacing="0"/>
        <w:textAlignment w:val="auto"/>
      </w:pPr>
      <w:r>
        <w:rPr>
          <w:b/>
        </w:rPr>
        <w:t>10.8.</w:t>
      </w:r>
      <w:r>
        <w:t xml:space="preserve"> O</w:t>
      </w:r>
      <w:r>
        <w:rPr>
          <w:rFonts w:hint="default"/>
          <w:lang w:val="pt-BR"/>
        </w:rPr>
        <w:t xml:space="preserve"> </w:t>
      </w:r>
      <w:r>
        <w:t>Presidente de Comissão reserva-se o direito de solicitar o original de qualquer documento, sempre que tiver dúvida e julgar necessário;</w:t>
      </w:r>
    </w:p>
    <w:p>
      <w:pPr>
        <w:pStyle w:val="348"/>
        <w:keepNext w:val="0"/>
        <w:keepLines w:val="0"/>
        <w:pageBreakBefore w:val="0"/>
        <w:kinsoku/>
        <w:wordWrap/>
        <w:overflowPunct/>
        <w:topLinePunct w:val="0"/>
        <w:autoSpaceDE/>
        <w:autoSpaceDN/>
        <w:bidi w:val="0"/>
        <w:adjustRightInd/>
        <w:spacing w:before="0" w:beforeAutospacing="0" w:after="120" w:afterAutospacing="0"/>
        <w:textAlignment w:val="auto"/>
      </w:pPr>
      <w:r>
        <w:rPr>
          <w:b/>
        </w:rPr>
        <w:t>10.9.</w:t>
      </w:r>
      <w:r>
        <w:t xml:space="preserve"> Não serão aceitos protocolos de entrega ou solicitações de documento em substituição aos documentos requeridos no presente Edital e seus Anexos;</w:t>
      </w:r>
    </w:p>
    <w:p>
      <w:pPr>
        <w:pStyle w:val="348"/>
        <w:keepNext w:val="0"/>
        <w:keepLines w:val="0"/>
        <w:pageBreakBefore w:val="0"/>
        <w:kinsoku/>
        <w:wordWrap/>
        <w:overflowPunct/>
        <w:topLinePunct w:val="0"/>
        <w:autoSpaceDE/>
        <w:autoSpaceDN/>
        <w:bidi w:val="0"/>
        <w:adjustRightInd/>
        <w:spacing w:before="0" w:beforeAutospacing="0" w:after="120" w:afterAutospacing="0"/>
        <w:textAlignment w:val="auto"/>
      </w:pPr>
      <w:r>
        <w:rPr>
          <w:b/>
        </w:rPr>
        <w:t>10.10.</w:t>
      </w:r>
      <w:r>
        <w:t xml:space="preserve"> Para as Microempresas e EPP, aplica-se os dispositivos da Lei Complementar 123/2006 e Lei Complementar Municipal 192/2009 no que couber;</w:t>
      </w:r>
    </w:p>
    <w:p>
      <w:pPr>
        <w:pStyle w:val="348"/>
        <w:keepNext w:val="0"/>
        <w:keepLines w:val="0"/>
        <w:pageBreakBefore w:val="0"/>
        <w:kinsoku/>
        <w:wordWrap/>
        <w:overflowPunct/>
        <w:topLinePunct w:val="0"/>
        <w:autoSpaceDE/>
        <w:autoSpaceDN/>
        <w:bidi w:val="0"/>
        <w:adjustRightInd/>
        <w:spacing w:before="0" w:beforeAutospacing="0" w:after="120" w:afterAutospacing="0"/>
        <w:textAlignment w:val="auto"/>
      </w:pPr>
      <w:r>
        <w:rPr>
          <w:b/>
        </w:rPr>
        <w:t>10.11.</w:t>
      </w:r>
      <w:r>
        <w:t xml:space="preserve"> A PROPONENTE deverá fornecer a título de informação, número de telefone, e-mail, fax e pessoa de contato, preferencialmente local. A ausência destes dados não a tornará inabilitada;</w:t>
      </w:r>
    </w:p>
    <w:p>
      <w:pPr>
        <w:pStyle w:val="348"/>
        <w:keepNext w:val="0"/>
        <w:keepLines w:val="0"/>
        <w:pageBreakBefore w:val="0"/>
        <w:kinsoku/>
        <w:wordWrap/>
        <w:overflowPunct/>
        <w:topLinePunct w:val="0"/>
        <w:autoSpaceDE/>
        <w:autoSpaceDN/>
        <w:bidi w:val="0"/>
        <w:adjustRightInd/>
        <w:spacing w:before="0" w:beforeAutospacing="0" w:after="120" w:afterAutospacing="0"/>
        <w:textAlignment w:val="auto"/>
      </w:pPr>
      <w:r>
        <w:rPr>
          <w:b/>
        </w:rPr>
        <w:t>10.12.</w:t>
      </w:r>
      <w:r>
        <w:t xml:space="preserve"> Se a documentação de habilitação não estiver completa ou estiver incorreta ou contrariar qualquer dispositivo deste edital e seus anexos deverá o</w:t>
      </w:r>
      <w:r>
        <w:rPr>
          <w:rFonts w:hint="default"/>
          <w:lang w:val="pt-BR"/>
        </w:rPr>
        <w:t xml:space="preserve"> </w:t>
      </w:r>
      <w:r>
        <w:t>Presidente de Comissão considerar a proponente inabilitada, salvo as situações que ensejarem a aplicação do disposto na Lei Complementar nº. 123/2006;</w:t>
      </w:r>
    </w:p>
    <w:p>
      <w:pPr>
        <w:pStyle w:val="348"/>
        <w:keepNext w:val="0"/>
        <w:keepLines w:val="0"/>
        <w:pageBreakBefore w:val="0"/>
        <w:kinsoku/>
        <w:wordWrap/>
        <w:overflowPunct/>
        <w:topLinePunct w:val="0"/>
        <w:autoSpaceDE/>
        <w:autoSpaceDN/>
        <w:bidi w:val="0"/>
        <w:adjustRightInd/>
        <w:spacing w:before="0" w:beforeAutospacing="0" w:after="120" w:afterAutospacing="0"/>
        <w:textAlignment w:val="auto"/>
      </w:pPr>
      <w:r>
        <w:rPr>
          <w:b/>
        </w:rPr>
        <w:t>10.13.</w:t>
      </w:r>
      <w:r>
        <w:t xml:space="preserve"> Poderá o Presidente de Comissão declarar qualquer fato formal, desde que não implique desobediência à legislação e for evidente a vantagem para a Administração, devendo também, se necessário, promover diligência para dirimir a dúvida;</w:t>
      </w:r>
    </w:p>
    <w:p>
      <w:pPr>
        <w:pStyle w:val="348"/>
        <w:keepNext w:val="0"/>
        <w:keepLines w:val="0"/>
        <w:pageBreakBefore w:val="0"/>
        <w:kinsoku/>
        <w:wordWrap/>
        <w:overflowPunct/>
        <w:topLinePunct w:val="0"/>
        <w:autoSpaceDE/>
        <w:autoSpaceDN/>
        <w:bidi w:val="0"/>
        <w:adjustRightInd/>
        <w:spacing w:before="0" w:beforeAutospacing="0" w:after="120" w:afterAutospacing="0"/>
        <w:textAlignment w:val="auto"/>
      </w:pPr>
      <w:r>
        <w:rPr>
          <w:b/>
        </w:rPr>
        <w:t>10.14.</w:t>
      </w:r>
      <w:r>
        <w:t xml:space="preserve"> Constatando através da diligência o não atendimento ao estabelecido, o Presidente d</w:t>
      </w:r>
      <w:r>
        <w:rPr>
          <w:rFonts w:hint="default"/>
          <w:lang w:val="pt-BR"/>
        </w:rPr>
        <w:t>a</w:t>
      </w:r>
      <w:r>
        <w:t xml:space="preserve"> Comissão considerará o proponente inabilitado e prosseguirá a sessão.</w:t>
      </w:r>
    </w:p>
    <w:p>
      <w:pPr>
        <w:pStyle w:val="348"/>
        <w:keepNext w:val="0"/>
        <w:keepLines w:val="0"/>
        <w:pageBreakBefore w:val="0"/>
        <w:kinsoku/>
        <w:wordWrap/>
        <w:overflowPunct/>
        <w:topLinePunct w:val="0"/>
        <w:autoSpaceDE/>
        <w:autoSpaceDN/>
        <w:bidi w:val="0"/>
        <w:adjustRightInd/>
        <w:spacing w:before="0" w:beforeAutospacing="0" w:after="120" w:afterAutospacing="0"/>
        <w:textAlignment w:val="auto"/>
      </w:pPr>
      <w:r>
        <w:rPr>
          <w:b/>
        </w:rPr>
        <w:t>10.15.</w:t>
      </w:r>
      <w:r>
        <w:t xml:space="preserve"> Aquele que ensejar declaração falsa, ou que dela tenha conhecimento, nos termos do artigo 299 do Código Penal, ficará sujeito às penas de reclusão, de um a cinco anos, se o documento é público, e reclusão de um a três anos, e multa, se o documento é particular, independente da penalidade estabelecida nos artigos 86 a 88 da Lei nº 8.666/93.</w:t>
      </w:r>
    </w:p>
    <w:p>
      <w:pPr>
        <w:pStyle w:val="86"/>
        <w:keepNext w:val="0"/>
        <w:keepLines w:val="0"/>
        <w:pageBreakBefore w:val="0"/>
        <w:widowControl w:val="0"/>
        <w:numPr>
          <w:ilvl w:val="0"/>
          <w:numId w:val="0"/>
        </w:numPr>
        <w:tabs>
          <w:tab w:val="left" w:pos="284"/>
          <w:tab w:val="left" w:pos="720"/>
        </w:tabs>
        <w:kinsoku/>
        <w:wordWrap/>
        <w:overflowPunct/>
        <w:topLinePunct w:val="0"/>
        <w:autoSpaceDE/>
        <w:autoSpaceDN/>
        <w:bidi w:val="0"/>
        <w:adjustRightInd/>
        <w:snapToGrid w:val="0"/>
        <w:spacing w:beforeAutospacing="0" w:after="120" w:afterAutospacing="0"/>
        <w:jc w:val="both"/>
        <w:textAlignment w:val="auto"/>
        <w:rPr>
          <w:rFonts w:hint="default" w:ascii="Arial" w:hAnsi="Arial" w:cs="Arial"/>
          <w:bCs/>
          <w:color w:val="000000"/>
          <w:sz w:val="22"/>
          <w:szCs w:val="22"/>
          <w:lang w:val="pt-BR"/>
        </w:rPr>
      </w:pPr>
      <w:r>
        <w:rPr>
          <w:rFonts w:hint="default" w:ascii="Arial" w:hAnsi="Arial" w:cs="Arial"/>
          <w:b/>
          <w:bCs/>
          <w:sz w:val="22"/>
          <w:szCs w:val="22"/>
          <w:lang w:val="pt-BR"/>
        </w:rPr>
        <w:t>10.16.</w:t>
      </w:r>
      <w:r>
        <w:rPr>
          <w:rFonts w:hint="default" w:ascii="Arial" w:hAnsi="Arial" w:cs="Arial"/>
          <w:b w:val="0"/>
          <w:bCs w:val="0"/>
          <w:sz w:val="22"/>
          <w:szCs w:val="22"/>
          <w:lang w:val="pt-BR"/>
        </w:rPr>
        <w:t xml:space="preserve"> Caso o Presidente da CPL julgue necessário,</w:t>
      </w:r>
      <w:r>
        <w:rPr>
          <w:rFonts w:hint="default" w:ascii="Arial" w:hAnsi="Arial" w:cs="Arial"/>
          <w:b/>
          <w:bCs/>
          <w:sz w:val="22"/>
          <w:szCs w:val="22"/>
          <w:lang w:val="pt-BR"/>
        </w:rPr>
        <w:t xml:space="preserve"> </w:t>
      </w:r>
      <w:r>
        <w:rPr>
          <w:rFonts w:hint="default" w:ascii="Arial" w:hAnsi="Arial" w:cs="Arial"/>
          <w:sz w:val="22"/>
          <w:szCs w:val="22"/>
          <w:lang w:val="pt-BR"/>
        </w:rPr>
        <w:t>este procederá com</w:t>
      </w:r>
      <w:r>
        <w:rPr>
          <w:rFonts w:ascii="Arial" w:hAnsi="Arial" w:cs="Arial"/>
          <w:sz w:val="22"/>
          <w:szCs w:val="22"/>
        </w:rPr>
        <w:t xml:space="preserve"> consultas</w:t>
      </w:r>
      <w:r>
        <w:rPr>
          <w:rFonts w:ascii="Arial" w:hAnsi="Arial" w:cs="Arial"/>
          <w:bCs/>
          <w:sz w:val="22"/>
          <w:szCs w:val="22"/>
        </w:rPr>
        <w:t xml:space="preserve"> </w:t>
      </w:r>
      <w:r>
        <w:rPr>
          <w:rFonts w:hint="default" w:ascii="Arial" w:hAnsi="Arial" w:cs="Arial"/>
          <w:bCs/>
          <w:sz w:val="22"/>
          <w:szCs w:val="22"/>
          <w:lang w:val="pt-BR"/>
        </w:rPr>
        <w:t>a</w:t>
      </w:r>
      <w:r>
        <w:rPr>
          <w:rFonts w:ascii="Arial" w:hAnsi="Arial" w:cs="Arial"/>
          <w:bCs/>
          <w:sz w:val="22"/>
          <w:szCs w:val="22"/>
        </w:rPr>
        <w:t xml:space="preserve">os sítios oficiais emissores de certidões, especialmente quando </w:t>
      </w:r>
      <w:r>
        <w:rPr>
          <w:rFonts w:ascii="Arial" w:hAnsi="Arial" w:cs="Arial"/>
          <w:sz w:val="22"/>
          <w:szCs w:val="22"/>
        </w:rPr>
        <w:t xml:space="preserve">o licitante </w:t>
      </w:r>
      <w:r>
        <w:rPr>
          <w:rFonts w:hint="default" w:ascii="Arial" w:hAnsi="Arial" w:cs="Arial"/>
          <w:sz w:val="22"/>
          <w:szCs w:val="22"/>
          <w:lang w:val="pt-BR"/>
        </w:rPr>
        <w:t xml:space="preserve">estiver </w:t>
      </w:r>
      <w:r>
        <w:rPr>
          <w:rFonts w:ascii="Arial" w:hAnsi="Arial" w:cs="Arial"/>
          <w:sz w:val="22"/>
          <w:szCs w:val="22"/>
        </w:rPr>
        <w:t>com alguma documentação vencida junto ao CRC</w:t>
      </w:r>
      <w:r>
        <w:rPr>
          <w:rFonts w:ascii="Arial" w:hAnsi="Arial" w:cs="Arial"/>
          <w:bCs/>
          <w:sz w:val="22"/>
          <w:szCs w:val="22"/>
        </w:rPr>
        <w:t>. A validade das certidões emitidas por meio da rede mundial de computadores (Internet) ficará condicionada à verificação d</w:t>
      </w:r>
      <w:r>
        <w:rPr>
          <w:rFonts w:hint="default" w:ascii="Arial" w:hAnsi="Arial" w:cs="Arial"/>
          <w:bCs/>
          <w:sz w:val="22"/>
          <w:szCs w:val="22"/>
          <w:lang w:val="pt-BR"/>
        </w:rPr>
        <w:t>e</w:t>
      </w:r>
      <w:r>
        <w:rPr>
          <w:rFonts w:ascii="Arial" w:hAnsi="Arial" w:cs="Arial"/>
          <w:bCs/>
          <w:sz w:val="22"/>
          <w:szCs w:val="22"/>
        </w:rPr>
        <w:t xml:space="preserve"> sua legitimidade por meio de consulta “on</w:t>
      </w:r>
      <w:r>
        <w:rPr>
          <w:rFonts w:hint="default" w:ascii="Arial" w:hAnsi="Arial" w:cs="Arial"/>
          <w:bCs/>
          <w:sz w:val="22"/>
          <w:szCs w:val="22"/>
          <w:lang w:val="pt-BR"/>
        </w:rPr>
        <w:t>-</w:t>
      </w:r>
      <w:r>
        <w:rPr>
          <w:rFonts w:ascii="Arial" w:hAnsi="Arial" w:cs="Arial"/>
          <w:bCs/>
          <w:sz w:val="22"/>
          <w:szCs w:val="22"/>
        </w:rPr>
        <w:t>line”</w:t>
      </w:r>
      <w:r>
        <w:rPr>
          <w:rFonts w:hint="default" w:ascii="Arial" w:hAnsi="Arial" w:cs="Arial"/>
          <w:bCs/>
          <w:sz w:val="22"/>
          <w:szCs w:val="22"/>
          <w:lang w:val="pt-BR"/>
        </w:rPr>
        <w:t>;</w:t>
      </w:r>
    </w:p>
    <w:p>
      <w:pPr>
        <w:pStyle w:val="348"/>
        <w:keepNext w:val="0"/>
        <w:keepLines w:val="0"/>
        <w:pageBreakBefore w:val="0"/>
        <w:kinsoku/>
        <w:wordWrap/>
        <w:overflowPunct/>
        <w:topLinePunct w:val="0"/>
        <w:autoSpaceDE/>
        <w:autoSpaceDN/>
        <w:bidi w:val="0"/>
        <w:adjustRightInd/>
        <w:spacing w:before="0" w:beforeAutospacing="0" w:after="120" w:afterAutospacing="0"/>
        <w:ind w:left="480" w:leftChars="200" w:firstLine="0" w:firstLineChars="0"/>
        <w:textAlignment w:val="auto"/>
        <w:rPr>
          <w:rFonts w:hint="default" w:cs="Arial"/>
          <w:sz w:val="22"/>
          <w:szCs w:val="22"/>
          <w:lang w:val="pt-BR"/>
        </w:rPr>
      </w:pPr>
      <w:r>
        <w:rPr>
          <w:rFonts w:hint="default" w:cs="Arial"/>
          <w:b/>
          <w:bCs/>
          <w:sz w:val="22"/>
          <w:szCs w:val="22"/>
          <w:lang w:val="pt-BR"/>
        </w:rPr>
        <w:t xml:space="preserve">10.16.1. </w:t>
      </w:r>
      <w:r>
        <w:rPr>
          <w:rFonts w:ascii="Arial" w:hAnsi="Arial" w:cs="Arial"/>
          <w:sz w:val="22"/>
          <w:szCs w:val="22"/>
        </w:rPr>
        <w:t>Procedida a consulta, serão impressas declarações demonstrativas da situação de cada licitante cadastrado, que serão assinadas pelos membros da Comissão de Licitação, bem como pelos representantes legais das empresas licitantes</w:t>
      </w:r>
      <w:r>
        <w:rPr>
          <w:rFonts w:hint="default" w:cs="Arial"/>
          <w:sz w:val="22"/>
          <w:szCs w:val="22"/>
          <w:lang w:val="pt-BR"/>
        </w:rPr>
        <w:t>.</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iCs/>
          <w:color w:val="000000"/>
          <w:sz w:val="22"/>
          <w:szCs w:val="22"/>
          <w:lang w:val="pt-BR"/>
        </w:rPr>
        <w:t>10.17.</w:t>
      </w:r>
      <w:r>
        <w:rPr>
          <w:rFonts w:hint="default" w:cs="Arial"/>
          <w:bCs/>
          <w:iCs/>
          <w:color w:val="000000"/>
          <w:sz w:val="22"/>
          <w:szCs w:val="22"/>
          <w:lang w:val="pt-BR"/>
        </w:rPr>
        <w:t xml:space="preserve"> </w:t>
      </w:r>
      <w:r>
        <w:rPr>
          <w:rFonts w:ascii="Arial" w:hAnsi="Arial" w:cs="Arial"/>
          <w:bCs/>
          <w:iCs/>
          <w:color w:val="000000"/>
          <w:sz w:val="22"/>
          <w:szCs w:val="22"/>
        </w:rPr>
        <w:t xml:space="preserve">Os documentos para habilitação poderão ser apresentados em original, </w:t>
      </w:r>
      <w:r>
        <w:rPr>
          <w:rFonts w:hint="default" w:ascii="Arial" w:hAnsi="Arial" w:cs="Arial"/>
          <w:bCs/>
          <w:iCs/>
          <w:color w:val="000000"/>
          <w:sz w:val="22"/>
          <w:szCs w:val="22"/>
          <w:lang w:val="pt-BR"/>
        </w:rPr>
        <w:t xml:space="preserve">ou </w:t>
      </w:r>
      <w:r>
        <w:rPr>
          <w:rFonts w:ascii="Arial" w:hAnsi="Arial" w:cs="Arial"/>
          <w:bCs/>
          <w:iCs/>
          <w:color w:val="000000"/>
          <w:sz w:val="22"/>
          <w:szCs w:val="22"/>
        </w:rPr>
        <w:t>por qualquer</w:t>
      </w:r>
      <w:r>
        <w:rPr>
          <w:rFonts w:ascii="Arial" w:hAnsi="Arial" w:cs="Arial"/>
          <w:sz w:val="22"/>
          <w:szCs w:val="22"/>
        </w:rPr>
        <w:t xml:space="preserve"> processo de cópia autenticada por cartório competente ou por servidor da Administração (com antecedência mínima de 1 (um) dia</w:t>
      </w:r>
      <w:r>
        <w:rPr>
          <w:rFonts w:hint="default" w:ascii="Arial" w:hAnsi="Arial" w:cs="Arial"/>
          <w:sz w:val="22"/>
          <w:szCs w:val="22"/>
          <w:lang w:val="pt-BR"/>
        </w:rPr>
        <w:t xml:space="preserve"> ou no ato da sessão, a critério do Presidente da CPL e desde que não atrapalhe o andamento do certame,</w:t>
      </w:r>
      <w:r>
        <w:rPr>
          <w:rFonts w:ascii="Arial" w:hAnsi="Arial" w:cs="Arial"/>
          <w:sz w:val="22"/>
          <w:szCs w:val="22"/>
        </w:rPr>
        <w:t xml:space="preserve"> ou publicação em órgão da imprensa oficial</w:t>
      </w:r>
      <w:r>
        <w:rPr>
          <w:rFonts w:hint="default" w:cs="Arial"/>
          <w:sz w:val="22"/>
          <w:szCs w:val="22"/>
          <w:lang w:val="pt-BR"/>
        </w:rPr>
        <w:t>.</w:t>
      </w:r>
    </w:p>
    <w:p>
      <w:pPr>
        <w:pStyle w:val="145"/>
        <w:keepNext w:val="0"/>
        <w:keepLines w:val="0"/>
        <w:pageBreakBefore w:val="0"/>
        <w:widowControl/>
        <w:kinsoku/>
        <w:wordWrap/>
        <w:overflowPunct/>
        <w:topLinePunct w:val="0"/>
        <w:autoSpaceDE/>
        <w:autoSpaceDN/>
        <w:bidi w:val="0"/>
        <w:adjustRightInd/>
        <w:snapToGrid/>
        <w:spacing w:before="0"/>
        <w:textAlignment w:val="auto"/>
      </w:pPr>
      <w:r>
        <w:t xml:space="preserve">DA PROPOSTA </w:t>
      </w:r>
      <w:r>
        <w:rPr>
          <w:rFonts w:hint="default"/>
          <w:lang w:val="pt-BR"/>
        </w:rPr>
        <w:t>TÉCNICA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 xml:space="preserve">11.1. </w:t>
      </w:r>
      <w:r>
        <w:rPr>
          <w:rFonts w:hint="default" w:cs="Arial"/>
          <w:sz w:val="22"/>
          <w:szCs w:val="22"/>
          <w:lang w:val="pt-BR"/>
        </w:rPr>
        <w:t>A pontuação da PROPOSTA TÉCNICA levará em conta as informações e documentos comprobatórios apresentados pelas licitantes, e se fará de maneira objetiva, atribuindo-se pontos, por quesitos atendidos e comprovados, podendo chegar ao total máximo de 100 (cem) pontos, conforme segue: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highlight w:val="yellow"/>
          <w:lang w:val="pt-BR"/>
        </w:rPr>
      </w:pPr>
      <w:r>
        <w:rPr>
          <w:rFonts w:hint="default" w:cs="Arial"/>
          <w:b/>
          <w:bCs w:val="0"/>
          <w:sz w:val="22"/>
          <w:szCs w:val="22"/>
          <w:highlight w:val="yellow"/>
          <w:lang w:val="pt-BR"/>
        </w:rPr>
        <w:t>11.1.1.</w:t>
      </w:r>
      <w:r>
        <w:rPr>
          <w:rFonts w:hint="default" w:cs="Arial"/>
          <w:sz w:val="22"/>
          <w:szCs w:val="22"/>
          <w:highlight w:val="yellow"/>
          <w:lang w:val="pt-BR"/>
        </w:rPr>
        <w:t xml:space="preserve"> Qual o tempo de constituição da empresa?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15 anos ou mais – 25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10 a 14 anos – 20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05 a 09 anos – 15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01 a 04 anos – 10 ponto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até 01 ano – sem pontuação neste item</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Para este item será considerada a data de constituição constante do cartão CNPJ da empresa, a             ser consultado no site da Receita Federal.</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highlight w:val="yellow"/>
          <w:lang w:val="pt-BR"/>
        </w:rPr>
      </w:pPr>
      <w:r>
        <w:rPr>
          <w:rFonts w:hint="default" w:cs="Arial"/>
          <w:b/>
          <w:bCs w:val="0"/>
          <w:sz w:val="22"/>
          <w:szCs w:val="22"/>
          <w:highlight w:val="yellow"/>
          <w:lang w:val="pt-BR"/>
        </w:rPr>
        <w:t>11.2.</w:t>
      </w:r>
      <w:r>
        <w:rPr>
          <w:rFonts w:hint="default" w:cs="Arial"/>
          <w:sz w:val="22"/>
          <w:szCs w:val="22"/>
          <w:highlight w:val="yellow"/>
          <w:lang w:val="pt-BR"/>
        </w:rPr>
        <w:t xml:space="preserve"> Possui a empresa, em sua equipe técnica, profissional(is) com formação em Engenharia Civil, regularmente inscrito(s) no Conselho Regional de Engenharia e Agronomia, para elaboração de projetos, planilhas orçamentárias e todos os outros documentos que se fizerem necessários como cronograma e composição de custos?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04 ou mais profissionais – 25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03 profissionais – 20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02 profissionais – 15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01 profissional – 10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Não – sem pontuação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 xml:space="preserve">11.2.1. </w:t>
      </w:r>
      <w:r>
        <w:rPr>
          <w:rFonts w:hint="default" w:cs="Arial"/>
          <w:sz w:val="22"/>
          <w:szCs w:val="22"/>
          <w:lang w:val="pt-BR"/>
        </w:rPr>
        <w:t>Item a ser comprovado mediante declaração da licitante acompanhada de documentação comprobatória de inscrição no referido órgão.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highlight w:val="yellow"/>
          <w:lang w:val="pt-BR"/>
        </w:rPr>
      </w:pPr>
      <w:r>
        <w:rPr>
          <w:rFonts w:hint="default" w:cs="Arial"/>
          <w:b/>
          <w:bCs w:val="0"/>
          <w:sz w:val="22"/>
          <w:szCs w:val="22"/>
          <w:highlight w:val="yellow"/>
          <w:lang w:val="pt-BR"/>
        </w:rPr>
        <w:t>11.3.</w:t>
      </w:r>
      <w:r>
        <w:rPr>
          <w:rFonts w:hint="default" w:cs="Arial"/>
          <w:sz w:val="22"/>
          <w:szCs w:val="22"/>
          <w:highlight w:val="yellow"/>
          <w:lang w:val="pt-BR"/>
        </w:rPr>
        <w:t xml:space="preserve"> Possui a empresa, atestados de capacidade técnica operacional em relação as atividades relacionadas ao objeto do certame?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7 ou mais atestados – 25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De 05 a 06 atestados – 20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De 03 a 04 atestados – 15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De 01 a 02 atestados – 10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Não – sem pontuação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11.3.1.</w:t>
      </w:r>
      <w:r>
        <w:rPr>
          <w:rFonts w:hint="default" w:cs="Arial"/>
          <w:sz w:val="22"/>
          <w:szCs w:val="22"/>
          <w:lang w:val="pt-BR"/>
        </w:rPr>
        <w:t xml:space="preserve"> Item a ser comprovado mediante acompanhada de documentação comprobatória.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highlight w:val="yellow"/>
          <w:lang w:val="pt-BR"/>
        </w:rPr>
      </w:pPr>
      <w:r>
        <w:rPr>
          <w:rFonts w:hint="default" w:cs="Arial"/>
          <w:b/>
          <w:bCs w:val="0"/>
          <w:sz w:val="22"/>
          <w:szCs w:val="22"/>
          <w:highlight w:val="yellow"/>
          <w:lang w:val="pt-BR"/>
        </w:rPr>
        <w:t>11.4.</w:t>
      </w:r>
      <w:r>
        <w:rPr>
          <w:rFonts w:hint="default" w:cs="Arial"/>
          <w:sz w:val="22"/>
          <w:szCs w:val="22"/>
          <w:highlight w:val="yellow"/>
          <w:lang w:val="pt-BR"/>
        </w:rPr>
        <w:t xml:space="preserve"> Possui a empresa, comprovação de tempo de experiência profissional, profissional(is) com formação em Engenharia Civil, regularmente inscrito(s) no Conselho Regional de Engenharia e Agronomia, para elaboração de projetos, planilhas orçamentárias e todos os outros documentos que se fizerem necessários como cronograma e composição de custos?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15 anos ou mais – 25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10 a 14 anos – 20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05 a 09 anos – 15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01 a 04 anos – 10 ponto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11.5.</w:t>
      </w:r>
      <w:r>
        <w:rPr>
          <w:rFonts w:hint="default" w:cs="Arial"/>
          <w:sz w:val="22"/>
          <w:szCs w:val="22"/>
          <w:lang w:val="pt-BR"/>
        </w:rPr>
        <w:t xml:space="preserve"> Serão consideradas classificadas tecnicamente as propostas que atingirem nota maior ou igual a 50 (cinquenta) pontos, corresponde a 50% (cinquenta por cento) da pontuação técnica máxima possível da proposta, estimada em 100 (duzentos)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11.5.1.</w:t>
      </w:r>
      <w:r>
        <w:rPr>
          <w:rFonts w:hint="default" w:cs="Arial"/>
          <w:sz w:val="22"/>
          <w:szCs w:val="22"/>
          <w:lang w:val="pt-BR"/>
        </w:rPr>
        <w:t xml:space="preserve"> Os pontos serão computados uma única vez, por quesito, por profissional, podendo o mesmo pontuar em um único quesito ou em todos sem que prejudique a pontuação da licitante.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11.5.2.</w:t>
      </w:r>
      <w:r>
        <w:rPr>
          <w:rFonts w:hint="default" w:cs="Arial"/>
          <w:sz w:val="22"/>
          <w:szCs w:val="22"/>
          <w:lang w:val="pt-BR"/>
        </w:rPr>
        <w:t xml:space="preserve"> Os quesitos não comprovados importarão na atribuição de Nota Zero no item.</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11.5.3.</w:t>
      </w:r>
      <w:r>
        <w:rPr>
          <w:rFonts w:hint="default" w:cs="Arial"/>
          <w:sz w:val="22"/>
          <w:szCs w:val="22"/>
          <w:lang w:val="pt-BR"/>
        </w:rPr>
        <w:t xml:space="preserve"> Para cada Proposta Técnica será atribuído um Índice Técnico (IT) correspondente, calculado em função da Maior Nota Técnica (MNT) entre elas, conforme a seguinte fórmula: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highlight w:val="yellow"/>
          <w:lang w:val="pt-BR"/>
        </w:rPr>
        <w:t>IT</w:t>
      </w:r>
      <w:r>
        <w:rPr>
          <w:rFonts w:hint="default" w:cs="Arial"/>
          <w:sz w:val="22"/>
          <w:szCs w:val="22"/>
          <w:lang w:val="pt-BR"/>
        </w:rPr>
        <w:t xml:space="preserve"> = NT/MNT Onde: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IT= Índice Técnico da Proposta em análise NT= Nota Técnica da proposta em análise MNT= Maior Nota Técnica entre todas as propostas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11.5.4.</w:t>
      </w:r>
      <w:r>
        <w:rPr>
          <w:rFonts w:hint="default" w:cs="Arial"/>
          <w:sz w:val="22"/>
          <w:szCs w:val="22"/>
          <w:lang w:val="pt-BR"/>
        </w:rPr>
        <w:t xml:space="preserve"> As Propostas Comerciais das licitantes classificadas tecnicamente, após verificação de cumprimento das exigências constantes do Edital e serão pontuadas conforme indicado a           seguir:</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11.5.4.1.</w:t>
      </w:r>
      <w:r>
        <w:rPr>
          <w:rFonts w:hint="default" w:cs="Arial"/>
          <w:sz w:val="22"/>
          <w:szCs w:val="22"/>
          <w:lang w:val="pt-BR"/>
        </w:rPr>
        <w:t xml:space="preserve">  Será atribuído um Índice de Preço (IP), por Proposta de Preços, definido em função do Menor Preço Cotado (MPC) entre elas, como se segue: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highlight w:val="yellow"/>
          <w:lang w:val="pt-BR"/>
        </w:rPr>
        <w:t>IP</w:t>
      </w:r>
      <w:r>
        <w:rPr>
          <w:rFonts w:hint="default" w:cs="Arial"/>
          <w:sz w:val="22"/>
          <w:szCs w:val="22"/>
          <w:lang w:val="pt-BR"/>
        </w:rPr>
        <w:t xml:space="preserve"> = MPC/PC Onde: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IP = Índice de Preço da Proposta em análise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MPC = Menor Preço cotado entre todas as propostas PC = Preço Cotado pela proposta em análise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11.5.5.</w:t>
      </w:r>
      <w:r>
        <w:rPr>
          <w:rFonts w:hint="default" w:cs="Arial"/>
          <w:sz w:val="22"/>
          <w:szCs w:val="22"/>
          <w:lang w:val="pt-BR"/>
        </w:rPr>
        <w:t xml:space="preserve"> Na apuração do Índice de Preços, as notas obtidas pelas licitantes serão arredondadas até os centésimos.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11.5.6.</w:t>
      </w:r>
      <w:r>
        <w:rPr>
          <w:rFonts w:hint="default" w:cs="Arial"/>
          <w:sz w:val="22"/>
          <w:szCs w:val="22"/>
          <w:lang w:val="pt-BR"/>
        </w:rPr>
        <w:t xml:space="preserve"> A Classificação Final das licitantes será obtida de acordo com a MÉDIA PONDERADA das Propostas Técnicas e Propostas de Preços, consequentemente entre os índices: Técnico (IT) e de Preço (IP), de acordo com a seguinte fórmula: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CFL = IT x 6 + IP x 4</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Onde: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 xml:space="preserve">CFL = Classificação Final da Licitante </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ITL = Índice Técnico da Licitante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IPL = Índice de Preço da Licitante.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w:t>
      </w:r>
      <w:r>
        <w:rPr>
          <w:rFonts w:hint="default" w:cs="Arial"/>
          <w:sz w:val="22"/>
          <w:szCs w:val="22"/>
          <w:lang w:val="pt-BR"/>
        </w:rPr>
        <w:t xml:space="preserve"> Será assegurado, como critério de desempate, quando a melhor oferta inicial não tiver sido apresentada por microempresa ou empresa de pequeno porte, a preferência pela contratação para essas empresas, conforme estabelecido nos artigos 44 e 45, da Lei Complementar nº 123/2006 - Lei Geral das Micros e Pequenas Empresas, nos termos estabelecidos nos itens abaixo: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11.6.1.</w:t>
      </w:r>
      <w:r>
        <w:rPr>
          <w:rFonts w:hint="default" w:cs="Arial"/>
          <w:sz w:val="22"/>
          <w:szCs w:val="22"/>
          <w:lang w:val="pt-BR"/>
        </w:rPr>
        <w:t xml:space="preserve"> Na presente licitação, por ser do tipo técnica e preço, o direito de preferência preconizado no art. 44 da Lei Complementar nº 123/06 somente será exercido se houver empate na nota final, resultante da ponderação entre os fatores técnica e preço.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11.6.2.</w:t>
      </w:r>
      <w:r>
        <w:rPr>
          <w:rFonts w:hint="default" w:cs="Arial"/>
          <w:sz w:val="22"/>
          <w:szCs w:val="22"/>
          <w:lang w:val="pt-BR"/>
        </w:rPr>
        <w:t xml:space="preserve"> Se houver microempresas ou empresas de pequeno porte cujas notas finais, resultantes da técnica e do preço, não sejam inferiores a 10% da melhor nota final, a que tiver oferecido a melhor proposta fará jus ao direito de preferência.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11.6.3</w:t>
      </w:r>
      <w:r>
        <w:rPr>
          <w:rFonts w:hint="default" w:cs="Arial"/>
          <w:sz w:val="22"/>
          <w:szCs w:val="22"/>
          <w:lang w:val="pt-BR"/>
        </w:rPr>
        <w:t>. A situação de empate somente será verificada após ultrapassada a fase recursal da proposta de preços, seja pelo decurso do prazo sem interposição de recurso, ou pelo julgamento definitivo de eventual recurso interposto.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11.6.4.</w:t>
      </w:r>
      <w:r>
        <w:rPr>
          <w:rFonts w:hint="default" w:cs="Arial"/>
          <w:sz w:val="22"/>
          <w:szCs w:val="22"/>
          <w:lang w:val="pt-BR"/>
        </w:rPr>
        <w:t xml:space="preserve"> Ocorrendo o empate, proceder-se-á da seguinte forma: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11.6.4.1</w:t>
      </w:r>
      <w:r>
        <w:rPr>
          <w:rFonts w:hint="default" w:cs="Arial"/>
          <w:sz w:val="22"/>
          <w:szCs w:val="22"/>
          <w:lang w:val="pt-BR"/>
        </w:rPr>
        <w:t>. A microempresa ou a empresa de pequeno porte, detentora da Nota Final inferior em até 10% (dez por cento) da proposta melhor classificada, pela ordem decrescente, poderá apresentar no prazo de 05 (cinco) dias nova proposta de preços, por escrito e de acordo com disposto neste edital, de tal modo que a Nota Final fique superior àquela considerada, até então, de maior Nota Final, situação em que será declarada vencedora do certame.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 xml:space="preserve">11.6.4.2. </w:t>
      </w:r>
      <w:r>
        <w:rPr>
          <w:rFonts w:hint="default" w:cs="Arial"/>
          <w:sz w:val="22"/>
          <w:szCs w:val="22"/>
          <w:lang w:val="pt-BR"/>
        </w:rPr>
        <w:t>Se a microempresa ou a empresa de pequeno porte, convocada na forma do item anterior, não apresentar nova proposta de preços que resulte nota final superior a maior nota final até então, será facultada, pela ordem de classificação, às demais microempresas, empresas de pequeno porte remanescentes, que se enquadrarem nas hipóteses da alínea “a” acima, a apresentação de nova proposta de preços, no prazo e na forma prevista no referido item.</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11.6.4.3.</w:t>
      </w:r>
      <w:r>
        <w:rPr>
          <w:rFonts w:hint="default" w:cs="Arial"/>
          <w:sz w:val="22"/>
          <w:szCs w:val="22"/>
          <w:lang w:val="pt-BR"/>
        </w:rPr>
        <w:t xml:space="preserve"> Se houver duas ou mais microempresas e/ou empresas de pequeno porte com proposta de preços com valores iguais, será realizado sorteio para estabelecer a ordem em que serão convocadas para a apresentação de nova proposta de preços, na forma dos itens anteriores.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11.6.4.4.</w:t>
      </w:r>
      <w:r>
        <w:rPr>
          <w:rFonts w:hint="default" w:cs="Arial"/>
          <w:sz w:val="22"/>
          <w:szCs w:val="22"/>
          <w:lang w:val="pt-BR"/>
        </w:rPr>
        <w:t xml:space="preserve"> Se nenhuma microempresa, empresa de pequeno porte, satisfizer as exigências acima previstas no edital, será declarado vencedor do certame o licitante detentor da Nota Final obtida no certame.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11.6.5.</w:t>
      </w:r>
      <w:r>
        <w:rPr>
          <w:rFonts w:hint="default" w:cs="Arial"/>
          <w:sz w:val="22"/>
          <w:szCs w:val="22"/>
          <w:lang w:val="pt-BR"/>
        </w:rPr>
        <w:t xml:space="preserve"> Na hipótese de não utilização do direito de preferência por parte das Microempresas ou Empresas de Pequeno porte, nos termos previstos nos subitens anteriores, o objeto licitado será adjudicado em favor da proposta inicialmente vencedora do certame.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11.6.6</w:t>
      </w:r>
      <w:r>
        <w:rPr>
          <w:rFonts w:hint="default" w:cs="Arial"/>
          <w:sz w:val="22"/>
          <w:szCs w:val="22"/>
          <w:lang w:val="pt-BR"/>
        </w:rPr>
        <w:t>. Caso não existam Microempresas ou Empresa de Pequeno Porte na situação prevista no item 10.10 e duas ou mais licitantes apresentem notas iguais, o desempate será feito com base nos critérios do § 2º, do artigo 3º, da lei federal nº 8.666/93 e suas posteriores atualizações.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11.6.7.</w:t>
      </w:r>
      <w:r>
        <w:rPr>
          <w:rFonts w:hint="default" w:cs="Arial"/>
          <w:sz w:val="22"/>
          <w:szCs w:val="22"/>
          <w:lang w:val="pt-BR"/>
        </w:rPr>
        <w:t xml:space="preserve"> Prevalecendo o empate, será feito sorteio em ato público, para o qual todas as licitantes classificadas serão convocadas, na forma do § 2º, do artigo 45, da mesma lei, mediante publicação na forma da lei.</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11.6.8.</w:t>
      </w:r>
      <w:r>
        <w:rPr>
          <w:rFonts w:hint="default" w:cs="Arial"/>
          <w:sz w:val="22"/>
          <w:szCs w:val="22"/>
          <w:lang w:val="pt-BR"/>
        </w:rPr>
        <w:t xml:space="preserve"> Após o julgamento e a realização do desempate, a Comissão de Julgamento de Licitações classificará as empresas participantes.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11.6.9</w:t>
      </w:r>
      <w:r>
        <w:rPr>
          <w:rFonts w:hint="default" w:cs="Arial"/>
          <w:sz w:val="22"/>
          <w:szCs w:val="22"/>
          <w:lang w:val="pt-BR"/>
        </w:rPr>
        <w:t>. Decorrido o prazo de interposição de recurso ou julgado o recurso interposto, a Comissão de Licitações encaminhará o processo licitatório para HOMOLOGAÇÃO e ADJUDICAÇÃO.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11.6.10.</w:t>
      </w:r>
      <w:r>
        <w:rPr>
          <w:rFonts w:hint="default" w:cs="Arial"/>
          <w:sz w:val="22"/>
          <w:szCs w:val="22"/>
          <w:lang w:val="pt-BR"/>
        </w:rPr>
        <w:t xml:space="preserve"> É facultada à Comissão ou autoridade superior, em qualquer fase desta licitação, a promoção de diligência destinada a esclarecer ou a complementar a instrução do processo.</w:t>
      </w:r>
    </w:p>
    <w:p>
      <w:pPr>
        <w:pStyle w:val="145"/>
        <w:keepNext w:val="0"/>
        <w:keepLines w:val="0"/>
        <w:pageBreakBefore w:val="0"/>
        <w:widowControl/>
        <w:kinsoku/>
        <w:wordWrap/>
        <w:overflowPunct/>
        <w:topLinePunct w:val="0"/>
        <w:autoSpaceDE/>
        <w:autoSpaceDN/>
        <w:bidi w:val="0"/>
        <w:adjustRightInd/>
        <w:snapToGrid/>
        <w:spacing w:before="0"/>
        <w:textAlignment w:val="auto"/>
      </w:pPr>
      <w:bookmarkStart w:id="20" w:name="_Toc380557821"/>
      <w:bookmarkStart w:id="21" w:name="_Toc514666338"/>
      <w:r>
        <w:t xml:space="preserve">DA </w:t>
      </w:r>
      <w:bookmarkEnd w:id="20"/>
      <w:r>
        <w:t>PROPOSTA DE PREÇOS</w:t>
      </w:r>
      <w:bookmarkEnd w:id="21"/>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.1.</w:t>
      </w:r>
      <w:r>
        <w:t xml:space="preserve"> A Proposta de Preços deverá ser apresentada no envelope nº </w:t>
      </w:r>
      <w:r>
        <w:rPr>
          <w:rFonts w:hint="default"/>
          <w:lang w:val="pt-BR"/>
        </w:rPr>
        <w:t>0</w:t>
      </w:r>
      <w:r>
        <w:t>2, em uma via impressa, redigida com clareza em língua portuguesa, salvo quanto às expressões técnicas de uso corrente, sem alternativas, sem emendas, sem rasuras ou entrelinhas, devidamente datadas e assinadas na última folha e rubricadas nas demais, pelo representante legal da licitante;</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.2.</w:t>
      </w:r>
      <w:r>
        <w:t xml:space="preserve"> A PROPOSTA DE PREÇOS do Licitante, além da via impressa assinada, vistada, timbrada, também deverá ser apresentada, em via digital, na forma de planilha eletrônica de cálculo,</w:t>
      </w:r>
      <w:r>
        <w:rPr>
          <w:u w:val="single"/>
        </w:rPr>
        <w:t xml:space="preserve"> CD-Rom ou DVD-Rom</w:t>
      </w:r>
      <w:r>
        <w:rPr>
          <w:rFonts w:hint="default"/>
          <w:u w:val="single"/>
          <w:lang w:val="pt-BR"/>
        </w:rPr>
        <w:t>,</w:t>
      </w:r>
      <w:r>
        <w:rPr>
          <w:u w:val="single"/>
        </w:rPr>
        <w:t xml:space="preserve"> da Proposta de Preços e demais documentos constantes do Envelope nº 02, com a indicação do Responsável Técnico e nº de Registro no Conselho competente, em todas suas folhas, que permita somente a cópia dos dados inseridos,</w:t>
      </w:r>
      <w:r>
        <w:t xml:space="preserve"> para fins de </w:t>
      </w:r>
      <w:r>
        <w:rPr>
          <w:u w:val="single"/>
        </w:rPr>
        <w:t>facilitar a análise da referida proposta por parte da Comissão de Licitação e o envio da proposta de preços e planilhas para análise do Tribunal de Contas;</w:t>
      </w:r>
    </w:p>
    <w:p>
      <w:pPr>
        <w:pStyle w:val="349"/>
        <w:keepNext w:val="0"/>
        <w:keepLines w:val="0"/>
        <w:pageBreakBefore w:val="0"/>
        <w:widowControl/>
        <w:kinsoku/>
        <w:wordWrap/>
        <w:overflowPunct/>
        <w:topLinePunct w:val="0"/>
        <w:autoSpaceDE/>
        <w:autoSpaceDN/>
        <w:bidi w:val="0"/>
        <w:adjustRightInd/>
        <w:snapToGrid/>
        <w:spacing w:before="0" w:beforeAutospacing="0" w:after="120" w:afterAutospacing="0"/>
        <w:ind w:left="480" w:leftChars="0" w:firstLine="0" w:firstLineChars="0"/>
        <w:textAlignment w:val="auto"/>
        <w:rPr>
          <w:b w:val="0"/>
        </w:rPr>
      </w:pPr>
      <w:r>
        <w:rPr>
          <w:rFonts w:hint="default"/>
          <w:b/>
          <w:lang w:val="pt-BR"/>
        </w:rPr>
        <w:t>12</w:t>
      </w:r>
      <w:r>
        <w:t xml:space="preserve">.2.1.  </w:t>
      </w:r>
      <w:r>
        <w:rPr>
          <w:b w:val="0"/>
        </w:rPr>
        <w:t>Havendo divergência entre a via impressa e a via digital da PROPOSTA DE PREÇOS, prevalecerá, para fins de julgamento, o teor da via impressa;</w:t>
      </w:r>
    </w:p>
    <w:p>
      <w:pPr>
        <w:pStyle w:val="349"/>
        <w:keepNext w:val="0"/>
        <w:keepLines w:val="0"/>
        <w:pageBreakBefore w:val="0"/>
        <w:widowControl/>
        <w:kinsoku/>
        <w:wordWrap/>
        <w:overflowPunct/>
        <w:topLinePunct w:val="0"/>
        <w:autoSpaceDE/>
        <w:autoSpaceDN/>
        <w:bidi w:val="0"/>
        <w:adjustRightInd/>
        <w:snapToGrid/>
        <w:spacing w:before="0" w:beforeAutospacing="0" w:after="120" w:afterAutospacing="0"/>
        <w:ind w:left="480" w:leftChars="0" w:firstLine="0" w:firstLineChars="0"/>
        <w:textAlignment w:val="auto"/>
        <w:rPr>
          <w:rFonts w:hint="default"/>
          <w:b w:val="0"/>
          <w:lang w:val="pt-BR"/>
        </w:rPr>
      </w:pPr>
      <w:r>
        <w:t xml:space="preserve">11.2.2.  </w:t>
      </w:r>
      <w:r>
        <w:rPr>
          <w:b w:val="0"/>
        </w:rPr>
        <w:t xml:space="preserve">A versão digital da PROPOSTA DE PREÇOS deverá ser entregue em mídia do tipo </w:t>
      </w:r>
      <w:r>
        <w:rPr>
          <w:rFonts w:hint="default"/>
          <w:b w:val="0"/>
          <w:u w:val="single"/>
          <w:lang w:val="pt-BR"/>
        </w:rPr>
        <w:t>CD-ROM</w:t>
      </w:r>
      <w:r>
        <w:rPr>
          <w:b w:val="0"/>
          <w:u w:val="single"/>
        </w:rPr>
        <w:t xml:space="preserve"> ou </w:t>
      </w:r>
      <w:r>
        <w:rPr>
          <w:rFonts w:hint="default"/>
          <w:b w:val="0"/>
          <w:u w:val="single"/>
          <w:lang w:val="pt-BR"/>
        </w:rPr>
        <w:t>DVD-ROM</w:t>
      </w:r>
      <w:r>
        <w:rPr>
          <w:b w:val="0"/>
        </w:rPr>
        <w:t>, no Envelope n.º 02 – PROPOSTA DE PREÇOS</w:t>
      </w:r>
      <w:r>
        <w:rPr>
          <w:rFonts w:hint="default"/>
          <w:b w:val="0"/>
          <w:lang w:val="pt-BR"/>
        </w:rPr>
        <w:t>. Caso a licitante deixe de apresentar a proposta em mídia digital, ou, caso venha a mídia digital apresentar problemas no momento do certame, poderá o Setor de Licitação realizar diligências a fim de sanar tal questão, inclusive concedendo prazo para que a licitante apresente a proposta em mídia, portanto, não sendo este um motivo passível de desclassificação da licitante. Ressalta-se que caso concedido tal prazo, não poderá a licitante apresentar proposta digital divergente da proposta impressa que fora apresentada no momento do certame.</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.3.</w:t>
      </w:r>
      <w:r>
        <w:t xml:space="preserve"> Os Arquivos digitais constantes no cd-rom ou dvd-rom deverão ser gravados no formato de arquivo do tipo </w:t>
      </w:r>
      <w:r>
        <w:rPr>
          <w:i/>
        </w:rPr>
        <w:t>“.xls</w:t>
      </w:r>
      <w:r>
        <w:t>”/“.</w:t>
      </w:r>
      <w:r>
        <w:rPr>
          <w:i/>
        </w:rPr>
        <w:t>xlsx</w:t>
      </w:r>
      <w:r>
        <w:t xml:space="preserve">” (Excel) ou </w:t>
      </w:r>
      <w:r>
        <w:rPr>
          <w:i/>
        </w:rPr>
        <w:t>“.ods</w:t>
      </w:r>
      <w:r>
        <w:t>” (OpenOffice ou LibreOffice);</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color w:val="0000FF"/>
        </w:rPr>
      </w:pPr>
      <w:r>
        <w:rPr>
          <w:rFonts w:hint="default"/>
          <w:b/>
          <w:lang w:val="pt-BR"/>
        </w:rPr>
        <w:t>12</w:t>
      </w:r>
      <w:r>
        <w:rPr>
          <w:b/>
        </w:rPr>
        <w:t>.4.</w:t>
      </w:r>
      <w:r>
        <w:t xml:space="preserve"> A Proposta de Preços deverá ser formulada conforme modelo constante no ANEXO III e deverá </w:t>
      </w:r>
      <w:r>
        <w:rPr>
          <w:rFonts w:hint="default"/>
          <w:lang w:val="pt-BR"/>
        </w:rPr>
        <w:t>observar o seguinte</w:t>
      </w:r>
      <w:r>
        <w:t xml:space="preserve">, </w:t>
      </w:r>
      <w:r>
        <w:rPr>
          <w:i/>
          <w:color w:val="0000FF"/>
          <w:u w:val="single"/>
        </w:rPr>
        <w:t>sob pena de desclassificação:</w:t>
      </w:r>
    </w:p>
    <w:p>
      <w:pPr>
        <w:pStyle w:val="349"/>
        <w:keepNext w:val="0"/>
        <w:keepLines w:val="0"/>
        <w:pageBreakBefore w:val="0"/>
        <w:widowControl/>
        <w:tabs>
          <w:tab w:val="left" w:pos="480"/>
        </w:tabs>
        <w:kinsoku/>
        <w:wordWrap/>
        <w:overflowPunct/>
        <w:topLinePunct w:val="0"/>
        <w:autoSpaceDE/>
        <w:autoSpaceDN/>
        <w:bidi w:val="0"/>
        <w:adjustRightInd/>
        <w:snapToGrid/>
        <w:spacing w:before="0" w:beforeAutospacing="0" w:after="120" w:afterAutospacing="0"/>
        <w:ind w:left="480" w:leftChars="0" w:firstLine="0" w:firstLineChars="0"/>
        <w:textAlignment w:val="auto"/>
        <w:rPr>
          <w:b w:val="0"/>
        </w:rPr>
      </w:pPr>
      <w:r>
        <w:rPr>
          <w:rFonts w:hint="default"/>
          <w:b/>
          <w:lang w:val="pt-BR"/>
        </w:rPr>
        <w:t>12</w:t>
      </w:r>
      <w:r>
        <w:t xml:space="preserve">.4.1. </w:t>
      </w:r>
      <w:r>
        <w:rPr>
          <w:rFonts w:hint="default"/>
          <w:b w:val="0"/>
          <w:bCs w:val="0"/>
          <w:lang w:val="pt-BR"/>
        </w:rPr>
        <w:t xml:space="preserve">Conter </w:t>
      </w:r>
      <w:r>
        <w:rPr>
          <w:rFonts w:hint="default"/>
          <w:b w:val="0"/>
          <w:lang w:val="pt-BR"/>
        </w:rPr>
        <w:t>r</w:t>
      </w:r>
      <w:r>
        <w:rPr>
          <w:b w:val="0"/>
        </w:rPr>
        <w:t>azão social da licitante, n</w:t>
      </w:r>
      <w:r>
        <w:rPr>
          <w:b w:val="0"/>
          <w:vertAlign w:val="superscript"/>
        </w:rPr>
        <w:t>o</w:t>
      </w:r>
      <w:r>
        <w:rPr>
          <w:b w:val="0"/>
        </w:rPr>
        <w:t xml:space="preserve"> do CNPJ/MF, endereço completo, telefone, para contato, n</w:t>
      </w:r>
      <w:r>
        <w:rPr>
          <w:b w:val="0"/>
          <w:vertAlign w:val="superscript"/>
        </w:rPr>
        <w:t>o</w:t>
      </w:r>
      <w:r>
        <w:rPr>
          <w:b w:val="0"/>
        </w:rPr>
        <w:t xml:space="preserve"> da conta corrente, agência e respectivo Banco e, se possível, endereço eletrônico (e-mail);</w:t>
      </w:r>
    </w:p>
    <w:p>
      <w:pPr>
        <w:pStyle w:val="349"/>
        <w:keepNext w:val="0"/>
        <w:keepLines w:val="0"/>
        <w:pageBreakBefore w:val="0"/>
        <w:widowControl/>
        <w:tabs>
          <w:tab w:val="left" w:pos="480"/>
        </w:tabs>
        <w:kinsoku/>
        <w:wordWrap/>
        <w:overflowPunct/>
        <w:topLinePunct w:val="0"/>
        <w:autoSpaceDE/>
        <w:autoSpaceDN/>
        <w:bidi w:val="0"/>
        <w:adjustRightInd/>
        <w:snapToGrid/>
        <w:spacing w:before="0" w:beforeAutospacing="0" w:after="120" w:afterAutospacing="0"/>
        <w:ind w:left="480" w:leftChars="0" w:firstLine="0" w:firstLineChars="0"/>
        <w:textAlignment w:val="auto"/>
        <w:rPr>
          <w:b w:val="0"/>
        </w:rPr>
      </w:pPr>
      <w:r>
        <w:rPr>
          <w:rFonts w:hint="default"/>
          <w:b/>
          <w:lang w:val="pt-BR"/>
        </w:rPr>
        <w:t>12</w:t>
      </w:r>
      <w:r>
        <w:t xml:space="preserve">.4.2. </w:t>
      </w:r>
      <w:r>
        <w:rPr>
          <w:b w:val="0"/>
        </w:rPr>
        <w:t>Número e descrição detalhada do objeto da presente licitação, em conformidade com as especificações constantes neste edital e seus anexos;</w:t>
      </w:r>
    </w:p>
    <w:p>
      <w:pPr>
        <w:pStyle w:val="349"/>
        <w:keepNext w:val="0"/>
        <w:keepLines w:val="0"/>
        <w:pageBreakBefore w:val="0"/>
        <w:widowControl/>
        <w:tabs>
          <w:tab w:val="left" w:pos="480"/>
        </w:tabs>
        <w:kinsoku/>
        <w:wordWrap/>
        <w:overflowPunct/>
        <w:topLinePunct w:val="0"/>
        <w:autoSpaceDE/>
        <w:autoSpaceDN/>
        <w:bidi w:val="0"/>
        <w:adjustRightInd/>
        <w:snapToGrid/>
        <w:spacing w:before="0" w:beforeAutospacing="0" w:after="120" w:afterAutospacing="0"/>
        <w:ind w:left="480" w:leftChars="0" w:firstLine="0" w:firstLineChars="0"/>
        <w:textAlignment w:val="auto"/>
      </w:pPr>
      <w:r>
        <w:rPr>
          <w:rFonts w:hint="default"/>
          <w:b/>
          <w:lang w:val="pt-BR"/>
        </w:rPr>
        <w:t>12</w:t>
      </w:r>
      <w:r>
        <w:t>.4.</w:t>
      </w:r>
      <w:r>
        <w:rPr>
          <w:rFonts w:hint="default"/>
          <w:lang w:val="pt-BR"/>
        </w:rPr>
        <w:t>3</w:t>
      </w:r>
      <w:r>
        <w:t xml:space="preserve">. </w:t>
      </w:r>
      <w:r>
        <w:rPr>
          <w:b w:val="0"/>
        </w:rPr>
        <w:t xml:space="preserve">O prazo de eficácia da proposta, o qual </w:t>
      </w:r>
      <w:r>
        <w:rPr>
          <w:b w:val="0"/>
          <w:u w:val="single"/>
        </w:rPr>
        <w:t>não poderá ser inferior a 60 (sessenta) dias</w:t>
      </w:r>
      <w:r>
        <w:rPr>
          <w:b w:val="0"/>
        </w:rPr>
        <w:t xml:space="preserve"> corridos, a contar da data de entrega da mesma;</w:t>
      </w:r>
    </w:p>
    <w:p>
      <w:pPr>
        <w:pStyle w:val="349"/>
        <w:keepNext w:val="0"/>
        <w:keepLines w:val="0"/>
        <w:pageBreakBefore w:val="0"/>
        <w:widowControl/>
        <w:tabs>
          <w:tab w:val="left" w:pos="480"/>
        </w:tabs>
        <w:kinsoku/>
        <w:wordWrap/>
        <w:overflowPunct/>
        <w:topLinePunct w:val="0"/>
        <w:autoSpaceDE/>
        <w:autoSpaceDN/>
        <w:bidi w:val="0"/>
        <w:adjustRightInd/>
        <w:snapToGrid/>
        <w:spacing w:before="0" w:beforeAutospacing="0" w:after="120" w:afterAutospacing="0"/>
        <w:ind w:left="480" w:leftChars="0" w:firstLine="0" w:firstLineChars="0"/>
        <w:textAlignment w:val="auto"/>
        <w:rPr>
          <w:b w:val="0"/>
        </w:rPr>
      </w:pPr>
      <w:r>
        <w:rPr>
          <w:rFonts w:hint="default"/>
          <w:b/>
          <w:lang w:val="pt-BR"/>
        </w:rPr>
        <w:t>12</w:t>
      </w:r>
      <w:r>
        <w:t>.4.</w:t>
      </w:r>
      <w:r>
        <w:rPr>
          <w:rFonts w:hint="default"/>
          <w:lang w:val="pt-BR"/>
        </w:rPr>
        <w:t>4</w:t>
      </w:r>
      <w:r>
        <w:t xml:space="preserve">. </w:t>
      </w:r>
      <w:r>
        <w:rPr>
          <w:rFonts w:hint="default"/>
          <w:b w:val="0"/>
          <w:bCs w:val="0"/>
          <w:lang w:val="pt-BR"/>
        </w:rPr>
        <w:t>Apresentar</w:t>
      </w:r>
      <w:r>
        <w:rPr>
          <w:rFonts w:hint="default"/>
          <w:lang w:val="pt-BR"/>
        </w:rPr>
        <w:t xml:space="preserve"> </w:t>
      </w:r>
      <w:r>
        <w:rPr>
          <w:rFonts w:hint="default"/>
          <w:b w:val="0"/>
          <w:lang w:val="pt-BR"/>
        </w:rPr>
        <w:t>u</w:t>
      </w:r>
      <w:r>
        <w:rPr>
          <w:b w:val="0"/>
        </w:rPr>
        <w:t>ma única cotação, com preço do serviço, em moeda corrente nacional, expressos em algarismos, sem previsão inflacionária. Em caso de divergência entre os valores unitários e totais, serão considerados os primeiros;</w:t>
      </w:r>
    </w:p>
    <w:p>
      <w:pPr>
        <w:pStyle w:val="349"/>
        <w:keepNext w:val="0"/>
        <w:keepLines w:val="0"/>
        <w:pageBreakBefore w:val="0"/>
        <w:widowControl/>
        <w:tabs>
          <w:tab w:val="left" w:pos="480"/>
        </w:tabs>
        <w:kinsoku/>
        <w:wordWrap/>
        <w:overflowPunct/>
        <w:topLinePunct w:val="0"/>
        <w:autoSpaceDE/>
        <w:autoSpaceDN/>
        <w:bidi w:val="0"/>
        <w:adjustRightInd/>
        <w:snapToGrid/>
        <w:spacing w:before="0" w:beforeAutospacing="0" w:after="120" w:afterAutospacing="0"/>
        <w:ind w:left="480" w:leftChars="0" w:firstLine="0" w:firstLineChars="0"/>
        <w:textAlignment w:val="auto"/>
        <w:rPr>
          <w:rFonts w:hint="default"/>
          <w:lang w:val="pt-BR"/>
        </w:rPr>
      </w:pPr>
      <w:r>
        <w:rPr>
          <w:rFonts w:hint="default"/>
          <w:b/>
          <w:lang w:val="pt-BR"/>
        </w:rPr>
        <w:t>12</w:t>
      </w:r>
      <w:r>
        <w:t>.4.</w:t>
      </w:r>
      <w:r>
        <w:rPr>
          <w:rFonts w:hint="default"/>
          <w:lang w:val="pt-BR"/>
        </w:rPr>
        <w:t>5</w:t>
      </w:r>
      <w:r>
        <w:t xml:space="preserve">. </w:t>
      </w:r>
      <w:r>
        <w:rPr>
          <w:b w:val="0"/>
        </w:rPr>
        <w:t xml:space="preserve">O valor </w:t>
      </w:r>
      <w:r>
        <w:rPr>
          <w:rFonts w:hint="default"/>
          <w:b w:val="0"/>
          <w:lang w:val="pt-BR"/>
        </w:rPr>
        <w:t>g</w:t>
      </w:r>
      <w:r>
        <w:rPr>
          <w:b w:val="0"/>
        </w:rPr>
        <w:t xml:space="preserve">lobal da proposta não deverá ser superior ao limite estabelecido na planilha base da </w:t>
      </w:r>
      <w:r>
        <w:rPr>
          <w:rFonts w:hint="default"/>
          <w:b w:val="0"/>
          <w:lang w:val="pt-BR"/>
        </w:rPr>
        <w:t>Prefeitura Municipal de Primavera do Leste - MT, bem como</w:t>
      </w:r>
      <w:r>
        <w:rPr>
          <w:b w:val="0"/>
        </w:rPr>
        <w:t xml:space="preserve"> </w:t>
      </w:r>
      <w:r>
        <w:rPr>
          <w:rFonts w:hint="default"/>
          <w:b w:val="0"/>
          <w:lang w:val="pt-BR"/>
        </w:rPr>
        <w:t>os valores unitários não poderão ser superior aos expostos na planilha desta municipalidade.</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.5.</w:t>
      </w:r>
      <w:r>
        <w:t xml:space="preserve"> A proposta deverá conter todo e qualquer custo que se fizer necessário para a execução dos serviços (Locações de equipamentos, encargos trabalhistas, horas-extras, recomposição das áreas danificadas na execução dos serviços, limpeza durante a execução dos serviços, limpeza final, remoção do material excedente; encargos sociais; BDI; etc.);</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color w:val="000000" w:themeColor="text1"/>
          <w14:textFill>
            <w14:solidFill>
              <w14:schemeClr w14:val="tx1"/>
            </w14:solidFill>
          </w14:textFill>
        </w:rPr>
      </w:pPr>
      <w:r>
        <w:rPr>
          <w:rFonts w:hint="default"/>
          <w:b/>
          <w:lang w:val="pt-BR"/>
        </w:rPr>
        <w:t>12</w:t>
      </w:r>
      <w:r>
        <w:rPr>
          <w:b/>
        </w:rPr>
        <w:t>.6.</w:t>
      </w:r>
      <w:r>
        <w:t xml:space="preserve"> A proposta deverá conter: Prazo de entrega dos serviços; Prazo de validade da proposta. Valor Global da proposta; Planilha Orçamentária com preços unitários e totais por item; e cronograma físico-financeiro;</w:t>
      </w:r>
    </w:p>
    <w:p>
      <w:pPr>
        <w:pStyle w:val="349"/>
        <w:keepNext w:val="0"/>
        <w:keepLines w:val="0"/>
        <w:pageBreakBefore w:val="0"/>
        <w:widowControl/>
        <w:kinsoku/>
        <w:wordWrap/>
        <w:overflowPunct/>
        <w:topLinePunct w:val="0"/>
        <w:autoSpaceDE/>
        <w:autoSpaceDN/>
        <w:bidi w:val="0"/>
        <w:adjustRightInd/>
        <w:snapToGrid/>
        <w:spacing w:before="0" w:beforeAutospacing="0" w:after="120" w:afterAutospacing="0"/>
        <w:ind w:left="0" w:leftChars="0" w:firstLine="0" w:firstLineChars="0"/>
        <w:textAlignment w:val="auto"/>
        <w:rPr>
          <w:rStyle w:val="381"/>
          <w:b w:val="0"/>
          <w:color w:val="auto"/>
          <w:sz w:val="22"/>
        </w:rPr>
      </w:pPr>
      <w:r>
        <w:rPr>
          <w:rFonts w:hint="default"/>
          <w:b/>
          <w:lang w:val="pt-BR"/>
        </w:rPr>
        <w:t>12</w:t>
      </w:r>
      <w:r>
        <w:rPr>
          <w:rStyle w:val="381"/>
          <w:color w:val="auto"/>
          <w:sz w:val="22"/>
        </w:rPr>
        <w:t>.7.</w:t>
      </w:r>
      <w:r>
        <w:rPr>
          <w:rStyle w:val="381"/>
          <w:b w:val="0"/>
          <w:color w:val="auto"/>
          <w:sz w:val="22"/>
        </w:rPr>
        <w:t xml:space="preserve"> As alíquotas de tributos cotadas pelo licitante não podem ser superiores aos limites estabelecidos na legislação tributária;</w:t>
      </w:r>
    </w:p>
    <w:p>
      <w:pPr>
        <w:pStyle w:val="349"/>
        <w:keepNext w:val="0"/>
        <w:keepLines w:val="0"/>
        <w:pageBreakBefore w:val="0"/>
        <w:widowControl/>
        <w:kinsoku/>
        <w:wordWrap/>
        <w:overflowPunct/>
        <w:topLinePunct w:val="0"/>
        <w:autoSpaceDE/>
        <w:autoSpaceDN/>
        <w:bidi w:val="0"/>
        <w:adjustRightInd/>
        <w:snapToGrid/>
        <w:spacing w:before="0" w:beforeAutospacing="0" w:after="120" w:afterAutospacing="0"/>
        <w:ind w:left="426"/>
        <w:textAlignment w:val="auto"/>
        <w:rPr>
          <w:rStyle w:val="381"/>
          <w:b w:val="0"/>
          <w:color w:val="auto"/>
          <w:sz w:val="22"/>
        </w:rPr>
      </w:pPr>
      <w:r>
        <w:rPr>
          <w:rFonts w:hint="default"/>
          <w:b/>
          <w:lang w:val="pt-BR"/>
        </w:rPr>
        <w:t>12</w:t>
      </w:r>
      <w:r>
        <w:rPr>
          <w:rStyle w:val="381"/>
          <w:color w:val="auto"/>
          <w:sz w:val="22"/>
        </w:rPr>
        <w:t>.7.</w:t>
      </w:r>
      <w:r>
        <w:rPr>
          <w:rStyle w:val="381"/>
          <w:rFonts w:hint="default"/>
          <w:color w:val="auto"/>
          <w:sz w:val="22"/>
          <w:lang w:val="pt-BR"/>
        </w:rPr>
        <w:t>1</w:t>
      </w:r>
      <w:r>
        <w:rPr>
          <w:rStyle w:val="381"/>
          <w:color w:val="auto"/>
          <w:sz w:val="22"/>
        </w:rPr>
        <w:t>.</w:t>
      </w:r>
      <w:r>
        <w:rPr>
          <w:rStyle w:val="381"/>
          <w:b w:val="0"/>
          <w:color w:val="auto"/>
          <w:sz w:val="22"/>
        </w:rPr>
        <w:t xml:space="preserve"> Os tributos considerados de natureza direta e personalística, como o Imposto de Renda de Pessoa Jurídica - IRPJ e a Contribuição Sobre o Lucro Líquido - CSLL, não deverão ser incluídos no BDI, nos termos do art. 9º, II do Decreto 7.983, de 2013 (TCU, Súmula 254);</w:t>
      </w:r>
    </w:p>
    <w:p>
      <w:pPr>
        <w:pStyle w:val="349"/>
        <w:keepNext w:val="0"/>
        <w:keepLines w:val="0"/>
        <w:pageBreakBefore w:val="0"/>
        <w:widowControl/>
        <w:kinsoku/>
        <w:wordWrap/>
        <w:overflowPunct/>
        <w:topLinePunct w:val="0"/>
        <w:autoSpaceDE/>
        <w:autoSpaceDN/>
        <w:bidi w:val="0"/>
        <w:adjustRightInd/>
        <w:snapToGrid/>
        <w:spacing w:before="0" w:beforeAutospacing="0" w:after="120" w:afterAutospacing="0"/>
        <w:ind w:left="426"/>
        <w:textAlignment w:val="auto"/>
        <w:rPr>
          <w:rStyle w:val="381"/>
          <w:b w:val="0"/>
          <w:color w:val="auto"/>
          <w:sz w:val="22"/>
        </w:rPr>
      </w:pPr>
      <w:r>
        <w:rPr>
          <w:rFonts w:hint="default"/>
          <w:b/>
          <w:lang w:val="pt-BR"/>
        </w:rPr>
        <w:t>12</w:t>
      </w:r>
      <w:r>
        <w:rPr>
          <w:rStyle w:val="381"/>
          <w:color w:val="auto"/>
          <w:sz w:val="22"/>
        </w:rPr>
        <w:t>.7.</w:t>
      </w:r>
      <w:r>
        <w:rPr>
          <w:rStyle w:val="381"/>
          <w:rFonts w:hint="default"/>
          <w:color w:val="auto"/>
          <w:sz w:val="22"/>
          <w:lang w:val="pt-BR"/>
        </w:rPr>
        <w:t>2</w:t>
      </w:r>
      <w:r>
        <w:rPr>
          <w:rStyle w:val="381"/>
          <w:color w:val="auto"/>
          <w:sz w:val="22"/>
        </w:rPr>
        <w:t>.</w:t>
      </w:r>
      <w:r>
        <w:rPr>
          <w:rStyle w:val="381"/>
          <w:b w:val="0"/>
          <w:color w:val="auto"/>
          <w:sz w:val="22"/>
        </w:rPr>
        <w:t xml:space="preserve"> Licitantes sujeitas ao regime de tributação de incidência não-cumulativa de PIS e COFINS devem apresentar demonstrativo de apuração de contribuições sociais comprovando que os percentuais dos referidos tributos adotados na taxa de BDI correspondem à média dos percentuais efetivos recolhidos em virtude do direito de compensação dos créditos previstos no art. 3º das Leis 10.637/2002 e 10.833/2003, de forma a garantir que os preços contratados pela Administração Pública reflitam os benefícios tributários concedidos pela legislação tributária;</w:t>
      </w:r>
    </w:p>
    <w:p>
      <w:pPr>
        <w:pStyle w:val="349"/>
        <w:keepNext w:val="0"/>
        <w:keepLines w:val="0"/>
        <w:pageBreakBefore w:val="0"/>
        <w:widowControl/>
        <w:kinsoku/>
        <w:wordWrap/>
        <w:overflowPunct/>
        <w:topLinePunct w:val="0"/>
        <w:autoSpaceDE/>
        <w:autoSpaceDN/>
        <w:bidi w:val="0"/>
        <w:adjustRightInd/>
        <w:snapToGrid/>
        <w:spacing w:before="0" w:beforeAutospacing="0" w:after="120" w:afterAutospacing="0"/>
        <w:ind w:left="426"/>
        <w:textAlignment w:val="auto"/>
        <w:rPr>
          <w:rStyle w:val="381"/>
          <w:b w:val="0"/>
          <w:color w:val="auto"/>
          <w:sz w:val="22"/>
        </w:rPr>
      </w:pPr>
      <w:r>
        <w:rPr>
          <w:rFonts w:hint="default"/>
          <w:b/>
          <w:lang w:val="pt-BR"/>
        </w:rPr>
        <w:t>12</w:t>
      </w:r>
      <w:r>
        <w:rPr>
          <w:rStyle w:val="381"/>
          <w:color w:val="auto"/>
          <w:sz w:val="22"/>
        </w:rPr>
        <w:t>.7.</w:t>
      </w:r>
      <w:r>
        <w:rPr>
          <w:rStyle w:val="381"/>
          <w:rFonts w:hint="default"/>
          <w:color w:val="auto"/>
          <w:sz w:val="22"/>
          <w:lang w:val="pt-BR"/>
        </w:rPr>
        <w:t>3</w:t>
      </w:r>
      <w:r>
        <w:rPr>
          <w:rStyle w:val="381"/>
          <w:color w:val="auto"/>
          <w:sz w:val="22"/>
        </w:rPr>
        <w:t>.</w:t>
      </w:r>
      <w:r>
        <w:rPr>
          <w:rStyle w:val="381"/>
          <w:b w:val="0"/>
          <w:color w:val="auto"/>
          <w:sz w:val="22"/>
        </w:rPr>
        <w:t xml:space="preserve"> As empresas licitantes optantes pelo Simples Nacional deverão apresentar os percentuais de ISS, PIS e COFINS, discriminados na composição do BDI, compatíveis as alíquotas a que estão obrigadas a recolher, conforme previsão contida no Anexo IV da Lei Complementar nº 123/2006;</w:t>
      </w:r>
    </w:p>
    <w:p>
      <w:pPr>
        <w:pStyle w:val="349"/>
        <w:keepNext w:val="0"/>
        <w:keepLines w:val="0"/>
        <w:pageBreakBefore w:val="0"/>
        <w:widowControl/>
        <w:kinsoku/>
        <w:wordWrap/>
        <w:overflowPunct/>
        <w:topLinePunct w:val="0"/>
        <w:autoSpaceDE/>
        <w:autoSpaceDN/>
        <w:bidi w:val="0"/>
        <w:adjustRightInd/>
        <w:snapToGrid/>
        <w:spacing w:before="0" w:beforeAutospacing="0" w:after="120" w:afterAutospacing="0"/>
        <w:ind w:left="426"/>
        <w:textAlignment w:val="auto"/>
        <w:rPr>
          <w:rStyle w:val="381"/>
          <w:b w:val="0"/>
          <w:color w:val="auto"/>
          <w:sz w:val="22"/>
        </w:rPr>
      </w:pPr>
      <w:r>
        <w:rPr>
          <w:rFonts w:hint="default"/>
          <w:b/>
          <w:lang w:val="pt-BR"/>
        </w:rPr>
        <w:t>12</w:t>
      </w:r>
      <w:r>
        <w:rPr>
          <w:rStyle w:val="381"/>
          <w:color w:val="auto"/>
          <w:sz w:val="22"/>
        </w:rPr>
        <w:t>.7.</w:t>
      </w:r>
      <w:r>
        <w:rPr>
          <w:rStyle w:val="381"/>
          <w:rFonts w:hint="default"/>
          <w:color w:val="auto"/>
          <w:sz w:val="22"/>
          <w:lang w:val="pt-BR"/>
        </w:rPr>
        <w:t>4</w:t>
      </w:r>
      <w:r>
        <w:rPr>
          <w:rStyle w:val="381"/>
          <w:color w:val="auto"/>
          <w:sz w:val="22"/>
        </w:rPr>
        <w:t>.</w:t>
      </w:r>
      <w:r>
        <w:rPr>
          <w:rStyle w:val="381"/>
          <w:b w:val="0"/>
          <w:color w:val="auto"/>
          <w:sz w:val="22"/>
        </w:rPr>
        <w:t xml:space="preserve"> A composição de encargos sociais das empresas optantes pelo Simples Nacional não poderá incluir os gastos relativos às contribuições que estão dispensadas de recolhimento (SESI, SENAI, SEBRAE etc.), conforme dispões o art. 13, § 3º, da referida Lei Complementar;</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hint="default"/>
          <w:u w:val="single"/>
          <w:lang w:val="pt-BR"/>
        </w:rPr>
      </w:pPr>
      <w:r>
        <w:rPr>
          <w:rFonts w:hint="default"/>
          <w:b/>
          <w:lang w:val="pt-BR"/>
        </w:rPr>
        <w:t>12</w:t>
      </w:r>
      <w:r>
        <w:rPr>
          <w:b/>
        </w:rPr>
        <w:t>.8.</w:t>
      </w:r>
      <w:r>
        <w:t xml:space="preserve"> A Proposta, as Planilhas e o Cronograma deverão estar devidamente </w:t>
      </w:r>
      <w:r>
        <w:rPr>
          <w:u w:val="single"/>
        </w:rPr>
        <w:t xml:space="preserve">assinados pelo Responsável Técnico da licitante </w:t>
      </w:r>
      <w:r>
        <w:t>em todas as suas folhas</w:t>
      </w:r>
      <w:r>
        <w:rPr>
          <w:rFonts w:hint="default"/>
          <w:lang w:val="pt-BR"/>
        </w:rPr>
        <w:t>;</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u w:val="single"/>
        </w:rPr>
      </w:pPr>
      <w:r>
        <w:rPr>
          <w:rFonts w:hint="default"/>
          <w:b/>
          <w:lang w:val="pt-BR"/>
        </w:rPr>
        <w:t>12</w:t>
      </w:r>
      <w:r>
        <w:rPr>
          <w:b/>
        </w:rPr>
        <w:t>.9.</w:t>
      </w:r>
      <w:r>
        <w:t xml:space="preserve"> Cronograma Financeiro que demonstra as condições de pagamento proposto por esta Prefeitura que será conforme medição e de acordo com a apresentação das respectivas notas fiscais e demais aspectos fixados pela Administração no Projeto Básico, ajustado à proposta apresentada, com a indicação do Responsável Técnico e nº de Registro no Conselho competente </w:t>
      </w:r>
      <w:r>
        <w:rPr>
          <w:u w:val="single"/>
        </w:rPr>
        <w:t>em todas suas folhas,</w:t>
      </w:r>
      <w:r>
        <w:t xml:space="preserve"> conforme </w:t>
      </w:r>
      <w:r>
        <w:rPr>
          <w:rFonts w:hint="default"/>
          <w:b/>
          <w:bCs w:val="0"/>
          <w:lang w:val="pt-BR"/>
        </w:rPr>
        <w:t xml:space="preserve">Anexo </w:t>
      </w:r>
      <w:r>
        <w:rPr>
          <w:b/>
          <w:bCs w:val="0"/>
        </w:rPr>
        <w:t>III</w:t>
      </w:r>
      <w:r>
        <w:t>;</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.10.</w:t>
      </w:r>
      <w:r>
        <w:t xml:space="preserve"> Serão desclassificadas as propostas que não atenderem às especificações e exigências do presente Edital e seus Anexos ou que apresentem omissões, irregularidades ou defeitos capazes de dificultar o julgamento;</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rStyle w:val="381"/>
          <w:b/>
          <w:color w:val="auto"/>
          <w:sz w:val="22"/>
        </w:rPr>
        <w:t>.11.</w:t>
      </w:r>
      <w:r>
        <w:rPr>
          <w:rStyle w:val="381"/>
          <w:color w:val="auto"/>
          <w:sz w:val="22"/>
        </w:rPr>
        <w:t xml:space="preserve"> Erros no preenchimento da planilha não constituem motivo para a desclassificação da proposta. A planilha poderá ser ajustada pelo licitante, no prazo indicado pela Comissão, desde que não haja majoração do preço proposto;</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.12</w:t>
      </w:r>
      <w:r>
        <w:t xml:space="preserve">. </w:t>
      </w:r>
      <w:r>
        <w:rPr>
          <w:rFonts w:hint="default"/>
          <w:lang w:val="pt-BR"/>
        </w:rPr>
        <w:t>Após a</w:t>
      </w:r>
      <w:r>
        <w:t xml:space="preserve"> apresentação da proposta</w:t>
      </w:r>
      <w:r>
        <w:rPr>
          <w:rFonts w:hint="default"/>
          <w:lang w:val="pt-BR"/>
        </w:rPr>
        <w:t xml:space="preserve">, as licitantes </w:t>
      </w:r>
      <w:r>
        <w:t xml:space="preserve">não poderão alegar que o valor ofertado </w:t>
      </w:r>
      <w:r>
        <w:rPr>
          <w:rFonts w:hint="default"/>
          <w:lang w:val="pt-BR"/>
        </w:rPr>
        <w:t>é</w:t>
      </w:r>
      <w:r>
        <w:rPr>
          <w:i w:val="0"/>
          <w:iCs/>
        </w:rPr>
        <w:t xml:space="preserve"> inexequível ou </w:t>
      </w:r>
      <w:r>
        <w:rPr>
          <w:rFonts w:hint="default"/>
          <w:i w:val="0"/>
          <w:iCs/>
          <w:lang w:val="pt-BR"/>
        </w:rPr>
        <w:t xml:space="preserve">de que a </w:t>
      </w:r>
      <w:r>
        <w:rPr>
          <w:i w:val="0"/>
          <w:iCs/>
        </w:rPr>
        <w:t>cotação</w:t>
      </w:r>
      <w:r>
        <w:rPr>
          <w:rFonts w:hint="default"/>
          <w:i w:val="0"/>
          <w:iCs/>
          <w:lang w:val="pt-BR"/>
        </w:rPr>
        <w:t xml:space="preserve"> está</w:t>
      </w:r>
      <w:r>
        <w:rPr>
          <w:i w:val="0"/>
          <w:iCs/>
        </w:rPr>
        <w:t xml:space="preserve"> incorreta</w:t>
      </w:r>
      <w:r>
        <w:rPr>
          <w:rFonts w:hint="default"/>
          <w:i w:val="0"/>
          <w:iCs/>
          <w:lang w:val="pt-BR"/>
        </w:rPr>
        <w:t>,</w:t>
      </w:r>
      <w:r>
        <w:rPr>
          <w:i w:val="0"/>
          <w:iCs/>
        </w:rPr>
        <w:t xml:space="preserve"> </w:t>
      </w:r>
      <w:r>
        <w:rPr>
          <w:rFonts w:hint="default"/>
          <w:i w:val="0"/>
          <w:iCs/>
          <w:lang w:val="pt-BR"/>
        </w:rPr>
        <w:t>bem como a licitante vencedora</w:t>
      </w:r>
      <w:r>
        <w:rPr>
          <w:i w:val="0"/>
          <w:iCs/>
        </w:rPr>
        <w:t xml:space="preserve"> dever</w:t>
      </w:r>
      <w:r>
        <w:rPr>
          <w:rFonts w:hint="default"/>
          <w:i w:val="0"/>
          <w:iCs/>
          <w:lang w:val="pt-BR"/>
        </w:rPr>
        <w:t>á</w:t>
      </w:r>
      <w:r>
        <w:rPr>
          <w:i w:val="0"/>
          <w:iCs/>
        </w:rPr>
        <w:t xml:space="preserve"> prestar os </w:t>
      </w:r>
      <w:r>
        <w:t>serviços sem ônus adicionais;</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.13.</w:t>
      </w:r>
      <w:r>
        <w:t xml:space="preserve"> Nos casos em que a</w:t>
      </w:r>
      <w:r>
        <w:rPr>
          <w:rFonts w:hint="default"/>
          <w:lang w:val="pt-BR"/>
        </w:rPr>
        <w:t xml:space="preserve"> licitante se negar</w:t>
      </w:r>
      <w:r>
        <w:t xml:space="preserve"> a prestar os serviços, </w:t>
      </w:r>
      <w:r>
        <w:rPr>
          <w:rFonts w:hint="default"/>
          <w:lang w:val="pt-BR"/>
        </w:rPr>
        <w:t>esta ficará</w:t>
      </w:r>
      <w:r>
        <w:t xml:space="preserve"> sujeita à </w:t>
      </w:r>
      <w:r>
        <w:rPr>
          <w:rFonts w:hint="default"/>
          <w:lang w:val="pt-BR"/>
        </w:rPr>
        <w:t xml:space="preserve">aplicação de </w:t>
      </w:r>
      <w:r>
        <w:t>sanções administrativas previstas neste edital</w:t>
      </w:r>
      <w:r>
        <w:rPr>
          <w:rFonts w:hint="default"/>
          <w:lang w:val="pt-BR"/>
        </w:rPr>
        <w:t xml:space="preserve"> e na legislação aplicável</w:t>
      </w:r>
      <w:r>
        <w:t>;</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.14.</w:t>
      </w:r>
      <w:r>
        <w:t xml:space="preserve"> A apresentação da proposta implicará na plena aceitação, por parte da licitante, das condições estabelecidas neste Edital e seus Anexos;</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.15.</w:t>
      </w:r>
      <w:r>
        <w:t xml:space="preserve"> Em nenhuma hipótese poderá ser alterado o conteúdo da proposta apresentada, sejam com relação a preço, pagamento, prazo ou qualquer condição que importe a modificação dos termos originais, ressalvadas apenas aqueles destinados a sanar evidentes erros formais, alterações essas que serão avaliadas pela autoridade competente</w:t>
      </w:r>
      <w:r>
        <w:rPr>
          <w:rFonts w:hint="default"/>
          <w:lang w:val="pt-BR"/>
        </w:rPr>
        <w:t>, ressalvada a hipótese de benefício concedido à LC 123/06 quanto ao preço</w:t>
      </w:r>
      <w:r>
        <w:t>;</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.16.</w:t>
      </w:r>
      <w:r>
        <w:t xml:space="preserve"> O Presidente de Comissão considerará erros formais de somatórios e outros aspectos que beneficiem a Administração Pública e não impliquem nulidade do procedimento, como sendo exigências formais e consequentemente classificará a empresa;</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.17.</w:t>
      </w:r>
      <w:r>
        <w:t xml:space="preserve"> Independente de declaração expressa, a simples apresentação da proposta implica submissão a todas as condições estipuladas nesta licitação e seus anexos;</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.18.</w:t>
      </w:r>
      <w:r>
        <w:t xml:space="preserve"> Se a proposta não estiver completa e correta ou contrariar qualquer dispositivo deste Edital e seus Anexos, o(a) Presidente de Comissão considerará a proponente desclassificada;</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12</w:t>
      </w:r>
      <w:r>
        <w:rPr>
          <w:b/>
        </w:rPr>
        <w:t>.19.</w:t>
      </w:r>
      <w:r>
        <w:t xml:space="preserve"> A sessão pública poderá ser suspensa, por prazo a ser definido na própria sessão,</w:t>
      </w:r>
      <w:r>
        <w:rPr>
          <w:rFonts w:hint="default"/>
          <w:lang w:val="pt-BR"/>
        </w:rPr>
        <w:t xml:space="preserve"> pelo Presidente da CPL</w:t>
      </w:r>
      <w:r>
        <w:t xml:space="preserve">. </w:t>
      </w:r>
    </w:p>
    <w:p>
      <w:pPr>
        <w:pStyle w:val="145"/>
        <w:keepNext w:val="0"/>
        <w:keepLines w:val="0"/>
        <w:pageBreakBefore w:val="0"/>
        <w:widowControl/>
        <w:kinsoku/>
        <w:wordWrap/>
        <w:overflowPunct/>
        <w:topLinePunct w:val="0"/>
        <w:autoSpaceDE/>
        <w:autoSpaceDN/>
        <w:bidi w:val="0"/>
        <w:adjustRightInd/>
        <w:snapToGrid/>
        <w:spacing w:before="0"/>
        <w:textAlignment w:val="auto"/>
      </w:pPr>
      <w:bookmarkStart w:id="22" w:name="_Toc514666339"/>
      <w:r>
        <w:rPr>
          <w:rFonts w:hint="default"/>
          <w:lang w:val="pt-BR"/>
        </w:rPr>
        <w:t xml:space="preserve"> </w:t>
      </w:r>
      <w:r>
        <w:t>DA VISITA TÉCNICA</w:t>
      </w:r>
      <w:bookmarkEnd w:id="22"/>
      <w:r>
        <w:t xml:space="preserve"> </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b/>
        </w:rPr>
        <w:t>1</w:t>
      </w:r>
      <w:r>
        <w:rPr>
          <w:rFonts w:hint="default"/>
          <w:b/>
          <w:lang w:val="pt-BR"/>
        </w:rPr>
        <w:t>3</w:t>
      </w:r>
      <w:r>
        <w:rPr>
          <w:b/>
        </w:rPr>
        <w:t>.1.</w:t>
      </w:r>
      <w:r>
        <w:t xml:space="preserve"> As empresas interessadas em participar da licitação poderão visitar o local onde ser</w:t>
      </w:r>
      <w:r>
        <w:rPr>
          <w:rFonts w:hint="default"/>
          <w:lang w:val="pt-BR"/>
        </w:rPr>
        <w:t>á</w:t>
      </w:r>
      <w:r>
        <w:t xml:space="preserve"> executado os serviços, objetivando a obtenção do Atestado de Vistoria do local. As datas e horários das vistorias poderão ser agendados com o servidor responsável </w:t>
      </w:r>
      <w:r>
        <w:rPr>
          <w:rFonts w:hint="default"/>
          <w:lang w:val="pt-BR"/>
        </w:rPr>
        <w:t>através do Setor de Engenharia pel</w:t>
      </w:r>
      <w:r>
        <w:t>o Tel (66) 3498-3333 Ramal 21</w:t>
      </w:r>
      <w:r>
        <w:rPr>
          <w:rFonts w:hint="default"/>
          <w:lang w:val="pt-BR"/>
        </w:rPr>
        <w:t>5</w:t>
      </w:r>
      <w:r>
        <w:t xml:space="preserve"> das 07:00h</w:t>
      </w:r>
      <w:r>
        <w:rPr>
          <w:rFonts w:hint="default"/>
          <w:lang w:val="pt-BR"/>
        </w:rPr>
        <w:t xml:space="preserve"> </w:t>
      </w:r>
      <w:r>
        <w:t>ás 1</w:t>
      </w:r>
      <w:r>
        <w:rPr>
          <w:rFonts w:hint="default"/>
          <w:lang w:val="pt-BR"/>
        </w:rPr>
        <w:t>3</w:t>
      </w:r>
      <w:r>
        <w:t xml:space="preserve">:00h; </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b/>
          <w:bCs w:val="0"/>
        </w:rPr>
      </w:pPr>
      <w:r>
        <w:rPr>
          <w:b/>
        </w:rPr>
        <w:t>1</w:t>
      </w:r>
      <w:r>
        <w:rPr>
          <w:rFonts w:hint="default"/>
          <w:b/>
          <w:lang w:val="pt-BR"/>
        </w:rPr>
        <w:t>3</w:t>
      </w:r>
      <w:r>
        <w:rPr>
          <w:b/>
        </w:rPr>
        <w:t>.2.</w:t>
      </w:r>
      <w:r>
        <w:t xml:space="preserve"> O prazo para vistoria iniciar-se-á no dia útil seguinte ao da publicação do Edital, estendendo-se até o dia 3º dia útil anterior à data prevista para abertura dos envelopes,</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highlight w:val="none"/>
        </w:rPr>
      </w:pPr>
      <w:r>
        <w:rPr>
          <w:b/>
          <w:highlight w:val="none"/>
        </w:rPr>
        <w:t>1</w:t>
      </w:r>
      <w:r>
        <w:rPr>
          <w:rFonts w:hint="default"/>
          <w:b/>
          <w:highlight w:val="none"/>
          <w:lang w:val="pt-BR"/>
        </w:rPr>
        <w:t>3</w:t>
      </w:r>
      <w:r>
        <w:rPr>
          <w:b/>
          <w:highlight w:val="none"/>
        </w:rPr>
        <w:t>.3.</w:t>
      </w:r>
      <w:r>
        <w:rPr>
          <w:highlight w:val="none"/>
        </w:rPr>
        <w:t xml:space="preserve"> Os Atestados de Vistoria serão entregues aos licitantes assim que concluída a vistoria podendo ser utilizado o modelo do ANEXO IX;</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b/>
        </w:rPr>
        <w:t>1</w:t>
      </w:r>
      <w:r>
        <w:rPr>
          <w:rFonts w:hint="default"/>
          <w:b/>
          <w:lang w:val="pt-BR"/>
        </w:rPr>
        <w:t>3</w:t>
      </w:r>
      <w:r>
        <w:rPr>
          <w:b/>
        </w:rPr>
        <w:t>.4.</w:t>
      </w:r>
      <w:r>
        <w:t xml:space="preserve"> Para a vistoria o licitante, ou o seu representante legal, deverá estar devidamente identificado, apresentando documento de identidade civil e documento expedido pela empresa comprovando sua habilitação para a realização da vistoria; </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b/>
        </w:rPr>
        <w:t>1</w:t>
      </w:r>
      <w:r>
        <w:rPr>
          <w:rFonts w:hint="default"/>
          <w:b/>
          <w:lang w:val="pt-BR"/>
        </w:rPr>
        <w:t>3</w:t>
      </w:r>
      <w:r>
        <w:rPr>
          <w:b/>
        </w:rPr>
        <w:t>.5.</w:t>
      </w:r>
      <w:r>
        <w:t xml:space="preserve"> Caso a empresa optar por não realizar a visita técnica, a mesma deverá apresentar em substituição ao atestado de vistoria uma DECLARAÇÃO formal, assinada pelo responsável técnico que fará parte da Documentação de HABILITAÇÃO, de que conhece todo </w:t>
      </w:r>
      <w:r>
        <w:rPr>
          <w:rFonts w:hint="default"/>
          <w:lang w:val="pt-BR"/>
        </w:rPr>
        <w:t>termo de referência</w:t>
      </w:r>
      <w:r>
        <w:t xml:space="preserve"> e a área</w:t>
      </w:r>
      <w:r>
        <w:rPr>
          <w:rFonts w:hint="default"/>
          <w:lang w:val="pt-BR"/>
        </w:rPr>
        <w:t xml:space="preserve"> do projeto</w:t>
      </w:r>
      <w:r>
        <w:t xml:space="preserve"> deste certame e no caso de ser declarada vencedora, que tem totais condições de realizar/executar </w:t>
      </w:r>
      <w:r>
        <w:rPr>
          <w:rFonts w:hint="default"/>
          <w:lang w:val="pt-BR"/>
        </w:rPr>
        <w:t>o projeto</w:t>
      </w:r>
      <w:r>
        <w:t>/serviço desta licitação sem prejuízo na efetiva execução dos serviços, e que não utilizará deste para quaisquer questionamentos futuros que ensejem avenças técnicas ou financeiras com a PREFEITURA. Não podendo alegar a posteriori, desconhecimento de qualquer fato relativo às condições dos locais d</w:t>
      </w:r>
      <w:r>
        <w:rPr>
          <w:rFonts w:hint="default"/>
          <w:lang w:val="pt-BR"/>
        </w:rPr>
        <w:t>o projeto</w:t>
      </w:r>
      <w:r>
        <w:t>, podendo incorrer em sanções administrativas previstas neste Edital em consonância com a Lei 8.666/93, podendo ser utilizado o modelo do</w:t>
      </w:r>
      <w:r>
        <w:rPr>
          <w:highlight w:val="none"/>
        </w:rPr>
        <w:t xml:space="preserve"> ANEXO X;</w:t>
      </w:r>
    </w:p>
    <w:p>
      <w:pPr>
        <w:pStyle w:val="145"/>
        <w:keepNext w:val="0"/>
        <w:keepLines w:val="0"/>
        <w:pageBreakBefore w:val="0"/>
        <w:widowControl/>
        <w:kinsoku/>
        <w:wordWrap/>
        <w:overflowPunct/>
        <w:topLinePunct w:val="0"/>
        <w:autoSpaceDE/>
        <w:autoSpaceDN/>
        <w:bidi w:val="0"/>
        <w:adjustRightInd/>
        <w:snapToGrid/>
        <w:spacing w:before="0"/>
        <w:textAlignment w:val="auto"/>
      </w:pPr>
      <w:bookmarkStart w:id="23" w:name="_Toc514666340"/>
      <w:bookmarkStart w:id="24" w:name="_Toc487720517"/>
      <w:r>
        <w:rPr>
          <w:rFonts w:hint="default"/>
          <w:lang w:val="pt-BR"/>
        </w:rPr>
        <w:t xml:space="preserve"> </w:t>
      </w:r>
      <w:r>
        <w:t>DO PROCEDIMENTO</w:t>
      </w:r>
      <w:bookmarkEnd w:id="23"/>
      <w:bookmarkEnd w:id="24"/>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rFonts w:hint="default"/>
          <w:b/>
          <w:lang w:val="pt-BR"/>
        </w:rPr>
        <w:t>14</w:t>
      </w:r>
      <w:r>
        <w:rPr>
          <w:b/>
        </w:rPr>
        <w:t>.1.</w:t>
      </w:r>
      <w:r>
        <w:t xml:space="preserve"> Os envelopes contendo a “Documentação de Habilitação” </w:t>
      </w:r>
      <w:r>
        <w:rPr>
          <w:rFonts w:hint="default"/>
          <w:lang w:val="pt-BR"/>
        </w:rPr>
        <w:t xml:space="preserve">“Proposta Técnica” </w:t>
      </w:r>
      <w:r>
        <w:t>e “Proposta de Preços” serão recebidos no dia, hora e local indicado neste Edital, sendo que após a hora marcada nenhum envelope será recebido pela Comissão</w:t>
      </w:r>
      <w:r>
        <w:rPr>
          <w:rFonts w:hint="default"/>
          <w:lang w:val="pt-BR"/>
        </w:rPr>
        <w:t>,</w:t>
      </w:r>
      <w:r>
        <w:t xml:space="preserve"> tampouco serão permitidos quaisquer adendos ou esclarecimentos relativos à documentação ou proposta de preços apresentadas, devendo neste caso a ocorrência ficar consignada em Ata;</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rFonts w:hint="default"/>
          <w:b/>
          <w:lang w:val="pt-BR"/>
        </w:rPr>
        <w:t>14</w:t>
      </w:r>
      <w:r>
        <w:rPr>
          <w:b/>
        </w:rPr>
        <w:t>.2.</w:t>
      </w:r>
      <w:r>
        <w:t xml:space="preserve"> A abertura dos envelopes, contendo a “Documentação para Habilitação”</w:t>
      </w:r>
      <w:r>
        <w:rPr>
          <w:rFonts w:hint="default"/>
          <w:lang w:val="pt-BR"/>
        </w:rPr>
        <w:t>,</w:t>
      </w:r>
      <w:r>
        <w:t xml:space="preserve"> “Proposta de Preços”</w:t>
      </w:r>
      <w:r>
        <w:rPr>
          <w:rFonts w:hint="default"/>
          <w:lang w:val="pt-BR"/>
        </w:rPr>
        <w:t xml:space="preserve"> </w:t>
      </w:r>
      <w:r>
        <w:t>e as “Propostas de Preços” serão verificadas sempre em ato público previamente designado, do qual se lavrará Ata Circunstanciada assinada pel</w:t>
      </w:r>
      <w:r>
        <w:rPr>
          <w:rFonts w:hint="default"/>
          <w:lang w:val="pt-BR"/>
        </w:rPr>
        <w:t>a</w:t>
      </w:r>
      <w:r>
        <w:t>s licitantes presentes e a Comissão;</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rFonts w:hint="default"/>
          <w:b/>
          <w:lang w:val="pt-BR"/>
        </w:rPr>
        <w:t>14</w:t>
      </w:r>
      <w:r>
        <w:rPr>
          <w:b/>
        </w:rPr>
        <w:t>.3.</w:t>
      </w:r>
      <w:r>
        <w:t xml:space="preserve"> Os atos públicos </w:t>
      </w:r>
      <w:r>
        <w:rPr>
          <w:u w:val="single"/>
        </w:rPr>
        <w:t>poderão ser assistidos por qualquer pessoa</w:t>
      </w:r>
      <w:r>
        <w:t xml:space="preserve">, mas somente deles participarão ativamente os licitantes ou representantes credenciados, não sendo permitida a intercomunicação entre eles, nem </w:t>
      </w:r>
      <w:r>
        <w:rPr>
          <w:u w:val="single"/>
        </w:rPr>
        <w:t>atitudes desrespeitosas ou que causem tumultos e perturbem o bom andamento dos trabalhos;</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rFonts w:hint="default"/>
          <w:b/>
          <w:lang w:val="pt-BR"/>
        </w:rPr>
        <w:t>14</w:t>
      </w:r>
      <w:r>
        <w:rPr>
          <w:b/>
        </w:rPr>
        <w:t>.4.</w:t>
      </w:r>
      <w:r>
        <w:t xml:space="preserve"> A seguir, serão identificados os licitantes e proceder-se-á à abertura dos Envelopes nº 01 - Documentos de Habilitação;</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rFonts w:hint="default"/>
          <w:b/>
          <w:lang w:val="pt-BR"/>
        </w:rPr>
        <w:t>14</w:t>
      </w:r>
      <w:r>
        <w:rPr>
          <w:b/>
        </w:rPr>
        <w:t>.5.</w:t>
      </w:r>
      <w:r>
        <w:t xml:space="preserve"> </w:t>
      </w:r>
      <w:r>
        <w:rPr>
          <w:rFonts w:hint="default"/>
          <w:lang w:val="pt-BR"/>
        </w:rPr>
        <w:t>O</w:t>
      </w:r>
      <w:r>
        <w:t xml:space="preserve"> Presidente da Comissão submeterá todos os envelopes à rubrica dos presentes, a seguir fará a abertura </w:t>
      </w:r>
      <w:r>
        <w:rPr>
          <w:u w:val="none"/>
        </w:rPr>
        <w:t>do Envelope N</w:t>
      </w:r>
      <w:r>
        <w:rPr>
          <w:u w:val="none"/>
          <w:vertAlign w:val="superscript"/>
        </w:rPr>
        <w:t>o</w:t>
      </w:r>
      <w:r>
        <w:rPr>
          <w:u w:val="none"/>
        </w:rPr>
        <w:t xml:space="preserve"> 01 – “Documentação de Habilitação”</w:t>
      </w:r>
      <w:r>
        <w:rPr>
          <w:rFonts w:hint="default"/>
          <w:u w:val="none"/>
          <w:lang w:val="pt-BR"/>
        </w:rPr>
        <w:t>;</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rFonts w:hint="default"/>
          <w:b/>
          <w:lang w:val="pt-BR"/>
        </w:rPr>
        <w:t>14</w:t>
      </w:r>
      <w:r>
        <w:rPr>
          <w:b/>
        </w:rPr>
        <w:t>.6.</w:t>
      </w:r>
      <w:r>
        <w:t xml:space="preserve"> O exame </w:t>
      </w:r>
      <w:r>
        <w:rPr>
          <w:u w:val="none"/>
        </w:rPr>
        <w:t xml:space="preserve">da “Documentação de Habilitação” sempre que possível, será realizado na sessão de abertura pela Comissão </w:t>
      </w:r>
      <w:r>
        <w:rPr>
          <w:rFonts w:hint="default"/>
          <w:u w:val="none"/>
          <w:lang w:val="pt-BR"/>
        </w:rPr>
        <w:t>Permanente de Lic</w:t>
      </w:r>
      <w:r>
        <w:rPr>
          <w:rFonts w:hint="default"/>
          <w:lang w:val="pt-BR"/>
        </w:rPr>
        <w:t>itações</w:t>
      </w:r>
      <w:r>
        <w:t>. Estando todos os prepostos das licitantes presentes, o resultado do julgamento da habilitação será por comunicação direta, caso contrário</w:t>
      </w:r>
      <w:r>
        <w:rPr>
          <w:rFonts w:hint="default"/>
          <w:lang w:val="pt-BR"/>
        </w:rPr>
        <w:t xml:space="preserve"> a comunicação será feita através dos meios eletrônicos</w:t>
      </w:r>
      <w:r>
        <w:t>;</w:t>
      </w:r>
    </w:p>
    <w:p>
      <w:pPr>
        <w:pStyle w:val="373"/>
        <w:keepNext w:val="0"/>
        <w:keepLines w:val="0"/>
        <w:pageBreakBefore w:val="0"/>
        <w:widowControl w:val="0"/>
        <w:numPr>
          <w:ilvl w:val="1"/>
          <w:numId w:val="0"/>
        </w:numPr>
        <w:tabs>
          <w:tab w:val="left" w:pos="0"/>
          <w:tab w:val="left" w:pos="426"/>
          <w:tab w:val="left" w:pos="567"/>
          <w:tab w:val="left" w:pos="709"/>
          <w:tab w:val="left" w:pos="851"/>
          <w:tab w:val="left" w:pos="1985"/>
          <w:tab w:val="left" w:pos="2552"/>
          <w:tab w:val="left" w:pos="3402"/>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14.7.</w:t>
      </w:r>
      <w:r>
        <w:rPr>
          <w:rFonts w:hint="default" w:ascii="Arial" w:hAnsi="Arial" w:cs="Arial"/>
          <w:sz w:val="22"/>
          <w:szCs w:val="22"/>
          <w:lang w:val="pt-BR"/>
        </w:rPr>
        <w:t xml:space="preserve"> </w:t>
      </w:r>
      <w:r>
        <w:rPr>
          <w:rFonts w:ascii="Arial" w:hAnsi="Arial" w:cs="Arial"/>
          <w:sz w:val="22"/>
          <w:szCs w:val="22"/>
        </w:rPr>
        <w:t>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w:t>
      </w:r>
    </w:p>
    <w:p>
      <w:pPr>
        <w:pStyle w:val="375"/>
        <w:keepNext w:val="0"/>
        <w:keepLines w:val="0"/>
        <w:pageBreakBefore w:val="0"/>
        <w:widowControl w:val="0"/>
        <w:numPr>
          <w:ilvl w:val="2"/>
          <w:numId w:val="0"/>
        </w:numPr>
        <w:tabs>
          <w:tab w:val="left" w:pos="0"/>
          <w:tab w:val="left" w:pos="426"/>
          <w:tab w:val="left" w:pos="567"/>
          <w:tab w:val="left" w:pos="851"/>
          <w:tab w:val="left" w:pos="993"/>
          <w:tab w:val="left" w:pos="1276"/>
          <w:tab w:val="left" w:pos="1985"/>
          <w:tab w:val="left" w:pos="2552"/>
          <w:tab w:val="left" w:pos="3402"/>
        </w:tabs>
        <w:kinsoku/>
        <w:wordWrap/>
        <w:overflowPunct/>
        <w:topLinePunct w:val="0"/>
        <w:autoSpaceDE/>
        <w:autoSpaceDN/>
        <w:bidi w:val="0"/>
        <w:adjustRightInd/>
        <w:snapToGrid/>
        <w:spacing w:before="0" w:beforeAutospacing="0" w:after="120" w:afterAutospacing="0" w:line="240" w:lineRule="auto"/>
        <w:ind w:left="567" w:leftChars="0"/>
        <w:textAlignment w:val="auto"/>
        <w:rPr>
          <w:rFonts w:ascii="Arial" w:hAnsi="Arial" w:cs="Arial"/>
          <w:sz w:val="22"/>
          <w:szCs w:val="22"/>
        </w:rPr>
      </w:pPr>
      <w:r>
        <w:rPr>
          <w:rFonts w:hint="default" w:ascii="Arial" w:hAnsi="Arial" w:cs="Arial"/>
          <w:b/>
          <w:bCs/>
          <w:sz w:val="22"/>
          <w:szCs w:val="22"/>
          <w:lang w:val="pt-BR"/>
        </w:rPr>
        <w:t>14.7.1.</w:t>
      </w:r>
      <w:r>
        <w:rPr>
          <w:rFonts w:hint="default" w:ascii="Arial" w:hAnsi="Arial" w:cs="Arial"/>
          <w:sz w:val="22"/>
          <w:szCs w:val="22"/>
          <w:lang w:val="pt-BR"/>
        </w:rPr>
        <w:t xml:space="preserve"> </w:t>
      </w:r>
      <w:r>
        <w:rPr>
          <w:rFonts w:ascii="Arial" w:hAnsi="Arial" w:cs="Arial"/>
          <w:sz w:val="22"/>
          <w:szCs w:val="22"/>
        </w:rPr>
        <w:t>Cadastro Nacional de Empresas Inidôneas e Suspensas - CEIS, mantido pela Controladoria Geral da União (</w:t>
      </w:r>
      <w:r>
        <w:fldChar w:fldCharType="begin"/>
      </w:r>
      <w:r>
        <w:instrText xml:space="preserve"> HYPERLINK "http://www.portaldatransparencia.gov.br/ceis" </w:instrText>
      </w:r>
      <w:r>
        <w:fldChar w:fldCharType="separate"/>
      </w:r>
      <w:r>
        <w:rPr>
          <w:rStyle w:val="17"/>
          <w:rFonts w:ascii="Arial" w:hAnsi="Arial" w:cs="Arial"/>
          <w:sz w:val="22"/>
          <w:szCs w:val="22"/>
        </w:rPr>
        <w:t>www.portaldatransparencia.gov.br/ceis</w:t>
      </w:r>
      <w:r>
        <w:rPr>
          <w:rStyle w:val="17"/>
          <w:rFonts w:ascii="Arial" w:hAnsi="Arial" w:cs="Arial"/>
          <w:sz w:val="22"/>
          <w:szCs w:val="22"/>
        </w:rPr>
        <w:fldChar w:fldCharType="end"/>
      </w:r>
      <w:r>
        <w:rPr>
          <w:rFonts w:ascii="Arial" w:hAnsi="Arial" w:cs="Arial"/>
          <w:sz w:val="22"/>
          <w:szCs w:val="22"/>
        </w:rPr>
        <w:t>);</w:t>
      </w:r>
    </w:p>
    <w:p>
      <w:pPr>
        <w:pStyle w:val="375"/>
        <w:keepNext w:val="0"/>
        <w:keepLines w:val="0"/>
        <w:pageBreakBefore w:val="0"/>
        <w:widowControl w:val="0"/>
        <w:numPr>
          <w:ilvl w:val="2"/>
          <w:numId w:val="0"/>
        </w:numPr>
        <w:tabs>
          <w:tab w:val="left" w:pos="0"/>
          <w:tab w:val="left" w:pos="426"/>
          <w:tab w:val="left" w:pos="567"/>
          <w:tab w:val="left" w:pos="851"/>
          <w:tab w:val="left" w:pos="993"/>
          <w:tab w:val="left" w:pos="1276"/>
          <w:tab w:val="left" w:pos="1985"/>
          <w:tab w:val="left" w:pos="2552"/>
          <w:tab w:val="left" w:pos="3402"/>
        </w:tabs>
        <w:kinsoku/>
        <w:wordWrap/>
        <w:overflowPunct/>
        <w:topLinePunct w:val="0"/>
        <w:autoSpaceDE/>
        <w:autoSpaceDN/>
        <w:bidi w:val="0"/>
        <w:adjustRightInd/>
        <w:snapToGrid/>
        <w:spacing w:before="0" w:beforeAutospacing="0" w:after="120" w:afterAutospacing="0" w:line="240" w:lineRule="auto"/>
        <w:ind w:left="567" w:leftChars="0"/>
        <w:textAlignment w:val="auto"/>
        <w:rPr>
          <w:rFonts w:hint="default" w:ascii="Arial" w:hAnsi="Arial" w:cs="Arial"/>
          <w:sz w:val="22"/>
          <w:szCs w:val="22"/>
          <w:lang w:val="pt-BR"/>
        </w:rPr>
      </w:pPr>
      <w:r>
        <w:rPr>
          <w:rFonts w:hint="default" w:ascii="Arial" w:hAnsi="Arial" w:cs="Arial"/>
          <w:b/>
          <w:bCs/>
          <w:sz w:val="22"/>
          <w:szCs w:val="22"/>
          <w:lang w:val="pt-BR"/>
        </w:rPr>
        <w:t>13.7.2.</w:t>
      </w:r>
      <w:r>
        <w:rPr>
          <w:rFonts w:hint="default" w:ascii="Arial" w:hAnsi="Arial" w:cs="Arial"/>
          <w:sz w:val="22"/>
          <w:szCs w:val="22"/>
          <w:lang w:val="pt-BR"/>
        </w:rPr>
        <w:t xml:space="preserve"> </w:t>
      </w:r>
      <w:r>
        <w:rPr>
          <w:rFonts w:ascii="Arial" w:hAnsi="Arial" w:cs="Arial"/>
          <w:sz w:val="22"/>
          <w:szCs w:val="22"/>
        </w:rPr>
        <w:t>Cadastro Nacional de Condenações Cíveis por Atos de Improbidade Administrativa, mantido pelo Conselho Nacional de Justiça (</w:t>
      </w:r>
      <w:r>
        <w:fldChar w:fldCharType="begin"/>
      </w:r>
      <w:r>
        <w:instrText xml:space="preserve"> HYPERLINK "http://www.cnj.jus.br/improbidade_adm/consultar_requerido.php" </w:instrText>
      </w:r>
      <w:r>
        <w:fldChar w:fldCharType="separate"/>
      </w:r>
      <w:r>
        <w:rPr>
          <w:rStyle w:val="17"/>
          <w:rFonts w:ascii="Arial" w:hAnsi="Arial" w:cs="Arial"/>
          <w:sz w:val="22"/>
          <w:szCs w:val="22"/>
        </w:rPr>
        <w:t>www.cnj.jus.br/improbidade_adm/consultar_requerido.php</w:t>
      </w:r>
      <w:r>
        <w:rPr>
          <w:rStyle w:val="17"/>
          <w:rFonts w:ascii="Arial" w:hAnsi="Arial" w:cs="Arial"/>
          <w:sz w:val="22"/>
          <w:szCs w:val="22"/>
        </w:rPr>
        <w:fldChar w:fldCharType="end"/>
      </w:r>
      <w:r>
        <w:rPr>
          <w:rFonts w:ascii="Arial" w:hAnsi="Arial" w:cs="Arial"/>
          <w:sz w:val="22"/>
          <w:szCs w:val="22"/>
        </w:rPr>
        <w:t>)</w:t>
      </w:r>
      <w:r>
        <w:rPr>
          <w:rFonts w:hint="default" w:ascii="Arial" w:hAnsi="Arial" w:cs="Arial"/>
          <w:sz w:val="22"/>
          <w:szCs w:val="22"/>
          <w:lang w:val="pt-BR"/>
        </w:rPr>
        <w:t>.</w:t>
      </w:r>
    </w:p>
    <w:p>
      <w:pPr>
        <w:pStyle w:val="373"/>
        <w:keepNext w:val="0"/>
        <w:keepLines w:val="0"/>
        <w:pageBreakBefore w:val="0"/>
        <w:widowControl w:val="0"/>
        <w:numPr>
          <w:ilvl w:val="1"/>
          <w:numId w:val="0"/>
        </w:numPr>
        <w:tabs>
          <w:tab w:val="left" w:pos="0"/>
          <w:tab w:val="left" w:pos="426"/>
          <w:tab w:val="left" w:pos="567"/>
          <w:tab w:val="left" w:pos="851"/>
          <w:tab w:val="left" w:pos="1985"/>
          <w:tab w:val="left" w:pos="2552"/>
          <w:tab w:val="left" w:pos="3402"/>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14.8</w:t>
      </w:r>
      <w:r>
        <w:rPr>
          <w:rFonts w:hint="default" w:ascii="Arial" w:hAnsi="Arial" w:cs="Arial"/>
          <w:sz w:val="22"/>
          <w:szCs w:val="22"/>
          <w:lang w:val="pt-BR"/>
        </w:rPr>
        <w:t xml:space="preserve">. </w:t>
      </w:r>
      <w:r>
        <w:rPr>
          <w:rFonts w:ascii="Arial" w:hAnsi="Arial" w:cs="Arial"/>
          <w:sz w:val="22"/>
          <w:szCs w:val="22"/>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pPr>
        <w:pStyle w:val="373"/>
        <w:keepNext w:val="0"/>
        <w:keepLines w:val="0"/>
        <w:pageBreakBefore w:val="0"/>
        <w:widowControl w:val="0"/>
        <w:numPr>
          <w:ilvl w:val="1"/>
          <w:numId w:val="0"/>
        </w:numPr>
        <w:tabs>
          <w:tab w:val="left" w:pos="0"/>
          <w:tab w:val="left" w:pos="426"/>
          <w:tab w:val="left" w:pos="567"/>
          <w:tab w:val="left" w:pos="851"/>
          <w:tab w:val="left" w:pos="1985"/>
          <w:tab w:val="left" w:pos="2552"/>
          <w:tab w:val="left" w:pos="3402"/>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14.8.1.</w:t>
      </w:r>
      <w:r>
        <w:rPr>
          <w:rFonts w:hint="default" w:ascii="Arial" w:hAnsi="Arial" w:cs="Arial"/>
          <w:sz w:val="22"/>
          <w:szCs w:val="22"/>
          <w:lang w:val="pt-BR"/>
        </w:rPr>
        <w:t xml:space="preserve"> </w:t>
      </w:r>
      <w:r>
        <w:rPr>
          <w:rFonts w:ascii="Arial" w:hAnsi="Arial" w:cs="Arial"/>
          <w:sz w:val="22"/>
          <w:szCs w:val="22"/>
        </w:rPr>
        <w:t xml:space="preserve">Constatada a existência de sanção, </w:t>
      </w:r>
      <w:r>
        <w:rPr>
          <w:rFonts w:hint="default" w:ascii="Arial" w:hAnsi="Arial" w:cs="Arial"/>
          <w:sz w:val="22"/>
          <w:szCs w:val="22"/>
          <w:lang w:val="pt-BR"/>
        </w:rPr>
        <w:t>O Presidente</w:t>
      </w:r>
      <w:r>
        <w:rPr>
          <w:rFonts w:ascii="Arial" w:hAnsi="Arial" w:cs="Arial"/>
          <w:sz w:val="22"/>
          <w:szCs w:val="22"/>
        </w:rPr>
        <w:t xml:space="preserve"> reputará o licitante inabilitado;</w:t>
      </w:r>
    </w:p>
    <w:p>
      <w:pPr>
        <w:pStyle w:val="373"/>
        <w:keepNext w:val="0"/>
        <w:keepLines w:val="0"/>
        <w:pageBreakBefore w:val="0"/>
        <w:widowControl w:val="0"/>
        <w:numPr>
          <w:ilvl w:val="1"/>
          <w:numId w:val="0"/>
        </w:numPr>
        <w:tabs>
          <w:tab w:val="left" w:pos="0"/>
          <w:tab w:val="left" w:pos="426"/>
          <w:tab w:val="left" w:pos="567"/>
          <w:tab w:val="left" w:pos="709"/>
          <w:tab w:val="left" w:pos="2552"/>
          <w:tab w:val="left" w:pos="3402"/>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sz w:val="22"/>
          <w:szCs w:val="22"/>
          <w:lang w:val="pt-BR"/>
        </w:rPr>
        <w:t xml:space="preserve">14.9. </w:t>
      </w:r>
      <w:r>
        <w:rPr>
          <w:rFonts w:ascii="Arial" w:hAnsi="Arial" w:cs="Arial"/>
          <w:sz w:val="22"/>
          <w:szCs w:val="22"/>
        </w:rPr>
        <w:t>Não ocorrendo a inabilitação por força das situações acima mencionadas, a documentação de habilitação dos licitantes então será verificada, conforme demais exigências previstas neste instrumento convocatório;</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14.9. </w:t>
      </w:r>
      <w:r>
        <w:rPr>
          <w:rFonts w:ascii="Arial" w:hAnsi="Arial" w:cs="Arial"/>
          <w:sz w:val="22"/>
          <w:szCs w:val="22"/>
        </w:rPr>
        <w:t xml:space="preserve">Caso a Comissão julgue conveniente, poderá suspender a </w:t>
      </w:r>
      <w:r>
        <w:rPr>
          <w:rFonts w:hint="default" w:ascii="Arial" w:hAnsi="Arial" w:cs="Arial"/>
          <w:sz w:val="22"/>
          <w:szCs w:val="22"/>
          <w:lang w:val="pt-BR"/>
        </w:rPr>
        <w:t xml:space="preserve">sessão </w:t>
      </w:r>
      <w:r>
        <w:rPr>
          <w:rFonts w:ascii="Arial" w:hAnsi="Arial" w:cs="Arial"/>
          <w:sz w:val="22"/>
          <w:szCs w:val="22"/>
        </w:rPr>
        <w:t xml:space="preserve">para analisar os documentos apresentados, marcando, na oportunidade, nova data e horário em que voltará a reunir-se, informando os licitantes. Nessa hipótese, todos os documentos de habilitação já rubricados e os Envelopes n° 02 - Proposta </w:t>
      </w:r>
      <w:r>
        <w:rPr>
          <w:rFonts w:hint="default" w:ascii="Arial" w:hAnsi="Arial" w:cs="Arial"/>
          <w:sz w:val="22"/>
          <w:szCs w:val="22"/>
          <w:lang w:val="pt-BR"/>
        </w:rPr>
        <w:t xml:space="preserve">Técnica e </w:t>
      </w:r>
      <w:r>
        <w:rPr>
          <w:rFonts w:ascii="Arial" w:hAnsi="Arial" w:cs="Arial"/>
          <w:sz w:val="22"/>
          <w:szCs w:val="22"/>
        </w:rPr>
        <w:t>Envelopes n° 0</w:t>
      </w:r>
      <w:r>
        <w:rPr>
          <w:rFonts w:hint="default" w:ascii="Arial" w:hAnsi="Arial" w:cs="Arial"/>
          <w:sz w:val="22"/>
          <w:szCs w:val="22"/>
          <w:lang w:val="pt-BR"/>
        </w:rPr>
        <w:t>3</w:t>
      </w:r>
      <w:r>
        <w:rPr>
          <w:rFonts w:ascii="Arial" w:hAnsi="Arial" w:cs="Arial"/>
          <w:sz w:val="22"/>
          <w:szCs w:val="22"/>
        </w:rPr>
        <w:t xml:space="preserve"> - Proposta de Preços, rubricados externamente por todos os licitantes e pelos membros da Comissão, permanecerão em poder desta, até que seja concluída a fase de habilitação;</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14.10. </w:t>
      </w:r>
      <w:r>
        <w:rPr>
          <w:rFonts w:ascii="Arial" w:hAnsi="Arial" w:cs="Arial"/>
          <w:sz w:val="22"/>
          <w:szCs w:val="22"/>
        </w:rPr>
        <w:t>Ao licitante inabilitado será devolvido o</w:t>
      </w:r>
      <w:r>
        <w:rPr>
          <w:rFonts w:hint="default" w:ascii="Arial" w:hAnsi="Arial" w:cs="Arial"/>
          <w:sz w:val="22"/>
          <w:szCs w:val="22"/>
          <w:lang w:val="pt-BR"/>
        </w:rPr>
        <w:t>s</w:t>
      </w:r>
      <w:r>
        <w:rPr>
          <w:rFonts w:ascii="Arial" w:hAnsi="Arial" w:cs="Arial"/>
          <w:sz w:val="22"/>
          <w:szCs w:val="22"/>
        </w:rPr>
        <w:t xml:space="preserve"> respectivo</w:t>
      </w:r>
      <w:r>
        <w:rPr>
          <w:rFonts w:hint="default" w:ascii="Arial" w:hAnsi="Arial" w:cs="Arial"/>
          <w:sz w:val="22"/>
          <w:szCs w:val="22"/>
          <w:lang w:val="pt-BR"/>
        </w:rPr>
        <w:t>s</w:t>
      </w:r>
      <w:r>
        <w:rPr>
          <w:rFonts w:ascii="Arial" w:hAnsi="Arial" w:cs="Arial"/>
          <w:sz w:val="22"/>
          <w:szCs w:val="22"/>
        </w:rPr>
        <w:t xml:space="preserve"> Envelopes n° 02 - Proposta </w:t>
      </w:r>
      <w:r>
        <w:rPr>
          <w:rFonts w:hint="default" w:ascii="Arial" w:hAnsi="Arial" w:cs="Arial"/>
          <w:sz w:val="22"/>
          <w:szCs w:val="22"/>
          <w:lang w:val="pt-BR"/>
        </w:rPr>
        <w:t xml:space="preserve">Técnica e </w:t>
      </w:r>
      <w:r>
        <w:rPr>
          <w:rFonts w:ascii="Arial" w:hAnsi="Arial" w:cs="Arial"/>
          <w:sz w:val="22"/>
          <w:szCs w:val="22"/>
        </w:rPr>
        <w:t>Envelopes n° 0</w:t>
      </w:r>
      <w:r>
        <w:rPr>
          <w:rFonts w:hint="default" w:ascii="Arial" w:hAnsi="Arial" w:cs="Arial"/>
          <w:sz w:val="22"/>
          <w:szCs w:val="22"/>
          <w:lang w:val="pt-BR"/>
        </w:rPr>
        <w:t>3</w:t>
      </w:r>
      <w:r>
        <w:rPr>
          <w:rFonts w:ascii="Arial" w:hAnsi="Arial" w:cs="Arial"/>
          <w:sz w:val="22"/>
          <w:szCs w:val="22"/>
        </w:rPr>
        <w:t xml:space="preserve"> - Proposta de Preços, sem ser aberto, depois de transcorrido o prazo legal sem interposição de recurso ou de sua desistência, ou da decisão desfavorável do recurso; </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14.11. </w:t>
      </w:r>
      <w:r>
        <w:rPr>
          <w:rFonts w:ascii="Arial" w:hAnsi="Arial" w:cs="Arial"/>
          <w:sz w:val="22"/>
          <w:szCs w:val="22"/>
        </w:rPr>
        <w:t xml:space="preserve">Após o procedimento de verificação da documentação de habilitação, Envelopes n° 02 - Proposta </w:t>
      </w:r>
      <w:r>
        <w:rPr>
          <w:rFonts w:hint="default" w:ascii="Arial" w:hAnsi="Arial" w:cs="Arial"/>
          <w:sz w:val="22"/>
          <w:szCs w:val="22"/>
          <w:lang w:val="pt-BR"/>
        </w:rPr>
        <w:t xml:space="preserve">Técnica e </w:t>
      </w:r>
      <w:r>
        <w:rPr>
          <w:rFonts w:ascii="Arial" w:hAnsi="Arial" w:cs="Arial"/>
          <w:sz w:val="22"/>
          <w:szCs w:val="22"/>
        </w:rPr>
        <w:t>Envelopes n° 0</w:t>
      </w:r>
      <w:r>
        <w:rPr>
          <w:rFonts w:hint="default" w:ascii="Arial" w:hAnsi="Arial" w:cs="Arial"/>
          <w:sz w:val="22"/>
          <w:szCs w:val="22"/>
          <w:lang w:val="pt-BR"/>
        </w:rPr>
        <w:t>3</w:t>
      </w:r>
      <w:r>
        <w:rPr>
          <w:rFonts w:ascii="Arial" w:hAnsi="Arial" w:cs="Arial"/>
          <w:sz w:val="22"/>
          <w:szCs w:val="22"/>
        </w:rPr>
        <w:t xml:space="preserve"> - Proposta de Preços dos licitantes habilitados serão abertos, na mesma sessão, desde que todos os licitantes tenham desistido expressamente do direito de recorrer, ou em ato público especificamente marcado para este fim, após o regular decurso da fase recursal;</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14.12. </w:t>
      </w:r>
      <w:r>
        <w:rPr>
          <w:rFonts w:ascii="Arial" w:hAnsi="Arial" w:cs="Arial"/>
          <w:sz w:val="22"/>
          <w:szCs w:val="22"/>
        </w:rPr>
        <w:t xml:space="preserve">Não ocorrendo a desistência expressa de todos os licitantes, quanto ao direito de recorrer, os Envelopes n° 02 - Proposta </w:t>
      </w:r>
      <w:r>
        <w:rPr>
          <w:rFonts w:hint="default" w:ascii="Arial" w:hAnsi="Arial" w:cs="Arial"/>
          <w:sz w:val="22"/>
          <w:szCs w:val="22"/>
          <w:lang w:val="pt-BR"/>
        </w:rPr>
        <w:t xml:space="preserve">Técnica e </w:t>
      </w:r>
      <w:r>
        <w:rPr>
          <w:rFonts w:ascii="Arial" w:hAnsi="Arial" w:cs="Arial"/>
          <w:sz w:val="22"/>
          <w:szCs w:val="22"/>
        </w:rPr>
        <w:t>Envelopes n° 0</w:t>
      </w:r>
      <w:r>
        <w:rPr>
          <w:rFonts w:hint="default" w:ascii="Arial" w:hAnsi="Arial" w:cs="Arial"/>
          <w:sz w:val="22"/>
          <w:szCs w:val="22"/>
          <w:lang w:val="pt-BR"/>
        </w:rPr>
        <w:t>3</w:t>
      </w:r>
      <w:r>
        <w:rPr>
          <w:rFonts w:ascii="Arial" w:hAnsi="Arial" w:cs="Arial"/>
          <w:sz w:val="22"/>
          <w:szCs w:val="22"/>
        </w:rPr>
        <w:t xml:space="preserve"> - Proposta de Preços serão rubricados pelos licitantes presentes ao ato e mantidos invioláveis até a posterior abertura;</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14.13. </w:t>
      </w:r>
      <w:r>
        <w:rPr>
          <w:rFonts w:ascii="Arial" w:hAnsi="Arial" w:cs="Arial"/>
          <w:sz w:val="22"/>
          <w:szCs w:val="22"/>
        </w:rPr>
        <w:t xml:space="preserve">Ultrapassada a fase de habilitação e abertas as propostas, não cabe </w:t>
      </w:r>
      <w:r>
        <w:rPr>
          <w:rFonts w:hint="default" w:ascii="Arial" w:hAnsi="Arial" w:cs="Arial"/>
          <w:sz w:val="22"/>
          <w:szCs w:val="22"/>
          <w:lang w:val="pt-BR"/>
        </w:rPr>
        <w:t>desclassificação de</w:t>
      </w:r>
      <w:r>
        <w:rPr>
          <w:rFonts w:ascii="Arial" w:hAnsi="Arial" w:cs="Arial"/>
          <w:sz w:val="22"/>
          <w:szCs w:val="22"/>
        </w:rPr>
        <w:t xml:space="preserve"> licitante por motivo relacionado </w:t>
      </w:r>
      <w:r>
        <w:rPr>
          <w:rFonts w:hint="default" w:ascii="Arial" w:hAnsi="Arial" w:cs="Arial"/>
          <w:sz w:val="22"/>
          <w:szCs w:val="22"/>
          <w:lang w:val="pt-BR"/>
        </w:rPr>
        <w:t xml:space="preserve">aos documentos de </w:t>
      </w:r>
      <w:r>
        <w:rPr>
          <w:rFonts w:ascii="Arial" w:hAnsi="Arial" w:cs="Arial"/>
          <w:sz w:val="22"/>
          <w:szCs w:val="22"/>
        </w:rPr>
        <w:t>habilitação, salvo em razão de fatos supervenientes ou só conhecidos após o julgamento;</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14.14. </w:t>
      </w:r>
      <w:r>
        <w:rPr>
          <w:rFonts w:ascii="Arial" w:hAnsi="Arial" w:cs="Arial"/>
          <w:sz w:val="22"/>
          <w:szCs w:val="22"/>
        </w:rPr>
        <w:t>As propostas de preços dos licitantes habilitados serão então julgadas, conforme item próprio deste Instrumento Convocatório;</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14.15. </w:t>
      </w:r>
      <w:r>
        <w:rPr>
          <w:rFonts w:ascii="Arial" w:hAnsi="Arial" w:cs="Arial"/>
          <w:sz w:val="22"/>
          <w:szCs w:val="22"/>
        </w:rPr>
        <w:t>Se todos os licitantes forem inabilitados ou todas as propostas forem desclassificadas, a Comissão Permanente de Licitação poderá fixar o prazo de 08 (oito) dias úteis para a apresentação de nova documentação ou proposta, escoimadas das causas que as inabilitaram ou desclassificaram;</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14.16. </w:t>
      </w:r>
      <w:r>
        <w:rPr>
          <w:rFonts w:ascii="Arial" w:hAnsi="Arial" w:cs="Arial"/>
          <w:sz w:val="22"/>
          <w:szCs w:val="22"/>
        </w:rPr>
        <w:t>Em todos os atos públicos, serão lavradas atas circunstanciadas, assinadas pelos membros da Comissão e pelos representantes credenciados e licitantes</w:t>
      </w:r>
      <w:r>
        <w:rPr>
          <w:rFonts w:hint="default" w:ascii="Arial" w:hAnsi="Arial" w:cs="Arial"/>
          <w:sz w:val="22"/>
          <w:szCs w:val="22"/>
          <w:lang w:val="pt-BR"/>
        </w:rPr>
        <w:t>, desde que</w:t>
      </w:r>
      <w:r>
        <w:rPr>
          <w:rFonts w:ascii="Arial" w:hAnsi="Arial" w:cs="Arial"/>
          <w:sz w:val="22"/>
          <w:szCs w:val="22"/>
        </w:rPr>
        <w:t xml:space="preserve"> presentes;</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14.17. </w:t>
      </w:r>
      <w:r>
        <w:rPr>
          <w:rFonts w:ascii="Arial" w:hAnsi="Arial" w:cs="Arial"/>
          <w:sz w:val="22"/>
          <w:szCs w:val="22"/>
        </w:rPr>
        <w:t>Será considerado inabilitado o licitante que:</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14.18. </w:t>
      </w:r>
      <w:r>
        <w:rPr>
          <w:rFonts w:ascii="Arial" w:hAnsi="Arial" w:cs="Arial"/>
          <w:sz w:val="22"/>
          <w:szCs w:val="22"/>
        </w:rPr>
        <w:t>Não apresentar os documentos exigidos por este Instrumento Convocatório no prazo de validade e/ou devidamente atualizados, ou não comprovar sua habilitação por meio do CRC, ressalvado o disposto quanto à comprovação da regularidade fiscal das microempresas e empresas de pequeno porte enquadradas no artigo 34 da Lei n° 11.488, de 2007;</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14.19. </w:t>
      </w:r>
      <w:r>
        <w:rPr>
          <w:rFonts w:ascii="Arial" w:hAnsi="Arial" w:cs="Arial"/>
          <w:sz w:val="22"/>
          <w:szCs w:val="22"/>
        </w:rPr>
        <w:t>Incluir a</w:t>
      </w:r>
      <w:r>
        <w:rPr>
          <w:rFonts w:hint="default" w:ascii="Arial" w:hAnsi="Arial" w:cs="Arial"/>
          <w:sz w:val="22"/>
          <w:szCs w:val="22"/>
          <w:lang w:val="pt-BR"/>
        </w:rPr>
        <w:t>s</w:t>
      </w:r>
      <w:r>
        <w:rPr>
          <w:rFonts w:ascii="Arial" w:hAnsi="Arial" w:cs="Arial"/>
          <w:sz w:val="22"/>
          <w:szCs w:val="22"/>
        </w:rPr>
        <w:t xml:space="preserve"> proposta</w:t>
      </w:r>
      <w:r>
        <w:rPr>
          <w:rFonts w:hint="default" w:ascii="Arial" w:hAnsi="Arial" w:cs="Arial"/>
          <w:sz w:val="22"/>
          <w:szCs w:val="22"/>
          <w:lang w:val="pt-BR"/>
        </w:rPr>
        <w:t>s</w:t>
      </w:r>
      <w:r>
        <w:rPr>
          <w:rFonts w:ascii="Arial" w:hAnsi="Arial" w:cs="Arial"/>
          <w:sz w:val="22"/>
          <w:szCs w:val="22"/>
        </w:rPr>
        <w:t xml:space="preserve"> </w:t>
      </w:r>
      <w:r>
        <w:rPr>
          <w:rFonts w:hint="default" w:ascii="Arial" w:hAnsi="Arial" w:cs="Arial"/>
          <w:sz w:val="22"/>
          <w:szCs w:val="22"/>
          <w:lang w:val="pt-BR"/>
        </w:rPr>
        <w:t>n</w:t>
      </w:r>
      <w:r>
        <w:rPr>
          <w:rFonts w:ascii="Arial" w:hAnsi="Arial" w:cs="Arial"/>
          <w:sz w:val="22"/>
          <w:szCs w:val="22"/>
        </w:rPr>
        <w:t xml:space="preserve">os Envelopes n° 02 - Proposta </w:t>
      </w:r>
      <w:r>
        <w:rPr>
          <w:rFonts w:hint="default" w:ascii="Arial" w:hAnsi="Arial" w:cs="Arial"/>
          <w:sz w:val="22"/>
          <w:szCs w:val="22"/>
          <w:lang w:val="pt-BR"/>
        </w:rPr>
        <w:t xml:space="preserve">Técnica e </w:t>
      </w:r>
      <w:r>
        <w:rPr>
          <w:rFonts w:ascii="Arial" w:hAnsi="Arial" w:cs="Arial"/>
          <w:sz w:val="22"/>
          <w:szCs w:val="22"/>
        </w:rPr>
        <w:t>Envelopes n° 0</w:t>
      </w:r>
      <w:r>
        <w:rPr>
          <w:rFonts w:hint="default" w:ascii="Arial" w:hAnsi="Arial" w:cs="Arial"/>
          <w:sz w:val="22"/>
          <w:szCs w:val="22"/>
          <w:lang w:val="pt-BR"/>
        </w:rPr>
        <w:t>3</w:t>
      </w:r>
      <w:r>
        <w:rPr>
          <w:rFonts w:ascii="Arial" w:hAnsi="Arial" w:cs="Arial"/>
          <w:sz w:val="22"/>
          <w:szCs w:val="22"/>
        </w:rPr>
        <w:t xml:space="preserve"> - Proposta de Preços;</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14.20. </w:t>
      </w:r>
      <w:r>
        <w:rPr>
          <w:rFonts w:ascii="Arial" w:hAnsi="Arial" w:cs="Arial"/>
          <w:sz w:val="22"/>
          <w:szCs w:val="22"/>
        </w:rPr>
        <w:t>Constatada a existência de alguma restrição no que tange à regularidade fiscal e trabalhista de microempresa ou empresa de pequeno porte, a mesma será convocada para, no prazo de 5 (cinco) dias úteis após solicitação da Comissão de Licitação, comprovar a regularização. O prazo poderá ser prorrogado por igual período</w:t>
      </w:r>
      <w:r>
        <w:rPr>
          <w:rFonts w:hint="default" w:ascii="Arial" w:hAnsi="Arial" w:cs="Arial"/>
          <w:sz w:val="22"/>
          <w:szCs w:val="22"/>
          <w:lang w:val="pt-BR"/>
        </w:rPr>
        <w:t xml:space="preserve"> desde que requerido pela licitante e deferido por esta Administração</w:t>
      </w:r>
      <w:r>
        <w:rPr>
          <w:rFonts w:ascii="Arial" w:hAnsi="Arial" w:cs="Arial"/>
          <w:sz w:val="22"/>
          <w:szCs w:val="22"/>
        </w:rPr>
        <w:t>;</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14.21. </w:t>
      </w:r>
      <w:r>
        <w:rPr>
          <w:rFonts w:ascii="Arial" w:hAnsi="Arial" w:cs="Arial"/>
          <w:sz w:val="22"/>
          <w:szCs w:val="22"/>
        </w:rPr>
        <w:t>A não regularização fiscal no prazo previsto no subitem anterior acarretará a inabilitação do licitante, sendo facultada a convocação dos licitantes remanescentes, na ordem de classificação. Se, na ordem de classificação, seguir-se outra microempresa ou empresa de pequeno porte com alguma restrição na documentação fiscal, será concedido o mesmo prazo para regularização;</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14.22. </w:t>
      </w:r>
      <w:r>
        <w:rPr>
          <w:rFonts w:ascii="Arial" w:hAnsi="Arial" w:cs="Arial"/>
          <w:sz w:val="22"/>
          <w:szCs w:val="22"/>
        </w:rPr>
        <w:t>A intimação dos atos de habilitação ou inabilitação dos licitantes será feita mediante publicação na imprensa oficial, salvo se presentes os prepostos dos licitantes no ato público em que foi adotada a decisão, caso em que a intimação será feita por comunicação direta aos interessados e lavrada em ata;</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14.23. </w:t>
      </w:r>
      <w:r>
        <w:rPr>
          <w:rFonts w:ascii="Arial" w:hAnsi="Arial" w:cs="Arial"/>
          <w:sz w:val="22"/>
          <w:szCs w:val="22"/>
        </w:rPr>
        <w:t xml:space="preserve">Será inabilitada ou desclassificada a empresa que deixar de apresentar documento ou anexo exigido neste Edital, mesmo que na interpretação da licitante </w:t>
      </w:r>
      <w:r>
        <w:rPr>
          <w:rFonts w:hint="default" w:ascii="Arial" w:hAnsi="Arial" w:cs="Arial"/>
          <w:sz w:val="22"/>
          <w:szCs w:val="22"/>
          <w:lang w:val="pt-BR"/>
        </w:rPr>
        <w:t>a declaração seja desnecessária</w:t>
      </w:r>
      <w:r>
        <w:rPr>
          <w:rFonts w:ascii="Arial" w:hAnsi="Arial" w:cs="Arial"/>
          <w:sz w:val="22"/>
          <w:szCs w:val="22"/>
        </w:rPr>
        <w:t>;</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14.24. </w:t>
      </w:r>
      <w:r>
        <w:rPr>
          <w:rFonts w:ascii="Arial" w:hAnsi="Arial" w:cs="Arial"/>
          <w:sz w:val="22"/>
          <w:szCs w:val="22"/>
        </w:rPr>
        <w:t xml:space="preserve">Ao concorrente INABILITADO será devolvido os Envelopes n° 02 - Proposta </w:t>
      </w:r>
      <w:r>
        <w:rPr>
          <w:rFonts w:hint="default" w:ascii="Arial" w:hAnsi="Arial" w:cs="Arial"/>
          <w:sz w:val="22"/>
          <w:szCs w:val="22"/>
          <w:lang w:val="pt-BR"/>
        </w:rPr>
        <w:t xml:space="preserve">Técnica e </w:t>
      </w:r>
      <w:r>
        <w:rPr>
          <w:rFonts w:ascii="Arial" w:hAnsi="Arial" w:cs="Arial"/>
          <w:sz w:val="22"/>
          <w:szCs w:val="22"/>
        </w:rPr>
        <w:t>Envelopes n° 0</w:t>
      </w:r>
      <w:r>
        <w:rPr>
          <w:rFonts w:hint="default" w:ascii="Arial" w:hAnsi="Arial" w:cs="Arial"/>
          <w:sz w:val="22"/>
          <w:szCs w:val="22"/>
          <w:lang w:val="pt-BR"/>
        </w:rPr>
        <w:t>3</w:t>
      </w:r>
      <w:r>
        <w:rPr>
          <w:rFonts w:ascii="Arial" w:hAnsi="Arial" w:cs="Arial"/>
          <w:sz w:val="22"/>
          <w:szCs w:val="22"/>
        </w:rPr>
        <w:t xml:space="preserve"> - Proposta de Preços (após desistência expressa do direito de interpor recurso ou transcorrido o prazo recursal ou após o julgamento do recurso). Esta devolução poderá ser efetuada diretamente o licitante presente ou no caso dos env</w:t>
      </w:r>
      <w:r>
        <w:rPr>
          <w:rFonts w:hint="default" w:ascii="Arial" w:hAnsi="Arial" w:cs="Arial"/>
          <w:sz w:val="22"/>
          <w:szCs w:val="22"/>
          <w:lang w:val="pt-BR"/>
        </w:rPr>
        <w:t>e</w:t>
      </w:r>
      <w:r>
        <w:rPr>
          <w:rFonts w:ascii="Arial" w:hAnsi="Arial" w:cs="Arial"/>
          <w:sz w:val="22"/>
          <w:szCs w:val="22"/>
        </w:rPr>
        <w:t xml:space="preserve">lopes enviados via sedex, transportadora ou similares ficará a </w:t>
      </w:r>
      <w:r>
        <w:rPr>
          <w:rFonts w:hint="default" w:ascii="Arial" w:hAnsi="Arial" w:cs="Arial"/>
          <w:sz w:val="22"/>
          <w:szCs w:val="22"/>
          <w:lang w:val="pt-BR"/>
        </w:rPr>
        <w:t>d</w:t>
      </w:r>
      <w:r>
        <w:rPr>
          <w:rFonts w:ascii="Arial" w:hAnsi="Arial" w:cs="Arial"/>
          <w:sz w:val="22"/>
          <w:szCs w:val="22"/>
        </w:rPr>
        <w:t xml:space="preserve">isposição da licitante por um período de 30(trinta) dias na sala de Licitações, após este período será incinerado; </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14.25. </w:t>
      </w:r>
      <w:r>
        <w:rPr>
          <w:rFonts w:ascii="Arial" w:hAnsi="Arial" w:cs="Arial"/>
          <w:sz w:val="22"/>
          <w:szCs w:val="22"/>
        </w:rPr>
        <w:t xml:space="preserve">As Propostas que atenderem em sua essência aos requisitos do Edital serão verificadas quanto a erros aritméticos para os preços, os quais serão corrigidos pela </w:t>
      </w:r>
      <w:r>
        <w:rPr>
          <w:rFonts w:hint="default" w:ascii="Arial" w:hAnsi="Arial" w:cs="Arial"/>
          <w:sz w:val="22"/>
          <w:szCs w:val="22"/>
          <w:lang w:val="pt-BR"/>
        </w:rPr>
        <w:t xml:space="preserve">licitante após solicitação da </w:t>
      </w:r>
      <w:r>
        <w:rPr>
          <w:rFonts w:ascii="Arial" w:hAnsi="Arial" w:cs="Arial"/>
          <w:sz w:val="22"/>
          <w:szCs w:val="22"/>
        </w:rPr>
        <w:t>Comissão de Licitação da seguinte forma:</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709" w:leftChars="0"/>
        <w:textAlignment w:val="auto"/>
        <w:rPr>
          <w:rFonts w:ascii="Arial" w:hAnsi="Arial" w:cs="Arial"/>
          <w:sz w:val="22"/>
          <w:szCs w:val="22"/>
        </w:rPr>
      </w:pPr>
      <w:r>
        <w:rPr>
          <w:rFonts w:hint="default" w:ascii="Arial" w:hAnsi="Arial" w:cs="Arial"/>
          <w:b/>
          <w:bCs/>
          <w:sz w:val="22"/>
          <w:szCs w:val="22"/>
          <w:lang w:val="pt-BR"/>
        </w:rPr>
        <w:t xml:space="preserve">14.25.1. </w:t>
      </w:r>
      <w:r>
        <w:rPr>
          <w:rFonts w:hint="default" w:ascii="Arial" w:hAnsi="Arial" w:cs="Arial"/>
          <w:sz w:val="22"/>
          <w:szCs w:val="22"/>
          <w:lang w:val="pt-BR"/>
        </w:rPr>
        <w:t xml:space="preserve"> </w:t>
      </w:r>
      <w:r>
        <w:rPr>
          <w:rFonts w:ascii="Arial" w:hAnsi="Arial" w:cs="Arial"/>
          <w:sz w:val="22"/>
          <w:szCs w:val="22"/>
        </w:rPr>
        <w:t>Discrepância entre valores grafados em algarismos e por extenso,</w:t>
      </w:r>
      <w:r>
        <w:rPr>
          <w:rFonts w:hint="default" w:ascii="Arial" w:hAnsi="Arial" w:cs="Arial"/>
          <w:sz w:val="22"/>
          <w:szCs w:val="22"/>
          <w:lang w:val="pt-BR"/>
        </w:rPr>
        <w:t xml:space="preserve"> neste caso</w:t>
      </w:r>
      <w:r>
        <w:rPr>
          <w:rFonts w:ascii="Arial" w:hAnsi="Arial" w:cs="Arial"/>
          <w:sz w:val="22"/>
          <w:szCs w:val="22"/>
        </w:rPr>
        <w:t xml:space="preserve"> prevalece</w:t>
      </w:r>
      <w:r>
        <w:rPr>
          <w:rFonts w:hint="default" w:ascii="Arial" w:hAnsi="Arial" w:cs="Arial"/>
          <w:sz w:val="22"/>
          <w:szCs w:val="22"/>
          <w:lang w:val="pt-BR"/>
        </w:rPr>
        <w:t>ndo</w:t>
      </w:r>
      <w:r>
        <w:rPr>
          <w:rFonts w:ascii="Arial" w:hAnsi="Arial" w:cs="Arial"/>
          <w:sz w:val="22"/>
          <w:szCs w:val="22"/>
        </w:rPr>
        <w:t xml:space="preserve"> o valor por extenso;</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709" w:leftChars="0"/>
        <w:textAlignment w:val="auto"/>
        <w:rPr>
          <w:rFonts w:ascii="Arial" w:hAnsi="Arial" w:cs="Arial"/>
          <w:sz w:val="22"/>
          <w:szCs w:val="22"/>
        </w:rPr>
      </w:pPr>
      <w:r>
        <w:rPr>
          <w:rFonts w:hint="default" w:ascii="Arial" w:hAnsi="Arial" w:cs="Arial"/>
          <w:b/>
          <w:bCs/>
          <w:sz w:val="22"/>
          <w:szCs w:val="22"/>
          <w:lang w:val="pt-BR"/>
        </w:rPr>
        <w:t xml:space="preserve">14.25.2. </w:t>
      </w:r>
      <w:r>
        <w:rPr>
          <w:rFonts w:ascii="Arial" w:hAnsi="Arial" w:cs="Arial"/>
          <w:sz w:val="22"/>
          <w:szCs w:val="22"/>
        </w:rPr>
        <w:t>Erros de transcrição das quantidades do projeto para a Proposta, o produto será corrigido devidamente, mantendo-se o preço unitário e corrigindo-se a quantidade e o preço total;</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709" w:leftChars="0"/>
        <w:textAlignment w:val="auto"/>
        <w:rPr>
          <w:rFonts w:ascii="Arial" w:hAnsi="Arial" w:cs="Arial"/>
          <w:sz w:val="22"/>
          <w:szCs w:val="22"/>
        </w:rPr>
      </w:pPr>
      <w:r>
        <w:rPr>
          <w:rFonts w:hint="default" w:ascii="Arial" w:hAnsi="Arial" w:cs="Arial"/>
          <w:b/>
          <w:bCs/>
          <w:sz w:val="22"/>
          <w:szCs w:val="22"/>
          <w:lang w:val="pt-BR"/>
        </w:rPr>
        <w:t xml:space="preserve">14.25.3. </w:t>
      </w:r>
      <w:r>
        <w:rPr>
          <w:rFonts w:ascii="Arial" w:hAnsi="Arial" w:cs="Arial"/>
          <w:sz w:val="22"/>
          <w:szCs w:val="22"/>
        </w:rPr>
        <w:t>Erro de multiplicação do preço unitário pela quantidade correspondente será retificado, mantendo-se o preço unitário e quantidade e corrigindo-se o produto;</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709" w:leftChars="0"/>
        <w:textAlignment w:val="auto"/>
        <w:rPr>
          <w:rFonts w:ascii="Arial" w:hAnsi="Arial" w:cs="Arial"/>
          <w:sz w:val="22"/>
          <w:szCs w:val="22"/>
        </w:rPr>
      </w:pPr>
      <w:r>
        <w:rPr>
          <w:rFonts w:hint="default" w:ascii="Arial" w:hAnsi="Arial" w:cs="Arial"/>
          <w:b/>
          <w:bCs/>
          <w:sz w:val="22"/>
          <w:szCs w:val="22"/>
          <w:lang w:val="pt-BR"/>
        </w:rPr>
        <w:t xml:space="preserve">14.25.4. </w:t>
      </w:r>
      <w:r>
        <w:rPr>
          <w:rFonts w:ascii="Arial" w:hAnsi="Arial" w:cs="Arial"/>
          <w:sz w:val="22"/>
          <w:szCs w:val="22"/>
        </w:rPr>
        <w:t>Erro de adição será retificado, conservando-se as parcelas corretas, trocando-se a soma;</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709" w:leftChars="0"/>
        <w:textAlignment w:val="auto"/>
        <w:rPr>
          <w:rFonts w:ascii="Arial" w:hAnsi="Arial" w:cs="Arial"/>
          <w:sz w:val="22"/>
          <w:szCs w:val="22"/>
        </w:rPr>
      </w:pPr>
      <w:r>
        <w:rPr>
          <w:rFonts w:hint="default" w:ascii="Arial" w:hAnsi="Arial" w:cs="Arial"/>
          <w:b/>
          <w:bCs/>
          <w:sz w:val="22"/>
          <w:szCs w:val="22"/>
          <w:lang w:val="pt-BR"/>
        </w:rPr>
        <w:t>14.25.5.</w:t>
      </w:r>
      <w:r>
        <w:rPr>
          <w:rFonts w:ascii="Arial" w:hAnsi="Arial" w:cs="Arial"/>
          <w:sz w:val="22"/>
          <w:szCs w:val="22"/>
        </w:rPr>
        <w:t>O valor total do serviço apresentado na Proposta será ajustado</w:t>
      </w:r>
      <w:r>
        <w:rPr>
          <w:rFonts w:hint="default" w:ascii="Arial" w:hAnsi="Arial" w:cs="Arial"/>
          <w:sz w:val="22"/>
          <w:szCs w:val="22"/>
          <w:lang w:val="pt-BR"/>
        </w:rPr>
        <w:t xml:space="preserve"> em </w:t>
      </w:r>
      <w:r>
        <w:rPr>
          <w:rFonts w:ascii="Arial" w:hAnsi="Arial" w:cs="Arial"/>
          <w:sz w:val="22"/>
          <w:szCs w:val="22"/>
        </w:rPr>
        <w:t>conformidade aos procedimentos acima para correção de erros. O valor resultante constituirá o valor contratual. Se a licitante não aceitar as correções procedidas, sua Proposta será rejeitada;</w:t>
      </w:r>
    </w:p>
    <w:p>
      <w:pPr>
        <w:pStyle w:val="373"/>
        <w:keepNext w:val="0"/>
        <w:keepLines w:val="0"/>
        <w:pageBreakBefore w:val="0"/>
        <w:widowControl w:val="0"/>
        <w:numPr>
          <w:ilvl w:val="1"/>
          <w:numId w:val="0"/>
        </w:numPr>
        <w:tabs>
          <w:tab w:val="left" w:pos="0"/>
          <w:tab w:val="left" w:pos="426"/>
          <w:tab w:val="left" w:pos="567"/>
        </w:tabs>
        <w:kinsoku/>
        <w:wordWrap/>
        <w:overflowPunct/>
        <w:topLinePunct w:val="0"/>
        <w:autoSpaceDE/>
        <w:autoSpaceDN/>
        <w:bidi w:val="0"/>
        <w:adjustRightInd/>
        <w:snapToGrid/>
        <w:spacing w:before="0" w:beforeAutospacing="0" w:after="120" w:afterAutospacing="0" w:line="240" w:lineRule="auto"/>
        <w:ind w:leftChars="0"/>
        <w:textAlignment w:val="auto"/>
        <w:rPr>
          <w:rFonts w:ascii="Arial" w:hAnsi="Arial" w:cs="Arial"/>
          <w:sz w:val="22"/>
          <w:szCs w:val="22"/>
        </w:rPr>
      </w:pPr>
      <w:r>
        <w:rPr>
          <w:rFonts w:hint="default" w:ascii="Arial" w:hAnsi="Arial" w:cs="Arial"/>
          <w:b/>
          <w:bCs/>
          <w:sz w:val="22"/>
          <w:szCs w:val="22"/>
          <w:lang w:val="pt-BR"/>
        </w:rPr>
        <w:t xml:space="preserve">14.26. </w:t>
      </w:r>
      <w:r>
        <w:rPr>
          <w:rFonts w:ascii="Arial" w:hAnsi="Arial" w:cs="Arial"/>
          <w:sz w:val="22"/>
          <w:szCs w:val="22"/>
        </w:rPr>
        <w:t>Com exceção das alterações, entrelinhas ou rasuras feitas pela Comissão de Licitação, necessárias para corrigir erros aritméticos cometidos pelos licitantes, não serão aceitas Propostas contendo borrões, emendas ou rasuras.</w:t>
      </w:r>
    </w:p>
    <w:p>
      <w:pPr>
        <w:pStyle w:val="145"/>
        <w:keepNext w:val="0"/>
        <w:keepLines w:val="0"/>
        <w:pageBreakBefore w:val="0"/>
        <w:widowControl/>
        <w:kinsoku/>
        <w:wordWrap/>
        <w:overflowPunct/>
        <w:topLinePunct w:val="0"/>
        <w:autoSpaceDE/>
        <w:autoSpaceDN/>
        <w:bidi w:val="0"/>
        <w:adjustRightInd/>
        <w:snapToGrid/>
        <w:spacing w:before="0"/>
        <w:textAlignment w:val="auto"/>
      </w:pPr>
      <w:bookmarkStart w:id="25" w:name="_Toc380557822"/>
      <w:bookmarkStart w:id="26" w:name="_Toc514666341"/>
      <w:r>
        <w:t>D</w:t>
      </w:r>
      <w:bookmarkEnd w:id="25"/>
      <w:r>
        <w:t>O CRITÉRIO DE JULGAMENTO DAS PROPOSTAS</w:t>
      </w:r>
      <w:bookmarkEnd w:id="26"/>
    </w:p>
    <w:p>
      <w:pPr>
        <w:keepNext w:val="0"/>
        <w:keepLines w:val="0"/>
        <w:pageBreakBefore w:val="0"/>
        <w:widowControl w:val="0"/>
        <w:tabs>
          <w:tab w:val="left" w:pos="567"/>
          <w:tab w:val="left" w:pos="1985"/>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w:t>
      </w:r>
      <w:r>
        <w:rPr>
          <w:rFonts w:ascii="Arial" w:hAnsi="Arial" w:cs="Arial"/>
          <w:sz w:val="22"/>
          <w:szCs w:val="22"/>
        </w:rPr>
        <w:t xml:space="preserve"> O critério de julgamento será o </w:t>
      </w:r>
      <w:r>
        <w:rPr>
          <w:rFonts w:ascii="Arial" w:hAnsi="Arial" w:cs="Arial"/>
          <w:b w:val="0"/>
          <w:bCs/>
          <w:sz w:val="22"/>
          <w:szCs w:val="22"/>
          <w:lang w:val="pt-BR"/>
        </w:rPr>
        <w:t>MELHOR TÉCNICA E PREÇO</w:t>
      </w:r>
      <w:r>
        <w:rPr>
          <w:rFonts w:ascii="Arial" w:hAnsi="Arial" w:cs="Arial"/>
          <w:sz w:val="22"/>
          <w:szCs w:val="22"/>
        </w:rPr>
        <w:t>;</w:t>
      </w:r>
    </w:p>
    <w:p>
      <w:pPr>
        <w:pStyle w:val="86"/>
        <w:keepNext w:val="0"/>
        <w:keepLines w:val="0"/>
        <w:pageBreakBefore w:val="0"/>
        <w:widowControl w:val="0"/>
        <w:numPr>
          <w:ilvl w:val="0"/>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b/>
          <w:vanish/>
          <w:sz w:val="22"/>
          <w:szCs w:val="22"/>
        </w:rPr>
      </w:pPr>
    </w:p>
    <w:p>
      <w:pPr>
        <w:pStyle w:val="86"/>
        <w:keepNext w:val="0"/>
        <w:keepLines w:val="0"/>
        <w:pageBreakBefore w:val="0"/>
        <w:widowControl w:val="0"/>
        <w:numPr>
          <w:ilvl w:val="0"/>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b/>
          <w:vanish/>
          <w:sz w:val="22"/>
          <w:szCs w:val="22"/>
        </w:rPr>
      </w:pPr>
    </w:p>
    <w:p>
      <w:pPr>
        <w:pStyle w:val="86"/>
        <w:keepNext w:val="0"/>
        <w:keepLines w:val="0"/>
        <w:pageBreakBefore w:val="0"/>
        <w:widowControl w:val="0"/>
        <w:numPr>
          <w:ilvl w:val="0"/>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b/>
          <w:vanish/>
          <w:sz w:val="22"/>
          <w:szCs w:val="22"/>
        </w:rPr>
      </w:pPr>
    </w:p>
    <w:p>
      <w:pPr>
        <w:pStyle w:val="86"/>
        <w:keepNext w:val="0"/>
        <w:keepLines w:val="0"/>
        <w:pageBreakBefore w:val="0"/>
        <w:widowControl w:val="0"/>
        <w:numPr>
          <w:ilvl w:val="0"/>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b/>
          <w:vanish/>
          <w:sz w:val="22"/>
          <w:szCs w:val="22"/>
        </w:rPr>
      </w:pPr>
    </w:p>
    <w:p>
      <w:pPr>
        <w:pStyle w:val="86"/>
        <w:keepNext w:val="0"/>
        <w:keepLines w:val="0"/>
        <w:pageBreakBefore w:val="0"/>
        <w:widowControl w:val="0"/>
        <w:numPr>
          <w:ilvl w:val="0"/>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b/>
          <w:vanish/>
          <w:sz w:val="22"/>
          <w:szCs w:val="22"/>
        </w:rPr>
      </w:pPr>
    </w:p>
    <w:p>
      <w:pPr>
        <w:pStyle w:val="86"/>
        <w:keepNext w:val="0"/>
        <w:keepLines w:val="0"/>
        <w:pageBreakBefore w:val="0"/>
        <w:widowControl w:val="0"/>
        <w:numPr>
          <w:ilvl w:val="0"/>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b/>
          <w:vanish/>
          <w:sz w:val="22"/>
          <w:szCs w:val="22"/>
        </w:rPr>
      </w:pPr>
    </w:p>
    <w:p>
      <w:pPr>
        <w:pStyle w:val="86"/>
        <w:keepNext w:val="0"/>
        <w:keepLines w:val="0"/>
        <w:pageBreakBefore w:val="0"/>
        <w:widowControl w:val="0"/>
        <w:numPr>
          <w:ilvl w:val="0"/>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b/>
          <w:vanish/>
          <w:sz w:val="22"/>
          <w:szCs w:val="22"/>
        </w:rPr>
      </w:pPr>
    </w:p>
    <w:p>
      <w:pPr>
        <w:pStyle w:val="86"/>
        <w:keepNext w:val="0"/>
        <w:keepLines w:val="0"/>
        <w:pageBreakBefore w:val="0"/>
        <w:widowControl w:val="0"/>
        <w:numPr>
          <w:ilvl w:val="0"/>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b/>
          <w:vanish/>
          <w:sz w:val="22"/>
          <w:szCs w:val="22"/>
        </w:rPr>
      </w:pPr>
    </w:p>
    <w:p>
      <w:pPr>
        <w:pStyle w:val="86"/>
        <w:keepNext w:val="0"/>
        <w:keepLines w:val="0"/>
        <w:pageBreakBefore w:val="0"/>
        <w:widowControl w:val="0"/>
        <w:numPr>
          <w:ilvl w:val="0"/>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b/>
          <w:vanish/>
          <w:sz w:val="22"/>
          <w:szCs w:val="22"/>
        </w:rPr>
      </w:pPr>
    </w:p>
    <w:p>
      <w:pPr>
        <w:pStyle w:val="86"/>
        <w:keepNext w:val="0"/>
        <w:keepLines w:val="0"/>
        <w:pageBreakBefore w:val="0"/>
        <w:widowControl w:val="0"/>
        <w:numPr>
          <w:ilvl w:val="0"/>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b/>
          <w:vanish/>
          <w:sz w:val="22"/>
          <w:szCs w:val="22"/>
        </w:rPr>
      </w:pPr>
    </w:p>
    <w:p>
      <w:pPr>
        <w:pStyle w:val="86"/>
        <w:keepNext w:val="0"/>
        <w:keepLines w:val="0"/>
        <w:pageBreakBefore w:val="0"/>
        <w:widowControl w:val="0"/>
        <w:numPr>
          <w:ilvl w:val="1"/>
          <w:numId w:val="15"/>
        </w:numPr>
        <w:tabs>
          <w:tab w:val="left" w:pos="1134"/>
          <w:tab w:val="left" w:pos="1985"/>
        </w:tabs>
        <w:kinsoku/>
        <w:wordWrap/>
        <w:overflowPunct/>
        <w:topLinePunct w:val="0"/>
        <w:autoSpaceDE/>
        <w:autoSpaceDN/>
        <w:bidi w:val="0"/>
        <w:adjustRightInd/>
        <w:snapToGrid/>
        <w:spacing w:beforeAutospacing="0" w:after="120" w:afterAutospacing="0"/>
        <w:ind w:left="0" w:firstLine="0"/>
        <w:jc w:val="both"/>
        <w:textAlignment w:val="auto"/>
        <w:rPr>
          <w:rFonts w:ascii="Arial" w:hAnsi="Arial" w:cs="Arial"/>
          <w:vanish/>
          <w:sz w:val="22"/>
          <w:szCs w:val="22"/>
        </w:rPr>
      </w:pPr>
    </w:p>
    <w:p>
      <w:pPr>
        <w:pStyle w:val="86"/>
        <w:keepNext w:val="0"/>
        <w:keepLines w:val="0"/>
        <w:pageBreakBefore w:val="0"/>
        <w:widowControl w:val="0"/>
        <w:tabs>
          <w:tab w:val="left" w:pos="1134"/>
          <w:tab w:val="left" w:pos="1985"/>
        </w:tabs>
        <w:kinsoku/>
        <w:wordWrap/>
        <w:overflowPunct/>
        <w:topLinePunct w:val="0"/>
        <w:autoSpaceDE/>
        <w:autoSpaceDN/>
        <w:bidi w:val="0"/>
        <w:adjustRightInd/>
        <w:snapToGrid/>
        <w:spacing w:beforeAutospacing="0" w:after="120" w:afterAutospacing="0"/>
        <w:ind w:left="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.2.</w:t>
      </w:r>
      <w:r>
        <w:rPr>
          <w:rFonts w:ascii="Arial" w:hAnsi="Arial" w:cs="Arial"/>
          <w:sz w:val="22"/>
          <w:szCs w:val="22"/>
        </w:rPr>
        <w:t xml:space="preserve"> Na data da abertura dos envelopes contendo as propostas, serão rubricados os documentos pelos membros da Comissão de Licitação e pelos representantes legais das entidades licitantes presentes. A Comissão, caso julgue necessário, poderá suspender a reunião para análise das mesmas e utilizar-se, se for o caso, de assessoramento técnico específico, através de parecer que integrará o processo;</w:t>
      </w:r>
    </w:p>
    <w:p>
      <w:pPr>
        <w:pStyle w:val="86"/>
        <w:keepNext w:val="0"/>
        <w:keepLines w:val="0"/>
        <w:pageBreakBefore w:val="0"/>
        <w:widowControl w:val="0"/>
        <w:tabs>
          <w:tab w:val="left" w:pos="1134"/>
          <w:tab w:val="left" w:pos="1985"/>
        </w:tabs>
        <w:kinsoku/>
        <w:wordWrap/>
        <w:overflowPunct/>
        <w:topLinePunct w:val="0"/>
        <w:autoSpaceDE/>
        <w:autoSpaceDN/>
        <w:bidi w:val="0"/>
        <w:adjustRightInd/>
        <w:snapToGrid/>
        <w:spacing w:beforeAutospacing="0" w:after="120" w:afterAutospacing="0"/>
        <w:ind w:left="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.3.</w:t>
      </w:r>
      <w:r>
        <w:rPr>
          <w:rFonts w:ascii="Arial" w:hAnsi="Arial" w:cs="Arial"/>
          <w:sz w:val="22"/>
          <w:szCs w:val="22"/>
        </w:rPr>
        <w:t xml:space="preserve"> A Comissão de Licitação verificará as propostas apresentadas, desclassificando desde logo aquelas que não estejam em conformidade com os requisitos estabelecidos neste Edital;</w:t>
      </w:r>
    </w:p>
    <w:p>
      <w:pPr>
        <w:pStyle w:val="86"/>
        <w:keepNext w:val="0"/>
        <w:keepLines w:val="0"/>
        <w:pageBreakBefore w:val="0"/>
        <w:widowControl w:val="0"/>
        <w:tabs>
          <w:tab w:val="left" w:pos="1134"/>
          <w:tab w:val="left" w:pos="1985"/>
        </w:tabs>
        <w:kinsoku/>
        <w:wordWrap/>
        <w:overflowPunct/>
        <w:topLinePunct w:val="0"/>
        <w:autoSpaceDE/>
        <w:autoSpaceDN/>
        <w:bidi w:val="0"/>
        <w:adjustRightInd/>
        <w:snapToGrid/>
        <w:spacing w:beforeAutospacing="0" w:after="120" w:afterAutospacing="0"/>
        <w:ind w:left="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.4.</w:t>
      </w:r>
      <w:r>
        <w:rPr>
          <w:rFonts w:ascii="Arial" w:hAnsi="Arial" w:cs="Arial"/>
          <w:sz w:val="22"/>
          <w:szCs w:val="22"/>
        </w:rPr>
        <w:t xml:space="preserve"> Não será considerada qualquer oferta ou vantagem não prevista neste Edital, para efeito de julgamento da</w:t>
      </w:r>
      <w:r>
        <w:rPr>
          <w:rFonts w:hint="default" w:ascii="Arial" w:hAnsi="Arial" w:cs="Arial"/>
          <w:sz w:val="22"/>
          <w:szCs w:val="22"/>
          <w:lang w:val="pt-BR"/>
        </w:rPr>
        <w:t>s</w:t>
      </w:r>
      <w:r>
        <w:rPr>
          <w:rFonts w:ascii="Arial" w:hAnsi="Arial" w:cs="Arial"/>
          <w:sz w:val="22"/>
          <w:szCs w:val="22"/>
        </w:rPr>
        <w:t xml:space="preserve"> proposta</w:t>
      </w:r>
      <w:r>
        <w:rPr>
          <w:rFonts w:hint="default" w:ascii="Arial" w:hAnsi="Arial" w:cs="Arial"/>
          <w:sz w:val="22"/>
          <w:szCs w:val="22"/>
          <w:lang w:val="pt-BR"/>
        </w:rPr>
        <w:t>s de técnica e preço</w:t>
      </w:r>
      <w:r>
        <w:rPr>
          <w:rFonts w:ascii="Arial" w:hAnsi="Arial" w:cs="Arial"/>
          <w:sz w:val="22"/>
          <w:szCs w:val="22"/>
        </w:rPr>
        <w:t>;</w:t>
      </w:r>
    </w:p>
    <w:p>
      <w:pPr>
        <w:pStyle w:val="86"/>
        <w:keepNext w:val="0"/>
        <w:keepLines w:val="0"/>
        <w:pageBreakBefore w:val="0"/>
        <w:widowControl w:val="0"/>
        <w:tabs>
          <w:tab w:val="left" w:pos="1134"/>
          <w:tab w:val="left" w:pos="1985"/>
        </w:tabs>
        <w:kinsoku/>
        <w:wordWrap/>
        <w:overflowPunct/>
        <w:topLinePunct w:val="0"/>
        <w:autoSpaceDE/>
        <w:autoSpaceDN/>
        <w:bidi w:val="0"/>
        <w:adjustRightInd/>
        <w:snapToGrid/>
        <w:spacing w:beforeAutospacing="0" w:after="120" w:afterAutospacing="0"/>
        <w:ind w:left="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.5.</w:t>
      </w:r>
      <w:r>
        <w:rPr>
          <w:rFonts w:ascii="Arial" w:hAnsi="Arial" w:cs="Arial"/>
          <w:sz w:val="22"/>
          <w:szCs w:val="22"/>
        </w:rPr>
        <w:t xml:space="preserve"> As propostas serão classificadas em ordem crescente</w:t>
      </w:r>
      <w:r>
        <w:rPr>
          <w:rFonts w:hint="default" w:ascii="Arial" w:hAnsi="Arial" w:cs="Arial"/>
          <w:sz w:val="22"/>
          <w:szCs w:val="22"/>
          <w:lang w:val="pt-BR"/>
        </w:rPr>
        <w:t>pelo critério</w:t>
      </w:r>
      <w:r>
        <w:rPr>
          <w:rFonts w:ascii="Arial" w:hAnsi="Arial" w:cs="Arial"/>
          <w:b w:val="0"/>
          <w:bCs w:val="0"/>
          <w:sz w:val="22"/>
          <w:szCs w:val="22"/>
        </w:rPr>
        <w:t xml:space="preserve"> </w:t>
      </w:r>
      <w:r>
        <w:rPr>
          <w:rFonts w:hint="default" w:ascii="Arial" w:hAnsi="Arial" w:cs="Arial"/>
          <w:b w:val="0"/>
          <w:bCs w:val="0"/>
          <w:sz w:val="22"/>
          <w:szCs w:val="22"/>
          <w:lang w:val="pt-BR"/>
        </w:rPr>
        <w:t>melhor técnica e preço</w:t>
      </w:r>
      <w:r>
        <w:rPr>
          <w:rFonts w:ascii="Arial" w:hAnsi="Arial" w:cs="Arial"/>
          <w:sz w:val="22"/>
          <w:szCs w:val="22"/>
        </w:rPr>
        <w:t xml:space="preserve">; </w:t>
      </w:r>
    </w:p>
    <w:p>
      <w:pPr>
        <w:pStyle w:val="86"/>
        <w:keepNext w:val="0"/>
        <w:keepLines w:val="0"/>
        <w:pageBreakBefore w:val="0"/>
        <w:widowControl w:val="0"/>
        <w:tabs>
          <w:tab w:val="left" w:pos="1134"/>
          <w:tab w:val="left" w:pos="1985"/>
        </w:tabs>
        <w:kinsoku/>
        <w:wordWrap/>
        <w:overflowPunct/>
        <w:topLinePunct w:val="0"/>
        <w:autoSpaceDE/>
        <w:autoSpaceDN/>
        <w:bidi w:val="0"/>
        <w:adjustRightInd/>
        <w:snapToGrid/>
        <w:spacing w:beforeAutospacing="0" w:after="120" w:afterAutospacing="0"/>
        <w:ind w:left="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.6.</w:t>
      </w:r>
      <w:r>
        <w:rPr>
          <w:rFonts w:ascii="Arial" w:hAnsi="Arial" w:cs="Arial"/>
          <w:sz w:val="22"/>
          <w:szCs w:val="22"/>
        </w:rPr>
        <w:t xml:space="preserve"> A Comissão de Licitação verificará o porte das empresas licitantes classificadas. Havendo </w:t>
      </w:r>
      <w:r>
        <w:rPr>
          <w:rFonts w:ascii="Arial" w:hAnsi="Arial" w:cs="Arial"/>
          <w:bCs/>
          <w:sz w:val="22"/>
          <w:szCs w:val="22"/>
        </w:rPr>
        <w:t>microempresas e empresas de pequeno porte participantes, procederá à comparação com os valores da primeira colocada, se esta for empresa de maior porte, para o fim de aplicar-se o disposto nos arts. 44 e 45 da LC nº 123, de 2006, regulamentada pelo Decreto nº 6.204, de 2007;</w:t>
      </w:r>
    </w:p>
    <w:p>
      <w:pPr>
        <w:keepNext w:val="0"/>
        <w:keepLines w:val="0"/>
        <w:pageBreakBefore w:val="0"/>
        <w:widowControl w:val="0"/>
        <w:tabs>
          <w:tab w:val="left" w:pos="851"/>
          <w:tab w:val="left" w:pos="993"/>
        </w:tabs>
        <w:kinsoku/>
        <w:wordWrap/>
        <w:overflowPunct/>
        <w:topLinePunct w:val="0"/>
        <w:autoSpaceDE/>
        <w:autoSpaceDN/>
        <w:bidi w:val="0"/>
        <w:adjustRightInd/>
        <w:snapToGrid/>
        <w:spacing w:beforeAutospacing="0" w:after="120" w:afterAutospacing="0"/>
        <w:ind w:left="708"/>
        <w:jc w:val="both"/>
        <w:textAlignment w:val="auto"/>
        <w:rPr>
          <w:rFonts w:ascii="Arial" w:hAnsi="Arial" w:cs="Arial"/>
          <w:color w:val="000000"/>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color w:val="000000"/>
          <w:sz w:val="22"/>
          <w:szCs w:val="22"/>
        </w:rPr>
        <w:t>.6.1.</w:t>
      </w:r>
      <w:r>
        <w:rPr>
          <w:rFonts w:ascii="Arial" w:hAnsi="Arial" w:cs="Arial"/>
          <w:color w:val="000000"/>
          <w:sz w:val="22"/>
          <w:szCs w:val="22"/>
        </w:rPr>
        <w:t xml:space="preserve"> Nessas condições, as propostas de </w:t>
      </w:r>
      <w:r>
        <w:rPr>
          <w:rFonts w:ascii="Arial" w:hAnsi="Arial" w:cs="Arial"/>
          <w:bCs/>
          <w:sz w:val="22"/>
          <w:szCs w:val="22"/>
        </w:rPr>
        <w:t>microempresas e empresas de pequeno porte</w:t>
      </w:r>
      <w:r>
        <w:rPr>
          <w:rFonts w:ascii="Arial" w:hAnsi="Arial" w:cs="Arial"/>
          <w:color w:val="000000"/>
          <w:sz w:val="22"/>
          <w:szCs w:val="22"/>
        </w:rPr>
        <w:t xml:space="preserve"> que se encontrarem na faixa de até 10% (dez por cento) acima da proposta de menor </w:t>
      </w:r>
      <w:r>
        <w:rPr>
          <w:rFonts w:hint="default" w:ascii="Arial" w:hAnsi="Arial" w:cs="Arial"/>
          <w:color w:val="000000"/>
          <w:sz w:val="22"/>
          <w:szCs w:val="22"/>
          <w:lang w:val="pt-BR"/>
        </w:rPr>
        <w:t>técnica e preço</w:t>
      </w:r>
      <w:r>
        <w:rPr>
          <w:rFonts w:ascii="Arial" w:hAnsi="Arial" w:cs="Arial"/>
          <w:color w:val="000000"/>
          <w:sz w:val="22"/>
          <w:szCs w:val="22"/>
        </w:rPr>
        <w:t xml:space="preserve"> serão consideradas empatadas com a primeira colocada;</w:t>
      </w:r>
    </w:p>
    <w:p>
      <w:pPr>
        <w:keepNext w:val="0"/>
        <w:keepLines w:val="0"/>
        <w:pageBreakBefore w:val="0"/>
        <w:widowControl w:val="0"/>
        <w:tabs>
          <w:tab w:val="left" w:pos="851"/>
          <w:tab w:val="left" w:pos="993"/>
        </w:tabs>
        <w:kinsoku/>
        <w:wordWrap/>
        <w:overflowPunct/>
        <w:topLinePunct w:val="0"/>
        <w:autoSpaceDE/>
        <w:autoSpaceDN/>
        <w:bidi w:val="0"/>
        <w:adjustRightInd/>
        <w:snapToGrid/>
        <w:spacing w:beforeAutospacing="0" w:after="120" w:afterAutospacing="0"/>
        <w:ind w:left="708"/>
        <w:jc w:val="both"/>
        <w:textAlignment w:val="auto"/>
        <w:rPr>
          <w:rFonts w:ascii="Arial" w:hAnsi="Arial" w:cs="Arial"/>
          <w:color w:val="000000"/>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color w:val="000000"/>
          <w:sz w:val="22"/>
          <w:szCs w:val="22"/>
        </w:rPr>
        <w:t>.</w:t>
      </w:r>
      <w:r>
        <w:rPr>
          <w:rFonts w:ascii="Arial" w:hAnsi="Arial" w:cs="Arial"/>
          <w:b/>
          <w:sz w:val="22"/>
          <w:szCs w:val="22"/>
        </w:rPr>
        <w:t>6.2.</w:t>
      </w:r>
      <w:r>
        <w:rPr>
          <w:rFonts w:ascii="Arial" w:hAnsi="Arial" w:cs="Arial"/>
          <w:sz w:val="22"/>
          <w:szCs w:val="22"/>
        </w:rPr>
        <w:t xml:space="preserve"> A melhor classificada nos termos do item anterior terá o direito de encaminhar uma</w:t>
      </w:r>
      <w:r>
        <w:rPr>
          <w:rFonts w:ascii="Arial" w:hAnsi="Arial" w:cs="Arial"/>
          <w:color w:val="000000"/>
          <w:sz w:val="22"/>
          <w:szCs w:val="22"/>
        </w:rPr>
        <w:t xml:space="preserve"> última oferta para desempate, obrigatoriamente em valor inferior ao da primeira </w:t>
      </w:r>
      <w:r>
        <w:rPr>
          <w:rFonts w:ascii="Arial" w:hAnsi="Arial" w:cs="Arial"/>
          <w:sz w:val="22"/>
          <w:szCs w:val="22"/>
        </w:rPr>
        <w:t xml:space="preserve">colocada, </w:t>
      </w:r>
      <w:r>
        <w:rPr>
          <w:rFonts w:ascii="Arial" w:hAnsi="Arial" w:cs="Arial"/>
          <w:i/>
          <w:sz w:val="22"/>
          <w:szCs w:val="22"/>
        </w:rPr>
        <w:t>no prazo de 5 (cinco) minutos</w:t>
      </w:r>
      <w:r>
        <w:rPr>
          <w:rFonts w:ascii="Arial" w:hAnsi="Arial" w:cs="Arial"/>
          <w:sz w:val="22"/>
          <w:szCs w:val="22"/>
        </w:rPr>
        <w:t>, caso esteja presente na sessão ou no prazo de 24 (vinte e quatro) horas, contados da comunicação da Comissão de Licitação, na hipótese de ausência. Neste caso, a oferta deverá ser escrita e assinada para posterior inclusão nos autos</w:t>
      </w:r>
      <w:r>
        <w:rPr>
          <w:rFonts w:ascii="Arial" w:hAnsi="Arial" w:cs="Arial"/>
          <w:color w:val="000000"/>
          <w:sz w:val="22"/>
          <w:szCs w:val="22"/>
        </w:rPr>
        <w:t xml:space="preserve"> do processo licitatório;</w:t>
      </w:r>
    </w:p>
    <w:p>
      <w:pPr>
        <w:keepNext w:val="0"/>
        <w:keepLines w:val="0"/>
        <w:pageBreakBefore w:val="0"/>
        <w:widowControl w:val="0"/>
        <w:tabs>
          <w:tab w:val="left" w:pos="851"/>
          <w:tab w:val="left" w:pos="993"/>
        </w:tabs>
        <w:kinsoku/>
        <w:wordWrap/>
        <w:overflowPunct/>
        <w:topLinePunct w:val="0"/>
        <w:autoSpaceDE/>
        <w:autoSpaceDN/>
        <w:bidi w:val="0"/>
        <w:adjustRightInd/>
        <w:snapToGrid/>
        <w:spacing w:beforeAutospacing="0" w:after="120" w:afterAutospacing="0"/>
        <w:ind w:left="708"/>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color w:val="000000"/>
          <w:sz w:val="22"/>
          <w:szCs w:val="22"/>
        </w:rPr>
        <w:t xml:space="preserve">.6.3. </w:t>
      </w:r>
      <w:r>
        <w:rPr>
          <w:rFonts w:ascii="Arial" w:hAnsi="Arial" w:cs="Arial"/>
          <w:color w:val="000000"/>
          <w:sz w:val="22"/>
          <w:szCs w:val="22"/>
        </w:rPr>
        <w:t xml:space="preserve">Caso a </w:t>
      </w:r>
      <w:r>
        <w:rPr>
          <w:rFonts w:ascii="Arial" w:hAnsi="Arial" w:cs="Arial"/>
          <w:bCs/>
          <w:sz w:val="22"/>
          <w:szCs w:val="22"/>
        </w:rPr>
        <w:t xml:space="preserve">microempresa ou empresa de pequeno porte </w:t>
      </w:r>
      <w:r>
        <w:rPr>
          <w:rFonts w:ascii="Arial" w:hAnsi="Arial" w:cs="Arial"/>
          <w:color w:val="000000"/>
          <w:sz w:val="22"/>
          <w:szCs w:val="22"/>
        </w:rPr>
        <w:t xml:space="preserve">melhor classificada desista ou não se manifeste no prazo estabelecido, serão convocadas as demais licitantes </w:t>
      </w:r>
      <w:r>
        <w:rPr>
          <w:rFonts w:ascii="Arial" w:hAnsi="Arial" w:cs="Arial"/>
          <w:bCs/>
          <w:sz w:val="22"/>
          <w:szCs w:val="22"/>
        </w:rPr>
        <w:t xml:space="preserve">microempresas e empresas de pequeno porte </w:t>
      </w:r>
      <w:r>
        <w:rPr>
          <w:rFonts w:ascii="Arial" w:hAnsi="Arial" w:cs="Arial"/>
          <w:color w:val="000000"/>
          <w:sz w:val="22"/>
          <w:szCs w:val="22"/>
        </w:rPr>
        <w:t xml:space="preserve">que se encontrem naquele intervalo de 10% (dez por cento), na ordem de classificação, </w:t>
      </w:r>
      <w:r>
        <w:rPr>
          <w:rFonts w:ascii="Arial" w:hAnsi="Arial" w:cs="Arial"/>
          <w:sz w:val="22"/>
          <w:szCs w:val="22"/>
        </w:rPr>
        <w:t>para o exercício do mesmo direito, nos mesmos prazos estabelecidos no subitem anterior.</w:t>
      </w:r>
    </w:p>
    <w:p>
      <w:pPr>
        <w:keepNext w:val="0"/>
        <w:keepLines w:val="0"/>
        <w:pageBreakBefore w:val="0"/>
        <w:widowControl w:val="0"/>
        <w:tabs>
          <w:tab w:val="left" w:pos="851"/>
          <w:tab w:val="left" w:pos="993"/>
        </w:tabs>
        <w:kinsoku/>
        <w:wordWrap/>
        <w:overflowPunct/>
        <w:topLinePunct w:val="0"/>
        <w:autoSpaceDE/>
        <w:autoSpaceDN/>
        <w:bidi w:val="0"/>
        <w:adjustRightInd/>
        <w:snapToGrid/>
        <w:spacing w:beforeAutospacing="0" w:after="120" w:afterAutospacing="0"/>
        <w:ind w:left="708"/>
        <w:jc w:val="both"/>
        <w:textAlignment w:val="auto"/>
        <w:rPr>
          <w:rFonts w:hint="default" w:ascii="Arial" w:hAnsi="Arial" w:cs="Arial"/>
          <w:color w:val="000000"/>
          <w:sz w:val="22"/>
          <w:szCs w:val="22"/>
        </w:rPr>
      </w:pPr>
      <w:r>
        <w:rPr>
          <w:rFonts w:ascii="Arial" w:hAnsi="Arial" w:cs="Arial"/>
          <w:b/>
          <w:sz w:val="22"/>
          <w:szCs w:val="22"/>
        </w:rPr>
        <w:t>1</w:t>
      </w:r>
      <w:r>
        <w:rPr>
          <w:rFonts w:hint="default" w:ascii="Arial" w:hAnsi="Arial" w:cs="Arial"/>
          <w:b/>
          <w:sz w:val="22"/>
          <w:szCs w:val="22"/>
          <w:lang w:val="pt-BR"/>
        </w:rPr>
        <w:t>5</w:t>
      </w:r>
      <w:r>
        <w:rPr>
          <w:rFonts w:hint="default" w:ascii="Arial" w:hAnsi="Arial" w:cs="Arial"/>
          <w:b/>
          <w:bCs/>
          <w:color w:val="000000"/>
          <w:sz w:val="22"/>
          <w:szCs w:val="22"/>
          <w:lang w:val="pt-BR"/>
        </w:rPr>
        <w:t>.6</w:t>
      </w:r>
      <w:r>
        <w:rPr>
          <w:rFonts w:hint="default" w:ascii="Arial" w:hAnsi="Arial" w:cs="Arial"/>
          <w:b/>
          <w:bCs/>
          <w:color w:val="000000"/>
          <w:sz w:val="22"/>
          <w:szCs w:val="22"/>
        </w:rPr>
        <w:t>.</w:t>
      </w:r>
      <w:r>
        <w:rPr>
          <w:rFonts w:hint="default" w:ascii="Arial" w:hAnsi="Arial" w:cs="Arial"/>
          <w:b/>
          <w:bCs/>
          <w:color w:val="000000"/>
          <w:sz w:val="22"/>
          <w:szCs w:val="22"/>
          <w:lang w:val="pt-BR"/>
        </w:rPr>
        <w:t>4.</w:t>
      </w:r>
      <w:r>
        <w:rPr>
          <w:rFonts w:hint="default" w:ascii="Arial" w:hAnsi="Arial" w:cs="Arial"/>
          <w:color w:val="000000"/>
          <w:sz w:val="22"/>
          <w:szCs w:val="22"/>
          <w:lang w:val="pt-BR"/>
        </w:rPr>
        <w:t xml:space="preserve"> </w:t>
      </w:r>
      <w:r>
        <w:rPr>
          <w:rFonts w:hint="default" w:ascii="Arial" w:hAnsi="Arial" w:cs="Arial"/>
          <w:color w:val="000000"/>
          <w:sz w:val="22"/>
          <w:szCs w:val="22"/>
        </w:rPr>
        <w:tab/>
      </w:r>
      <w:r>
        <w:rPr>
          <w:rFonts w:hint="default" w:ascii="Arial" w:hAnsi="Arial" w:cs="Arial"/>
          <w:color w:val="000000"/>
          <w:sz w:val="22"/>
          <w:szCs w:val="22"/>
        </w:rPr>
        <w:t>Para atender os objetivos da promoç</w:t>
      </w:r>
      <w:r>
        <w:rPr>
          <w:rFonts w:hint="default" w:ascii="Arial" w:hAnsi="Arial" w:cs="Arial"/>
          <w:color w:val="000000"/>
          <w:sz w:val="22"/>
          <w:szCs w:val="22"/>
          <w:lang w:val="pt-BR"/>
        </w:rPr>
        <w:t>ão</w:t>
      </w:r>
      <w:r>
        <w:rPr>
          <w:rFonts w:hint="default" w:ascii="Arial" w:hAnsi="Arial" w:cs="Arial"/>
          <w:color w:val="000000"/>
          <w:sz w:val="22"/>
          <w:szCs w:val="22"/>
        </w:rPr>
        <w:t xml:space="preserve"> do desenvolvimento economico-social no ambito municipal e regional, a ampliaçao da eficiencia das ploticas públicas e o incentivo à inovaçao tecnologica, previstos na Lei Municipal</w:t>
      </w:r>
      <w:r>
        <w:rPr>
          <w:rFonts w:hint="default" w:ascii="Arial" w:hAnsi="Arial" w:cs="Arial"/>
          <w:color w:val="000000"/>
          <w:sz w:val="22"/>
          <w:szCs w:val="22"/>
          <w:lang w:val="pt-BR"/>
        </w:rPr>
        <w:t xml:space="preserve"> nº </w:t>
      </w:r>
      <w:r>
        <w:rPr>
          <w:rFonts w:hint="default" w:ascii="Arial" w:hAnsi="Arial" w:cs="Arial"/>
          <w:color w:val="000000"/>
          <w:sz w:val="22"/>
          <w:szCs w:val="22"/>
        </w:rPr>
        <w:t>1.953/2021 e no artigo 47 da Lei Complementar Federal 123/2006, os beneficios referidos nesta lei deverao priorizar a contrataçao com microempresas e empresas de pequeno porte ou regionalmente, até por limite de 10% (dez por cento) d</w:t>
      </w:r>
      <w:r>
        <w:rPr>
          <w:rFonts w:hint="default" w:ascii="Arial" w:hAnsi="Arial" w:cs="Arial"/>
          <w:color w:val="000000"/>
          <w:sz w:val="22"/>
          <w:szCs w:val="22"/>
          <w:lang w:val="pt-BR"/>
        </w:rPr>
        <w:t>a</w:t>
      </w:r>
      <w:r>
        <w:rPr>
          <w:rFonts w:hint="default" w:ascii="Arial" w:hAnsi="Arial" w:cs="Arial"/>
          <w:color w:val="000000"/>
          <w:sz w:val="22"/>
          <w:szCs w:val="22"/>
        </w:rPr>
        <w:t xml:space="preserve"> melhor </w:t>
      </w:r>
      <w:r>
        <w:rPr>
          <w:rFonts w:hint="default" w:ascii="Arial" w:hAnsi="Arial" w:cs="Arial"/>
          <w:color w:val="000000"/>
          <w:sz w:val="22"/>
          <w:szCs w:val="22"/>
          <w:lang w:val="pt-BR"/>
        </w:rPr>
        <w:t xml:space="preserve"> técnica e </w:t>
      </w:r>
      <w:r>
        <w:rPr>
          <w:rFonts w:hint="default" w:ascii="Arial" w:hAnsi="Arial" w:cs="Arial"/>
          <w:color w:val="000000"/>
          <w:sz w:val="22"/>
          <w:szCs w:val="22"/>
        </w:rPr>
        <w:t>preço valido</w:t>
      </w:r>
      <w:r>
        <w:rPr>
          <w:rFonts w:hint="default" w:ascii="Arial" w:hAnsi="Arial" w:cs="Arial"/>
          <w:color w:val="000000"/>
          <w:sz w:val="22"/>
          <w:szCs w:val="22"/>
          <w:lang w:val="pt-BR"/>
        </w:rPr>
        <w:t>, proporcionará o direito de preferência (empate ficto)</w:t>
      </w:r>
      <w:r>
        <w:rPr>
          <w:rFonts w:hint="default" w:ascii="Arial" w:hAnsi="Arial" w:cs="Arial"/>
          <w:color w:val="000000"/>
          <w:sz w:val="22"/>
          <w:szCs w:val="22"/>
        </w:rPr>
        <w:t>.</w:t>
      </w:r>
    </w:p>
    <w:p>
      <w:pPr>
        <w:keepNext w:val="0"/>
        <w:keepLines w:val="0"/>
        <w:pageBreakBefore w:val="0"/>
        <w:widowControl w:val="0"/>
        <w:tabs>
          <w:tab w:val="left" w:pos="851"/>
          <w:tab w:val="left" w:pos="993"/>
        </w:tabs>
        <w:kinsoku/>
        <w:wordWrap/>
        <w:overflowPunct/>
        <w:topLinePunct w:val="0"/>
        <w:autoSpaceDE/>
        <w:autoSpaceDN/>
        <w:bidi w:val="0"/>
        <w:adjustRightInd/>
        <w:snapToGrid/>
        <w:spacing w:beforeAutospacing="0" w:after="120" w:afterAutospacing="0"/>
        <w:ind w:left="708"/>
        <w:jc w:val="both"/>
        <w:textAlignment w:val="auto"/>
        <w:rPr>
          <w:rFonts w:hint="default" w:ascii="Arial" w:hAnsi="Arial" w:cs="Arial"/>
          <w:color w:val="000000"/>
          <w:sz w:val="22"/>
          <w:szCs w:val="22"/>
        </w:rPr>
      </w:pPr>
      <w:r>
        <w:rPr>
          <w:rFonts w:ascii="Arial" w:hAnsi="Arial" w:cs="Arial"/>
          <w:b/>
          <w:sz w:val="22"/>
          <w:szCs w:val="22"/>
        </w:rPr>
        <w:t>1</w:t>
      </w:r>
      <w:r>
        <w:rPr>
          <w:rFonts w:hint="default" w:ascii="Arial" w:hAnsi="Arial" w:cs="Arial"/>
          <w:b/>
          <w:sz w:val="22"/>
          <w:szCs w:val="22"/>
          <w:lang w:val="pt-BR"/>
        </w:rPr>
        <w:t>5</w:t>
      </w:r>
      <w:r>
        <w:rPr>
          <w:rFonts w:hint="default" w:ascii="Arial" w:hAnsi="Arial" w:cs="Arial"/>
          <w:b/>
          <w:bCs/>
          <w:color w:val="000000"/>
          <w:sz w:val="22"/>
          <w:szCs w:val="22"/>
          <w:lang w:val="pt-BR"/>
        </w:rPr>
        <w:t>.6</w:t>
      </w:r>
      <w:r>
        <w:rPr>
          <w:rFonts w:hint="default" w:ascii="Arial" w:hAnsi="Arial" w:cs="Arial"/>
          <w:b/>
          <w:bCs/>
          <w:color w:val="000000"/>
          <w:sz w:val="22"/>
          <w:szCs w:val="22"/>
        </w:rPr>
        <w:t>.</w:t>
      </w:r>
      <w:r>
        <w:rPr>
          <w:rFonts w:hint="default" w:ascii="Arial" w:hAnsi="Arial" w:cs="Arial"/>
          <w:b/>
          <w:bCs/>
          <w:color w:val="000000"/>
          <w:sz w:val="22"/>
          <w:szCs w:val="22"/>
          <w:lang w:val="pt-BR"/>
        </w:rPr>
        <w:t>5.</w:t>
      </w:r>
      <w:r>
        <w:rPr>
          <w:rFonts w:hint="default" w:ascii="Arial" w:hAnsi="Arial" w:cs="Arial"/>
          <w:color w:val="000000"/>
          <w:sz w:val="22"/>
          <w:szCs w:val="22"/>
          <w:lang w:val="pt-BR"/>
        </w:rPr>
        <w:t xml:space="preserve"> </w:t>
      </w:r>
      <w:r>
        <w:rPr>
          <w:rFonts w:hint="default" w:ascii="Arial" w:hAnsi="Arial" w:cs="Arial"/>
          <w:color w:val="000000"/>
          <w:sz w:val="22"/>
          <w:szCs w:val="22"/>
        </w:rPr>
        <w:tab/>
      </w:r>
      <w:r>
        <w:rPr>
          <w:rFonts w:hint="default" w:ascii="Arial" w:hAnsi="Arial" w:cs="Arial"/>
          <w:color w:val="000000"/>
          <w:sz w:val="22"/>
          <w:szCs w:val="22"/>
        </w:rPr>
        <w:t>Em consonancia com o Anexo V da Lei n° 10.340 de 19 de novembro de 2015, pertencem a regionalidade da REGIAO V - SUDESTE as cidades de: Rondonopolis (cidade polo), Gaucha do Norte, Paranatinga, Santo Antonio do Leste, Campo Verde, Prmavera do Leste, Dom Aquino, Poxoreu, Tesouro, Jaciara, Sao Pedro da Cipa, Juscimeira, Pedra Preta, Guiratinga, São José do Povo, Itiquira, Alto Garças, Alto Araguaia, Alto Taquari;</w:t>
      </w:r>
    </w:p>
    <w:p>
      <w:pPr>
        <w:keepNext w:val="0"/>
        <w:keepLines w:val="0"/>
        <w:pageBreakBefore w:val="0"/>
        <w:widowControl w:val="0"/>
        <w:tabs>
          <w:tab w:val="left" w:pos="851"/>
          <w:tab w:val="left" w:pos="993"/>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color w:val="000000"/>
          <w:sz w:val="22"/>
          <w:szCs w:val="22"/>
        </w:rPr>
        <w:t xml:space="preserve">.7. </w:t>
      </w:r>
      <w:r>
        <w:rPr>
          <w:rFonts w:ascii="Arial" w:hAnsi="Arial" w:cs="Arial"/>
          <w:sz w:val="22"/>
          <w:szCs w:val="22"/>
        </w:rPr>
        <w:t xml:space="preserve">Caso sejam identificadas propostas de </w:t>
      </w:r>
      <w:r>
        <w:rPr>
          <w:rFonts w:hint="default" w:ascii="Arial" w:hAnsi="Arial" w:cs="Arial"/>
          <w:sz w:val="22"/>
          <w:szCs w:val="22"/>
          <w:lang w:val="pt-BR"/>
        </w:rPr>
        <w:t xml:space="preserve">técncia e </w:t>
      </w:r>
      <w:r>
        <w:rPr>
          <w:rFonts w:ascii="Arial" w:hAnsi="Arial" w:cs="Arial"/>
          <w:sz w:val="22"/>
          <w:szCs w:val="22"/>
        </w:rPr>
        <w:t>preços idênticos de microempresa ou empresa de</w:t>
      </w:r>
      <w:r>
        <w:rPr>
          <w:rFonts w:ascii="Arial" w:hAnsi="Arial" w:cs="Arial"/>
          <w:bCs/>
          <w:sz w:val="22"/>
          <w:szCs w:val="22"/>
        </w:rPr>
        <w:t xml:space="preserve"> pequeno porte ou sociedade cooperativa empatadas na faixa de até 10%(dez por cento) sobre o valor cotado pela primeira colocada, a Comissão de Licitação convocará os licitantes para que compareçam ao sorteio na data e horário estipulados, </w:t>
      </w:r>
      <w:r>
        <w:rPr>
          <w:rFonts w:ascii="Arial" w:hAnsi="Arial" w:cs="Arial"/>
          <w:sz w:val="22"/>
          <w:szCs w:val="22"/>
        </w:rPr>
        <w:t>para que se identifique aquela que primeiro poderá reduzir a oferta;</w:t>
      </w:r>
    </w:p>
    <w:p>
      <w:pPr>
        <w:keepNext w:val="0"/>
        <w:keepLines w:val="0"/>
        <w:pageBreakBefore w:val="0"/>
        <w:widowControl w:val="0"/>
        <w:tabs>
          <w:tab w:val="left" w:pos="851"/>
          <w:tab w:val="left" w:pos="993"/>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.8.</w:t>
      </w:r>
      <w:r>
        <w:rPr>
          <w:rFonts w:ascii="Arial" w:hAnsi="Arial" w:cs="Arial"/>
          <w:sz w:val="22"/>
          <w:szCs w:val="22"/>
        </w:rPr>
        <w:t xml:space="preserve"> Havendo êxito no procedimento de desempate, será elaborada a nova classificação das propostas para fins de aceitação do valor ofertado. Não sendo aplicável o procedimento, ou não havendo êxito na aplicação deste, prevalecerá a classificação inicial;</w:t>
      </w:r>
    </w:p>
    <w:p>
      <w:pPr>
        <w:keepNext w:val="0"/>
        <w:keepLines w:val="0"/>
        <w:pageBreakBefore w:val="0"/>
        <w:widowControl w:val="0"/>
        <w:tabs>
          <w:tab w:val="left" w:pos="851"/>
          <w:tab w:val="left" w:pos="993"/>
        </w:tabs>
        <w:kinsoku/>
        <w:wordWrap/>
        <w:overflowPunct/>
        <w:topLinePunct w:val="0"/>
        <w:autoSpaceDE/>
        <w:autoSpaceDN/>
        <w:bidi w:val="0"/>
        <w:adjustRightInd/>
        <w:snapToGrid/>
        <w:spacing w:beforeAutospacing="0" w:after="120" w:afterAutospacing="0"/>
        <w:jc w:val="both"/>
        <w:textAlignment w:val="auto"/>
        <w:rPr>
          <w:rFonts w:ascii="Arial" w:hAnsi="Arial" w:cs="Arial"/>
          <w:color w:val="000000"/>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.9.</w:t>
      </w:r>
      <w:r>
        <w:rPr>
          <w:rFonts w:ascii="Arial" w:hAnsi="Arial" w:cs="Arial"/>
          <w:sz w:val="22"/>
          <w:szCs w:val="22"/>
        </w:rPr>
        <w:t xml:space="preserve"> </w:t>
      </w:r>
      <w:r>
        <w:rPr>
          <w:rFonts w:ascii="Arial" w:hAnsi="Arial" w:cs="Arial"/>
          <w:color w:val="000000"/>
          <w:sz w:val="22"/>
          <w:szCs w:val="22"/>
        </w:rPr>
        <w:t>Persistindo o empate, será assegurada preferência, sucessivamente, aos bens e serviços:</w:t>
      </w:r>
    </w:p>
    <w:p>
      <w:pPr>
        <w:keepNext w:val="0"/>
        <w:keepLines w:val="0"/>
        <w:pageBreakBefore w:val="0"/>
        <w:widowControl w:val="0"/>
        <w:tabs>
          <w:tab w:val="left" w:pos="851"/>
          <w:tab w:val="left" w:pos="993"/>
        </w:tabs>
        <w:kinsoku/>
        <w:wordWrap/>
        <w:overflowPunct/>
        <w:topLinePunct w:val="0"/>
        <w:autoSpaceDE/>
        <w:autoSpaceDN/>
        <w:bidi w:val="0"/>
        <w:adjustRightInd/>
        <w:snapToGrid/>
        <w:spacing w:beforeAutospacing="0" w:after="120" w:afterAutospacing="0"/>
        <w:ind w:firstLine="709"/>
        <w:jc w:val="both"/>
        <w:textAlignment w:val="auto"/>
        <w:rPr>
          <w:rFonts w:ascii="Arial" w:hAnsi="Arial" w:cs="Arial"/>
          <w:color w:val="000000"/>
          <w:sz w:val="22"/>
          <w:szCs w:val="22"/>
        </w:rPr>
      </w:pPr>
      <w:r>
        <w:rPr>
          <w:rFonts w:ascii="Arial" w:hAnsi="Arial" w:cs="Arial"/>
          <w:b/>
          <w:color w:val="000000"/>
          <w:sz w:val="22"/>
          <w:szCs w:val="22"/>
        </w:rPr>
        <w:t>14.9.1.</w:t>
      </w:r>
      <w:r>
        <w:rPr>
          <w:rFonts w:ascii="Arial" w:hAnsi="Arial" w:cs="Arial"/>
          <w:color w:val="000000"/>
          <w:sz w:val="22"/>
          <w:szCs w:val="22"/>
        </w:rPr>
        <w:t xml:space="preserve"> Produzidos no País; </w:t>
      </w:r>
    </w:p>
    <w:p>
      <w:pPr>
        <w:keepNext w:val="0"/>
        <w:keepLines w:val="0"/>
        <w:pageBreakBefore w:val="0"/>
        <w:widowControl w:val="0"/>
        <w:tabs>
          <w:tab w:val="left" w:pos="851"/>
          <w:tab w:val="left" w:pos="993"/>
        </w:tabs>
        <w:kinsoku/>
        <w:wordWrap/>
        <w:overflowPunct/>
        <w:topLinePunct w:val="0"/>
        <w:autoSpaceDE/>
        <w:autoSpaceDN/>
        <w:bidi w:val="0"/>
        <w:adjustRightInd/>
        <w:snapToGrid/>
        <w:spacing w:beforeAutospacing="0" w:after="120" w:afterAutospacing="0"/>
        <w:ind w:firstLine="709"/>
        <w:jc w:val="both"/>
        <w:textAlignment w:val="auto"/>
        <w:rPr>
          <w:rFonts w:ascii="Arial" w:hAnsi="Arial" w:cs="Arial"/>
          <w:color w:val="000000"/>
          <w:sz w:val="22"/>
          <w:szCs w:val="22"/>
        </w:rPr>
      </w:pPr>
      <w:r>
        <w:rPr>
          <w:rFonts w:ascii="Arial" w:hAnsi="Arial" w:cs="Arial"/>
          <w:b/>
          <w:color w:val="000000"/>
          <w:sz w:val="22"/>
          <w:szCs w:val="22"/>
        </w:rPr>
        <w:t>14.9.2.</w:t>
      </w:r>
      <w:r>
        <w:rPr>
          <w:rFonts w:ascii="Arial" w:hAnsi="Arial" w:cs="Arial"/>
          <w:color w:val="000000"/>
          <w:sz w:val="22"/>
          <w:szCs w:val="22"/>
        </w:rPr>
        <w:t xml:space="preserve"> Produzidos ou prestados por empresas brasileiras;</w:t>
      </w:r>
    </w:p>
    <w:p>
      <w:pPr>
        <w:keepNext w:val="0"/>
        <w:keepLines w:val="0"/>
        <w:pageBreakBefore w:val="0"/>
        <w:widowControl w:val="0"/>
        <w:tabs>
          <w:tab w:val="left" w:pos="709"/>
          <w:tab w:val="left" w:pos="993"/>
        </w:tabs>
        <w:kinsoku/>
        <w:wordWrap/>
        <w:overflowPunct/>
        <w:topLinePunct w:val="0"/>
        <w:autoSpaceDE/>
        <w:autoSpaceDN/>
        <w:bidi w:val="0"/>
        <w:adjustRightInd/>
        <w:snapToGrid/>
        <w:spacing w:beforeAutospacing="0" w:after="120" w:afterAutospacing="0"/>
        <w:ind w:left="708"/>
        <w:jc w:val="both"/>
        <w:textAlignment w:val="auto"/>
        <w:rPr>
          <w:rFonts w:ascii="Arial" w:hAnsi="Arial" w:cs="Arial"/>
          <w:color w:val="000000"/>
          <w:sz w:val="22"/>
          <w:szCs w:val="22"/>
        </w:rPr>
      </w:pPr>
      <w:r>
        <w:rPr>
          <w:rFonts w:ascii="Arial" w:hAnsi="Arial" w:cs="Arial"/>
          <w:b/>
          <w:color w:val="000000"/>
          <w:sz w:val="22"/>
          <w:szCs w:val="22"/>
        </w:rPr>
        <w:t>14.9.3.</w:t>
      </w:r>
      <w:r>
        <w:rPr>
          <w:rFonts w:ascii="Arial" w:hAnsi="Arial" w:cs="Arial"/>
          <w:color w:val="000000"/>
          <w:sz w:val="22"/>
          <w:szCs w:val="22"/>
        </w:rPr>
        <w:t>Produzidos ou prestados por empresas que invistam em pesquisa e no desenvolvimento de tecnologia no País.</w:t>
      </w:r>
    </w:p>
    <w:p>
      <w:pPr>
        <w:keepNext w:val="0"/>
        <w:keepLines w:val="0"/>
        <w:pageBreakBefore w:val="0"/>
        <w:widowControl w:val="0"/>
        <w:tabs>
          <w:tab w:val="left" w:pos="709"/>
          <w:tab w:val="left" w:pos="993"/>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.10.</w:t>
      </w:r>
      <w:r>
        <w:rPr>
          <w:rFonts w:ascii="Arial" w:hAnsi="Arial" w:cs="Arial"/>
          <w:sz w:val="22"/>
          <w:szCs w:val="22"/>
        </w:rPr>
        <w:t xml:space="preserve"> Esgotados todos os demais critérios de desempate previstos em lei, a escolha do licitante vencedor ocorrerá por meio de sorteio, para o qual os licitantes habilitados serão convocados;</w:t>
      </w:r>
    </w:p>
    <w:p>
      <w:pPr>
        <w:keepNext w:val="0"/>
        <w:keepLines w:val="0"/>
        <w:pageBreakBefore w:val="0"/>
        <w:widowControl w:val="0"/>
        <w:tabs>
          <w:tab w:val="left" w:pos="709"/>
          <w:tab w:val="left" w:pos="993"/>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.11.</w:t>
      </w:r>
      <w:r>
        <w:rPr>
          <w:rFonts w:ascii="Arial" w:hAnsi="Arial" w:cs="Arial"/>
          <w:sz w:val="22"/>
          <w:szCs w:val="22"/>
        </w:rPr>
        <w:t xml:space="preserve"> Quando todos os licitantes forem desclassificados, a Comissão de Licitação poderá fixar o prazo de 8 (oito) dias úteis para a apresentação de novas propostas, escoimadas das causas de desclassificação; </w:t>
      </w:r>
    </w:p>
    <w:p>
      <w:pPr>
        <w:keepNext w:val="0"/>
        <w:keepLines w:val="0"/>
        <w:pageBreakBefore w:val="0"/>
        <w:widowControl w:val="0"/>
        <w:tabs>
          <w:tab w:val="left" w:pos="709"/>
          <w:tab w:val="left" w:pos="993"/>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.12.</w:t>
      </w:r>
      <w:r>
        <w:rPr>
          <w:rFonts w:ascii="Arial" w:hAnsi="Arial" w:cs="Arial"/>
          <w:sz w:val="22"/>
          <w:szCs w:val="22"/>
        </w:rPr>
        <w:t xml:space="preserve"> Será desclassificada a proposta que:</w:t>
      </w:r>
    </w:p>
    <w:p>
      <w:pPr>
        <w:keepNext w:val="0"/>
        <w:keepLines w:val="0"/>
        <w:pageBreakBefore w:val="0"/>
        <w:widowControl w:val="0"/>
        <w:tabs>
          <w:tab w:val="left" w:pos="709"/>
          <w:tab w:val="left" w:pos="993"/>
          <w:tab w:val="left" w:pos="1560"/>
        </w:tabs>
        <w:kinsoku/>
        <w:wordWrap/>
        <w:overflowPunct/>
        <w:topLinePunct w:val="0"/>
        <w:autoSpaceDE/>
        <w:autoSpaceDN/>
        <w:bidi w:val="0"/>
        <w:adjustRightInd/>
        <w:snapToGrid/>
        <w:spacing w:beforeAutospacing="0" w:after="120" w:afterAutospacing="0"/>
        <w:ind w:left="708"/>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.12.1.</w:t>
      </w:r>
      <w:r>
        <w:rPr>
          <w:rFonts w:ascii="Arial" w:hAnsi="Arial" w:cs="Arial"/>
          <w:sz w:val="22"/>
          <w:szCs w:val="22"/>
        </w:rPr>
        <w:t xml:space="preserve"> Não estiver em conformidade com os requisitos estabelecidos neste edital;</w:t>
      </w:r>
    </w:p>
    <w:p>
      <w:pPr>
        <w:keepNext w:val="0"/>
        <w:keepLines w:val="0"/>
        <w:pageBreakBefore w:val="0"/>
        <w:widowControl w:val="0"/>
        <w:tabs>
          <w:tab w:val="left" w:pos="709"/>
          <w:tab w:val="left" w:pos="993"/>
          <w:tab w:val="left" w:pos="1560"/>
        </w:tabs>
        <w:kinsoku/>
        <w:wordWrap/>
        <w:overflowPunct/>
        <w:topLinePunct w:val="0"/>
        <w:autoSpaceDE/>
        <w:autoSpaceDN/>
        <w:bidi w:val="0"/>
        <w:adjustRightInd/>
        <w:snapToGrid/>
        <w:spacing w:beforeAutospacing="0" w:after="120" w:afterAutospacing="0"/>
        <w:ind w:left="708"/>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.12.2.</w:t>
      </w:r>
      <w:r>
        <w:rPr>
          <w:rFonts w:ascii="Arial" w:hAnsi="Arial" w:cs="Arial"/>
          <w:sz w:val="22"/>
          <w:szCs w:val="22"/>
        </w:rPr>
        <w:t xml:space="preserve"> Contiver vícios ou ilegalidades, for omissa ou apresentar irregularidades ou defeitos capazes de dificultar o julgamento;</w:t>
      </w:r>
    </w:p>
    <w:p>
      <w:pPr>
        <w:keepNext w:val="0"/>
        <w:keepLines w:val="0"/>
        <w:pageBreakBefore w:val="0"/>
        <w:widowControl w:val="0"/>
        <w:tabs>
          <w:tab w:val="left" w:pos="709"/>
          <w:tab w:val="left" w:pos="993"/>
          <w:tab w:val="left" w:pos="1560"/>
        </w:tabs>
        <w:kinsoku/>
        <w:wordWrap/>
        <w:overflowPunct/>
        <w:topLinePunct w:val="0"/>
        <w:autoSpaceDE/>
        <w:autoSpaceDN/>
        <w:bidi w:val="0"/>
        <w:adjustRightInd/>
        <w:snapToGrid/>
        <w:spacing w:beforeAutospacing="0" w:after="120" w:afterAutospacing="0"/>
        <w:ind w:left="708"/>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.12.3.</w:t>
      </w:r>
      <w:r>
        <w:rPr>
          <w:rFonts w:ascii="Arial" w:hAnsi="Arial" w:cs="Arial"/>
          <w:sz w:val="22"/>
          <w:szCs w:val="22"/>
        </w:rPr>
        <w:t xml:space="preserve"> Não apresentar as especificações técnicas exigidas </w:t>
      </w:r>
      <w:r>
        <w:rPr>
          <w:rFonts w:hint="default" w:ascii="Arial" w:hAnsi="Arial" w:cs="Arial"/>
          <w:sz w:val="22"/>
          <w:szCs w:val="22"/>
          <w:lang w:val="pt-BR"/>
        </w:rPr>
        <w:t>pelo edital</w:t>
      </w:r>
      <w:r>
        <w:rPr>
          <w:rFonts w:ascii="Arial" w:hAnsi="Arial" w:cs="Arial"/>
          <w:sz w:val="22"/>
          <w:szCs w:val="22"/>
        </w:rPr>
        <w:t>;</w:t>
      </w:r>
    </w:p>
    <w:p>
      <w:pPr>
        <w:keepNext w:val="0"/>
        <w:keepLines w:val="0"/>
        <w:pageBreakBefore w:val="0"/>
        <w:widowControl w:val="0"/>
        <w:tabs>
          <w:tab w:val="left" w:pos="709"/>
          <w:tab w:val="left" w:pos="993"/>
          <w:tab w:val="left" w:pos="1560"/>
        </w:tabs>
        <w:kinsoku/>
        <w:wordWrap/>
        <w:overflowPunct/>
        <w:topLinePunct w:val="0"/>
        <w:autoSpaceDE/>
        <w:autoSpaceDN/>
        <w:bidi w:val="0"/>
        <w:adjustRightInd/>
        <w:snapToGrid/>
        <w:spacing w:beforeAutospacing="0" w:after="120" w:afterAutospacing="0"/>
        <w:ind w:left="708"/>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.12.</w:t>
      </w:r>
      <w:r>
        <w:rPr>
          <w:rFonts w:hint="default" w:ascii="Arial" w:hAnsi="Arial" w:cs="Arial"/>
          <w:b/>
          <w:sz w:val="22"/>
          <w:szCs w:val="22"/>
          <w:lang w:val="pt-BR"/>
        </w:rPr>
        <w:t>4</w:t>
      </w:r>
      <w:r>
        <w:rPr>
          <w:rFonts w:ascii="Arial" w:hAnsi="Arial" w:cs="Arial"/>
          <w:b/>
          <w:sz w:val="22"/>
          <w:szCs w:val="22"/>
        </w:rPr>
        <w:t>.</w:t>
      </w:r>
      <w:r>
        <w:rPr>
          <w:rFonts w:hint="default" w:ascii="Arial" w:hAnsi="Arial" w:cs="Arial"/>
          <w:b/>
          <w:sz w:val="22"/>
          <w:szCs w:val="22"/>
          <w:lang w:val="pt-BR"/>
        </w:rPr>
        <w:t xml:space="preserve"> </w:t>
      </w:r>
      <w:r>
        <w:rPr>
          <w:rFonts w:ascii="Arial" w:hAnsi="Arial" w:cs="Arial"/>
          <w:sz w:val="22"/>
          <w:szCs w:val="22"/>
        </w:rPr>
        <w:t xml:space="preserve">apresentar </w:t>
      </w:r>
      <w:r>
        <w:rPr>
          <w:rFonts w:hint="default" w:ascii="Arial" w:hAnsi="Arial" w:cs="Arial"/>
          <w:sz w:val="22"/>
          <w:szCs w:val="22"/>
          <w:lang w:val="pt-BR"/>
        </w:rPr>
        <w:t>propostas</w:t>
      </w:r>
      <w:r>
        <w:rPr>
          <w:rFonts w:ascii="Arial" w:hAnsi="Arial" w:cs="Arial"/>
          <w:sz w:val="22"/>
          <w:szCs w:val="22"/>
        </w:rPr>
        <w:t xml:space="preserve"> manifestamente inexequíveis, assim considerados aqueles que não venham a ter demonstrada sua viabilidade, através de documentação que comprove que os custos dos insumos são coerentes com os de mercado e que os coeficientes de produtividade são compatíveis com a execução do objeto do contrato;</w:t>
      </w:r>
    </w:p>
    <w:p>
      <w:pPr>
        <w:keepNext w:val="0"/>
        <w:keepLines w:val="0"/>
        <w:pageBreakBefore w:val="0"/>
        <w:widowControl w:val="0"/>
        <w:tabs>
          <w:tab w:val="left" w:pos="709"/>
          <w:tab w:val="left" w:pos="993"/>
          <w:tab w:val="left" w:pos="1560"/>
        </w:tabs>
        <w:kinsoku/>
        <w:wordWrap/>
        <w:overflowPunct/>
        <w:topLinePunct w:val="0"/>
        <w:autoSpaceDE/>
        <w:autoSpaceDN/>
        <w:bidi w:val="0"/>
        <w:adjustRightInd/>
        <w:snapToGrid/>
        <w:spacing w:beforeAutospacing="0" w:after="120" w:afterAutospacing="0"/>
        <w:ind w:left="708"/>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.12.</w:t>
      </w:r>
      <w:r>
        <w:rPr>
          <w:rFonts w:hint="default" w:ascii="Arial" w:hAnsi="Arial" w:cs="Arial"/>
          <w:b/>
          <w:sz w:val="22"/>
          <w:szCs w:val="22"/>
          <w:lang w:val="pt-BR"/>
        </w:rPr>
        <w:t>5</w:t>
      </w:r>
      <w:r>
        <w:rPr>
          <w:rFonts w:ascii="Arial" w:hAnsi="Arial" w:cs="Arial"/>
          <w:b/>
          <w:sz w:val="22"/>
          <w:szCs w:val="22"/>
        </w:rPr>
        <w:t>.</w:t>
      </w:r>
      <w:r>
        <w:rPr>
          <w:rFonts w:ascii="Arial" w:hAnsi="Arial" w:cs="Arial"/>
          <w:sz w:val="22"/>
          <w:szCs w:val="22"/>
        </w:rPr>
        <w:t xml:space="preserve"> Considera-se manifestamente inexequível a proposta cujo valor global proposto seja inferior a 70% (setenta por cento) do menor dos seguintes valores: (a) Média aritmética dos valores das propostas superiores a 50% (cinquenta por cento) do valor orçado pela Administração, ou (b) Valor orçado pela Administração;</w:t>
      </w:r>
    </w:p>
    <w:p>
      <w:pPr>
        <w:keepNext w:val="0"/>
        <w:keepLines w:val="0"/>
        <w:pageBreakBefore w:val="0"/>
        <w:widowControl w:val="0"/>
        <w:tabs>
          <w:tab w:val="left" w:pos="993"/>
          <w:tab w:val="left" w:pos="1560"/>
        </w:tabs>
        <w:kinsoku/>
        <w:wordWrap/>
        <w:overflowPunct/>
        <w:topLinePunct w:val="0"/>
        <w:autoSpaceDE/>
        <w:autoSpaceDN/>
        <w:bidi w:val="0"/>
        <w:adjustRightInd/>
        <w:snapToGrid/>
        <w:spacing w:beforeAutospacing="0" w:after="120" w:afterAutospacing="0"/>
        <w:ind w:left="993"/>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.12.</w:t>
      </w:r>
      <w:r>
        <w:rPr>
          <w:rFonts w:hint="default" w:ascii="Arial" w:hAnsi="Arial" w:cs="Arial"/>
          <w:b/>
          <w:sz w:val="22"/>
          <w:szCs w:val="22"/>
          <w:lang w:val="pt-BR"/>
        </w:rPr>
        <w:t>5</w:t>
      </w:r>
      <w:r>
        <w:rPr>
          <w:rFonts w:ascii="Arial" w:hAnsi="Arial" w:cs="Arial"/>
          <w:b/>
          <w:sz w:val="22"/>
          <w:szCs w:val="22"/>
        </w:rPr>
        <w:t>.1.</w:t>
      </w:r>
      <w:r>
        <w:rPr>
          <w:rFonts w:ascii="Arial" w:hAnsi="Arial" w:cs="Arial"/>
          <w:sz w:val="22"/>
          <w:szCs w:val="22"/>
        </w:rPr>
        <w:t xml:space="preserve"> Nessa situação, será facultado ao licitante o prazo de </w:t>
      </w:r>
      <w:r>
        <w:rPr>
          <w:rFonts w:ascii="Arial" w:hAnsi="Arial" w:cs="Arial"/>
          <w:b/>
          <w:sz w:val="22"/>
          <w:szCs w:val="22"/>
        </w:rPr>
        <w:t>02(dois) dias úteis</w:t>
      </w:r>
      <w:r>
        <w:rPr>
          <w:rFonts w:ascii="Arial" w:hAnsi="Arial" w:cs="Arial"/>
          <w:sz w:val="22"/>
          <w:szCs w:val="22"/>
        </w:rPr>
        <w:t xml:space="preserve"> para </w:t>
      </w:r>
      <w:r>
        <w:rPr>
          <w:rFonts w:ascii="Arial" w:hAnsi="Arial" w:cs="Arial"/>
          <w:sz w:val="22"/>
          <w:szCs w:val="22"/>
          <w:u w:val="single"/>
        </w:rPr>
        <w:t>comprovar a viabilidade dos preços constantes em sua proposta,</w:t>
      </w:r>
      <w:r>
        <w:rPr>
          <w:rFonts w:ascii="Arial" w:hAnsi="Arial" w:cs="Arial"/>
          <w:sz w:val="22"/>
          <w:szCs w:val="22"/>
        </w:rPr>
        <w:t xml:space="preserve"> conforme parâmetros do artigo 48, inciso II, da Lei n° 8.666, de 1993, sob pena de desclassificação;</w:t>
      </w:r>
    </w:p>
    <w:p>
      <w:pPr>
        <w:keepNext w:val="0"/>
        <w:keepLines w:val="0"/>
        <w:pageBreakBefore w:val="0"/>
        <w:widowControl w:val="0"/>
        <w:tabs>
          <w:tab w:val="left" w:pos="993"/>
          <w:tab w:val="left" w:pos="1560"/>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.13.</w:t>
      </w:r>
      <w:r>
        <w:rPr>
          <w:rFonts w:ascii="Arial" w:hAnsi="Arial" w:cs="Arial"/>
          <w:sz w:val="22"/>
          <w:szCs w:val="22"/>
        </w:rPr>
        <w:t xml:space="preserve"> Também será desclassificada a proposta cujo </w:t>
      </w:r>
      <w:r>
        <w:rPr>
          <w:rFonts w:hint="default" w:ascii="Arial" w:hAnsi="Arial" w:cs="Arial"/>
          <w:sz w:val="22"/>
          <w:szCs w:val="22"/>
          <w:lang w:val="pt-BR"/>
        </w:rPr>
        <w:t xml:space="preserve">ténica e </w:t>
      </w:r>
      <w:r>
        <w:rPr>
          <w:rFonts w:ascii="Arial" w:hAnsi="Arial" w:cs="Arial"/>
          <w:sz w:val="22"/>
          <w:szCs w:val="22"/>
        </w:rPr>
        <w:t>preço global orçado ou o preço de qualquer uma das etapas previstas no cronograma financeiro supere os preços de referência discriminados nos projetos anexos a este Edital;</w:t>
      </w:r>
    </w:p>
    <w:p>
      <w:pPr>
        <w:keepNext w:val="0"/>
        <w:keepLines w:val="0"/>
        <w:pageBreakBefore w:val="0"/>
        <w:widowControl w:val="0"/>
        <w:tabs>
          <w:tab w:val="left" w:pos="993"/>
          <w:tab w:val="left" w:pos="1560"/>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.14.</w:t>
      </w:r>
      <w:r>
        <w:rPr>
          <w:rFonts w:ascii="Arial" w:hAnsi="Arial" w:cs="Arial"/>
          <w:sz w:val="22"/>
          <w:szCs w:val="22"/>
        </w:rPr>
        <w:t xml:space="preserve"> A participação na presente licitação implica a concordância do licitante com a adequação de todos os projetos anexos a este edital, de modo que eventuais alegações de falhas ou omissões em qualquer das peças, orçamentos, plantas, especificações, memoriais e estudos técnicos preliminares dos projetos não poderão ultrapassar, no seu conjunto, a dez por cento do valor total do futuro contrato, nos termos do art. 13, II do Decreto nº 7.983/2013;</w:t>
      </w:r>
    </w:p>
    <w:p>
      <w:pPr>
        <w:keepNext w:val="0"/>
        <w:keepLines w:val="0"/>
        <w:pageBreakBefore w:val="0"/>
        <w:widowControl w:val="0"/>
        <w:tabs>
          <w:tab w:val="left" w:pos="993"/>
          <w:tab w:val="left" w:pos="1560"/>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.15.</w:t>
      </w:r>
      <w:r>
        <w:rPr>
          <w:rFonts w:ascii="Arial" w:hAnsi="Arial" w:cs="Arial"/>
          <w:sz w:val="22"/>
          <w:szCs w:val="22"/>
        </w:rPr>
        <w:t xml:space="preserve"> Se a proposta </w:t>
      </w:r>
      <w:r>
        <w:rPr>
          <w:rFonts w:hint="default" w:ascii="Arial" w:hAnsi="Arial" w:cs="Arial"/>
          <w:sz w:val="22"/>
          <w:szCs w:val="22"/>
          <w:lang w:val="pt-BR"/>
        </w:rPr>
        <w:t xml:space="preserve"> técnica e </w:t>
      </w:r>
      <w:r>
        <w:rPr>
          <w:rFonts w:ascii="Arial" w:hAnsi="Arial" w:cs="Arial"/>
          <w:sz w:val="22"/>
          <w:szCs w:val="22"/>
        </w:rPr>
        <w:t>preço não for aceitável, a Comissão de Licitação examinará a proposta subsequente, e, assim sucessivamente, na ordem de classificação;</w:t>
      </w:r>
    </w:p>
    <w:p>
      <w:pPr>
        <w:keepNext w:val="0"/>
        <w:keepLines w:val="0"/>
        <w:pageBreakBefore w:val="0"/>
        <w:widowControl w:val="0"/>
        <w:tabs>
          <w:tab w:val="left" w:pos="993"/>
          <w:tab w:val="left" w:pos="1560"/>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.16.</w:t>
      </w:r>
      <w:r>
        <w:rPr>
          <w:rFonts w:ascii="Arial" w:hAnsi="Arial" w:cs="Arial"/>
          <w:sz w:val="22"/>
          <w:szCs w:val="22"/>
        </w:rPr>
        <w:t xml:space="preserve"> Sempre que a proposta não for aceita, e antes de a Comissão de Licitação passar à subsequente, haverá nova verificação da eventual ocorrência do empate ficto, previsto nos artigos 44 e 45 da LC nº 123, de 2006, seguindo-se a disciplina antes estabelecida, se for o caso;</w:t>
      </w:r>
    </w:p>
    <w:p>
      <w:pPr>
        <w:keepNext w:val="0"/>
        <w:keepLines w:val="0"/>
        <w:pageBreakBefore w:val="0"/>
        <w:widowControl w:val="0"/>
        <w:tabs>
          <w:tab w:val="left" w:pos="993"/>
          <w:tab w:val="left" w:pos="1560"/>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.17.</w:t>
      </w:r>
      <w:r>
        <w:rPr>
          <w:rFonts w:ascii="Arial" w:hAnsi="Arial" w:cs="Arial"/>
          <w:sz w:val="22"/>
          <w:szCs w:val="22"/>
        </w:rPr>
        <w:t xml:space="preserve"> Do julgamento das propostas e da classificação, será dada ciência aos licitantes para apresentação de recurso no prazo de 5 (cinco) dias úteis. Interposto o recurso, será comunicado aos demais licitantes, que poderão impugná-lo no mesmo prazo;</w:t>
      </w:r>
    </w:p>
    <w:p>
      <w:pPr>
        <w:keepNext w:val="0"/>
        <w:keepLines w:val="0"/>
        <w:pageBreakBefore w:val="0"/>
        <w:widowControl w:val="0"/>
        <w:tabs>
          <w:tab w:val="left" w:pos="993"/>
          <w:tab w:val="left" w:pos="1560"/>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.18.</w:t>
      </w:r>
      <w:r>
        <w:rPr>
          <w:rFonts w:ascii="Arial" w:hAnsi="Arial" w:cs="Arial"/>
          <w:sz w:val="22"/>
          <w:szCs w:val="22"/>
        </w:rPr>
        <w:t xml:space="preserve"> Transcorrido o prazo recursal, sem interposição de recurso, ou decididos os recursos interpostos, a Comissão de Licitação encaminhará o procedimento licitatório para homologação do resultado do certame pela autoridade competente e, após, adjudicação do objeto licitado ao licitante vencedor;</w:t>
      </w:r>
    </w:p>
    <w:p>
      <w:pPr>
        <w:pStyle w:val="373"/>
        <w:keepNext w:val="0"/>
        <w:keepLines w:val="0"/>
        <w:pageBreakBefore w:val="0"/>
        <w:widowControl w:val="0"/>
        <w:numPr>
          <w:ilvl w:val="0"/>
          <w:numId w:val="0"/>
        </w:numPr>
        <w:tabs>
          <w:tab w:val="left" w:pos="709"/>
          <w:tab w:val="left" w:pos="993"/>
          <w:tab w:val="left" w:pos="1560"/>
        </w:tabs>
        <w:kinsoku/>
        <w:wordWrap/>
        <w:overflowPunct/>
        <w:topLinePunct w:val="0"/>
        <w:autoSpaceDE/>
        <w:autoSpaceDN/>
        <w:bidi w:val="0"/>
        <w:adjustRightInd/>
        <w:snapToGrid/>
        <w:spacing w:before="0" w:beforeAutospacing="0" w:after="120" w:afterAutospacing="0" w:line="240" w:lineRule="auto"/>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.19.</w:t>
      </w:r>
      <w:r>
        <w:rPr>
          <w:rFonts w:ascii="Arial" w:hAnsi="Arial" w:cs="Arial"/>
          <w:sz w:val="22"/>
          <w:szCs w:val="22"/>
        </w:rPr>
        <w:t xml:space="preserve"> A intimação do resultado final do julgamento das propostas será feita mediante publicação na imprensa oficial, salvo se presentes os prepostos dos licitantes no ato público em que foi adotada a decisão, caso em que a intimação será feita por comunicação direta aos interessados e lavrada em ata;</w:t>
      </w:r>
    </w:p>
    <w:p>
      <w:pPr>
        <w:pStyle w:val="373"/>
        <w:keepNext w:val="0"/>
        <w:keepLines w:val="0"/>
        <w:pageBreakBefore w:val="0"/>
        <w:widowControl w:val="0"/>
        <w:numPr>
          <w:ilvl w:val="0"/>
          <w:numId w:val="0"/>
        </w:numPr>
        <w:tabs>
          <w:tab w:val="left" w:pos="709"/>
          <w:tab w:val="left" w:pos="993"/>
          <w:tab w:val="left" w:pos="1560"/>
        </w:tabs>
        <w:kinsoku/>
        <w:wordWrap/>
        <w:overflowPunct/>
        <w:topLinePunct w:val="0"/>
        <w:autoSpaceDE/>
        <w:autoSpaceDN/>
        <w:bidi w:val="0"/>
        <w:adjustRightInd/>
        <w:snapToGrid/>
        <w:spacing w:before="0" w:beforeAutospacing="0" w:after="120" w:afterAutospacing="0" w:line="240" w:lineRule="auto"/>
        <w:textAlignment w:val="auto"/>
        <w:rPr>
          <w:rFonts w:ascii="Arial" w:hAnsi="Arial" w:cs="Arial"/>
          <w:sz w:val="22"/>
          <w:szCs w:val="22"/>
        </w:rPr>
      </w:pPr>
      <w:r>
        <w:rPr>
          <w:rFonts w:ascii="Arial" w:hAnsi="Arial" w:cs="Arial"/>
          <w:b/>
          <w:sz w:val="22"/>
          <w:szCs w:val="22"/>
        </w:rPr>
        <w:t>1</w:t>
      </w:r>
      <w:r>
        <w:rPr>
          <w:rFonts w:hint="default" w:ascii="Arial" w:hAnsi="Arial" w:cs="Arial"/>
          <w:b/>
          <w:sz w:val="22"/>
          <w:szCs w:val="22"/>
          <w:lang w:val="pt-BR"/>
        </w:rPr>
        <w:t>5</w:t>
      </w:r>
      <w:r>
        <w:rPr>
          <w:rFonts w:ascii="Arial" w:hAnsi="Arial" w:cs="Arial"/>
          <w:b/>
          <w:sz w:val="22"/>
          <w:szCs w:val="22"/>
        </w:rPr>
        <w:t>.20.</w:t>
      </w:r>
      <w:r>
        <w:rPr>
          <w:rFonts w:ascii="Arial" w:hAnsi="Arial" w:cs="Arial"/>
          <w:sz w:val="22"/>
          <w:szCs w:val="22"/>
        </w:rPr>
        <w:t xml:space="preserve"> O resultado do certame será divulgado no</w:t>
      </w:r>
      <w:r>
        <w:rPr>
          <w:rFonts w:hint="default" w:ascii="Arial" w:hAnsi="Arial" w:cs="Arial"/>
          <w:sz w:val="22"/>
          <w:szCs w:val="22"/>
          <w:lang w:val="pt-BR"/>
        </w:rPr>
        <w:t>s</w:t>
      </w:r>
      <w:r>
        <w:rPr>
          <w:rFonts w:ascii="Arial" w:hAnsi="Arial" w:cs="Arial"/>
          <w:sz w:val="22"/>
          <w:szCs w:val="22"/>
        </w:rPr>
        <w:t xml:space="preserve"> </w:t>
      </w:r>
      <w:r>
        <w:rPr>
          <w:rFonts w:hint="default" w:ascii="Arial" w:hAnsi="Arial" w:cs="Arial"/>
          <w:sz w:val="22"/>
          <w:szCs w:val="22"/>
          <w:lang w:val="pt-BR"/>
        </w:rPr>
        <w:t>Diários Oficiais</w:t>
      </w:r>
      <w:r>
        <w:rPr>
          <w:rFonts w:ascii="Arial" w:hAnsi="Arial" w:cs="Arial"/>
          <w:sz w:val="22"/>
          <w:szCs w:val="22"/>
        </w:rPr>
        <w:t>.</w:t>
      </w:r>
    </w:p>
    <w:p>
      <w:pPr>
        <w:pStyle w:val="145"/>
        <w:keepNext w:val="0"/>
        <w:keepLines w:val="0"/>
        <w:pageBreakBefore w:val="0"/>
        <w:widowControl/>
        <w:kinsoku/>
        <w:wordWrap/>
        <w:overflowPunct/>
        <w:topLinePunct w:val="0"/>
        <w:autoSpaceDE/>
        <w:autoSpaceDN/>
        <w:bidi w:val="0"/>
        <w:adjustRightInd/>
        <w:snapToGrid/>
        <w:spacing w:before="0"/>
        <w:textAlignment w:val="auto"/>
      </w:pPr>
      <w:bookmarkStart w:id="27" w:name="_Toc514666342"/>
      <w:r>
        <w:t>DOS RECURSOS</w:t>
      </w:r>
      <w:bookmarkEnd w:id="27"/>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16</w:t>
      </w:r>
      <w:r>
        <w:rPr>
          <w:b/>
        </w:rPr>
        <w:t>.1.</w:t>
      </w:r>
      <w:r>
        <w:t xml:space="preserve"> Caberá recurso, no prazo de 05 (cinco) dias úteis a contar da data da intimação do ato ou lavratura da ata, quando presentes todos os prepostos dos licitantes ao ato em que foi adotada a decisão ou na ausência de algum licitante, a partir d</w:t>
      </w:r>
      <w:r>
        <w:rPr>
          <w:rFonts w:hint="default"/>
          <w:lang w:val="pt-BR"/>
        </w:rPr>
        <w:t>a comunicação via e-mail aos interessados</w:t>
      </w:r>
      <w:r>
        <w:t>;</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16</w:t>
      </w:r>
      <w:r>
        <w:rPr>
          <w:b/>
        </w:rPr>
        <w:t>.2.</w:t>
      </w:r>
      <w:r>
        <w:t xml:space="preserve"> Os recursos </w:t>
      </w:r>
      <w:r>
        <w:rPr>
          <w:rFonts w:hint="default"/>
          <w:lang w:val="pt-BR"/>
        </w:rPr>
        <w:t xml:space="preserve">deverão ser </w:t>
      </w:r>
      <w:r>
        <w:t xml:space="preserve">dirigidos ao Município de Primavera do Leste, junto a Comissão Permamente de Licitação nº 444, Centro, CEP 78850-000, </w:t>
      </w:r>
      <w:r>
        <w:rPr>
          <w:u w:val="single"/>
        </w:rPr>
        <w:t xml:space="preserve">das </w:t>
      </w:r>
      <w:r>
        <w:rPr>
          <w:rFonts w:hint="default"/>
          <w:u w:val="single"/>
          <w:lang w:val="pt-BR"/>
        </w:rPr>
        <w:t>07</w:t>
      </w:r>
      <w:r>
        <w:rPr>
          <w:u w:val="single"/>
        </w:rPr>
        <w:t>:00 às 1</w:t>
      </w:r>
      <w:r>
        <w:rPr>
          <w:rFonts w:hint="default"/>
          <w:u w:val="single"/>
          <w:lang w:val="pt-BR"/>
        </w:rPr>
        <w:t>3</w:t>
      </w:r>
      <w:r>
        <w:rPr>
          <w:u w:val="single"/>
        </w:rPr>
        <w:t>:00 horas</w:t>
      </w:r>
      <w:r>
        <w:rPr>
          <w:rFonts w:hint="default"/>
          <w:u w:val="single"/>
          <w:lang w:val="pt-BR"/>
        </w:rPr>
        <w:t xml:space="preserve"> </w:t>
      </w:r>
      <w:r>
        <w:rPr>
          <w:u w:val="single"/>
        </w:rPr>
        <w:t>(horário local)</w:t>
      </w:r>
      <w:r>
        <w:t>, direcionad</w:t>
      </w:r>
      <w:r>
        <w:rPr>
          <w:rFonts w:hint="default"/>
          <w:lang w:val="pt-BR"/>
        </w:rPr>
        <w:t>os</w:t>
      </w:r>
      <w:r>
        <w:t xml:space="preserve"> </w:t>
      </w:r>
      <w:r>
        <w:rPr>
          <w:rFonts w:hint="default"/>
          <w:lang w:val="pt-BR"/>
        </w:rPr>
        <w:t>ao</w:t>
      </w:r>
      <w:r>
        <w:t xml:space="preserve"> Presidente de Comissão de Licitação, </w:t>
      </w:r>
      <w:r>
        <w:rPr>
          <w:rFonts w:hint="default"/>
          <w:lang w:val="pt-BR"/>
        </w:rPr>
        <w:t>o</w:t>
      </w:r>
      <w:r>
        <w:t xml:space="preserve"> qual poderá reconsiderar sua decisão, no prazo de 05 (cinco) dias úteis ou, nesse mesmo prazo, encaminhá-los, devidamente informados, para apreciação e decisão da autoridade superior, devendo neste caso a decisão ser proferida dentro do prazo de 05 (cinco) dias úteis, contado do recebimento do processo, sob pena de responsabilidade;</w:t>
      </w:r>
    </w:p>
    <w:p>
      <w:pPr>
        <w:pStyle w:val="349"/>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b w:val="0"/>
        </w:rPr>
      </w:pPr>
      <w:r>
        <w:rPr>
          <w:rFonts w:hint="default"/>
          <w:b/>
          <w:lang w:val="pt-BR"/>
        </w:rPr>
        <w:t>16</w:t>
      </w:r>
      <w:r>
        <w:t xml:space="preserve">.3. </w:t>
      </w:r>
      <w:r>
        <w:rPr>
          <w:b w:val="0"/>
        </w:rPr>
        <w:t>Alternativamente a licitante poderá encaminhar a petição via endereço eletrônico:</w:t>
      </w:r>
      <w:r>
        <w:rPr>
          <w:b w:val="0"/>
          <w:u w:val="single" w:color="0000FF"/>
        </w:rPr>
        <w:t xml:space="preserve"> </w:t>
      </w:r>
      <w:r>
        <w:fldChar w:fldCharType="begin"/>
      </w:r>
      <w:r>
        <w:instrText xml:space="preserve"> HYPERLINK "mailto:licita3@pva.mt.gov.br%20" </w:instrText>
      </w:r>
      <w:r>
        <w:fldChar w:fldCharType="separate"/>
      </w:r>
      <w:r>
        <w:rPr>
          <w:rStyle w:val="17"/>
          <w:b w:val="0"/>
          <w:u w:color="0000FF"/>
        </w:rPr>
        <w:t>licita3@pva.mt.gov.br</w:t>
      </w:r>
      <w:r>
        <w:rPr>
          <w:rStyle w:val="17"/>
          <w:b w:val="0"/>
        </w:rPr>
        <w:t xml:space="preserve"> </w:t>
      </w:r>
      <w:r>
        <w:rPr>
          <w:rStyle w:val="17"/>
          <w:b w:val="0"/>
        </w:rPr>
        <w:fldChar w:fldCharType="end"/>
      </w:r>
      <w:r>
        <w:rPr>
          <w:b w:val="0"/>
        </w:rPr>
        <w:t xml:space="preserve">sendo que o documento deverá ser assinado, digitalizado e com a </w:t>
      </w:r>
      <w:r>
        <w:rPr>
          <w:b w:val="0"/>
          <w:u w:val="single"/>
        </w:rPr>
        <w:t>qualificação necessária,</w:t>
      </w:r>
      <w:r>
        <w:rPr>
          <w:b w:val="0"/>
        </w:rPr>
        <w:t xml:space="preserve"> inclusive com telefone e endereço eletrônico para a resposta da comissão;</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16</w:t>
      </w:r>
      <w:r>
        <w:rPr>
          <w:b/>
        </w:rPr>
        <w:t>.4.</w:t>
      </w:r>
      <w:r>
        <w:t xml:space="preserve"> Interposto o recurso será comunicado aos demais licitantes que poderão impugná-lo no prazo de 05 (cinco) dias úteis;</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16</w:t>
      </w:r>
      <w:r>
        <w:rPr>
          <w:b/>
        </w:rPr>
        <w:t>.5.</w:t>
      </w:r>
      <w:r>
        <w:t xml:space="preserve"> Os recursos referentes aos atos de habilitação e julgamento</w:t>
      </w:r>
      <w:r>
        <w:rPr>
          <w:rFonts w:hint="default"/>
          <w:lang w:val="pt-BR"/>
        </w:rPr>
        <w:t xml:space="preserve"> </w:t>
      </w:r>
      <w:r>
        <w:t>das propostas terão efeitos suspensivos, podendo a autoridade competente, motivadamente e presente as razões de interesse público, atribuir aos demais recursos interposto eficácia suspensiva;</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16</w:t>
      </w:r>
      <w:r>
        <w:rPr>
          <w:b/>
        </w:rPr>
        <w:t>.6.</w:t>
      </w:r>
      <w:r>
        <w:t xml:space="preserve"> Não será conhecido o recurso cuja petição tenha sido apresentada fora do prazo e/ou subscrita por procurador não habilitado legalmente no processo para responder pela empresa;</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16</w:t>
      </w:r>
      <w:r>
        <w:rPr>
          <w:b/>
        </w:rPr>
        <w:t>.7.</w:t>
      </w:r>
      <w:r>
        <w:t xml:space="preserve"> Na contagem dos prazos será excluído o dia do início e incluído o dia do vencimento;</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16</w:t>
      </w:r>
      <w:r>
        <w:rPr>
          <w:b/>
        </w:rPr>
        <w:t>.8.</w:t>
      </w:r>
      <w:r>
        <w:t xml:space="preserve"> Após cada fase da licitação, os autos do processo ficarão com vista franqueada aos interessados, pelo prazo necessário à interposição de recursos;</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16</w:t>
      </w:r>
      <w:r>
        <w:rPr>
          <w:b/>
        </w:rPr>
        <w:t>.9.</w:t>
      </w:r>
      <w:r>
        <w:t xml:space="preserve"> O recurso contra decisão do (a) Presidente de Comissão não terá efeito suspensivo;</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16</w:t>
      </w:r>
      <w:r>
        <w:rPr>
          <w:b/>
        </w:rPr>
        <w:t>.10.</w:t>
      </w:r>
      <w:r>
        <w:t xml:space="preserve"> Decididos os recursos contra os atos praticados pelo Presidente de Comissão, a autoridade competente fará a adjudicação do objeto da licitação a licitante vencedora;</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rFonts w:hint="default"/>
          <w:b/>
          <w:lang w:val="pt-BR"/>
        </w:rPr>
        <w:t>16</w:t>
      </w:r>
      <w:r>
        <w:rPr>
          <w:b/>
        </w:rPr>
        <w:t>.11.</w:t>
      </w:r>
      <w:r>
        <w:t xml:space="preserve"> O resultado do recurso será publicado e divulgado pelo (a) Presidente de Comissão no </w:t>
      </w:r>
      <w:r>
        <w:rPr>
          <w:rFonts w:hint="default"/>
          <w:lang w:val="pt-BR"/>
        </w:rPr>
        <w:t xml:space="preserve">site </w:t>
      </w:r>
      <w:r>
        <w:rPr>
          <w:rFonts w:hint="default"/>
          <w:lang w:val="pt-BR"/>
        </w:rPr>
        <w:fldChar w:fldCharType="begin"/>
      </w:r>
      <w:r>
        <w:rPr>
          <w:rFonts w:hint="default"/>
          <w:lang w:val="pt-BR"/>
        </w:rPr>
        <w:instrText xml:space="preserve"> HYPERLINK "http://www.primaveradoleste.mt.gov.br" </w:instrText>
      </w:r>
      <w:r>
        <w:rPr>
          <w:rFonts w:hint="default"/>
          <w:lang w:val="pt-BR"/>
        </w:rPr>
        <w:fldChar w:fldCharType="separate"/>
      </w:r>
      <w:r>
        <w:rPr>
          <w:rStyle w:val="17"/>
          <w:rFonts w:hint="default"/>
          <w:lang w:val="pt-BR"/>
        </w:rPr>
        <w:t>www.primaveradoleste.mt.gov.br</w:t>
      </w:r>
      <w:r>
        <w:rPr>
          <w:rFonts w:hint="default"/>
          <w:lang w:val="pt-BR"/>
        </w:rPr>
        <w:fldChar w:fldCharType="end"/>
      </w:r>
      <w:r>
        <w:rPr>
          <w:rFonts w:hint="default"/>
          <w:lang w:val="pt-BR"/>
        </w:rPr>
        <w:t xml:space="preserve"> na aba “EMPRESA - Editais e Licitações”</w:t>
      </w:r>
      <w:r>
        <w:t>.</w:t>
      </w:r>
    </w:p>
    <w:p>
      <w:pPr>
        <w:pStyle w:val="145"/>
      </w:pPr>
      <w:r>
        <w:t>DO TERMO DE CONTRATO</w:t>
      </w:r>
    </w:p>
    <w:p>
      <w:pPr>
        <w:pStyle w:val="24"/>
        <w:keepNext w:val="0"/>
        <w:keepLines w:val="0"/>
        <w:pageBreakBefore w:val="0"/>
        <w:widowControl w:val="0"/>
        <w:tabs>
          <w:tab w:val="left" w:pos="709"/>
        </w:tabs>
        <w:kinsoku/>
        <w:wordWrap/>
        <w:overflowPunct/>
        <w:topLinePunct w:val="0"/>
        <w:bidi w:val="0"/>
        <w:snapToGrid/>
        <w:spacing w:beforeAutospacing="0" w:after="120" w:afterAutospacing="0"/>
        <w:jc w:val="both"/>
        <w:textAlignment w:val="auto"/>
        <w:rPr>
          <w:rFonts w:ascii="Arial" w:hAnsi="Arial" w:cs="Arial"/>
          <w:sz w:val="22"/>
          <w:szCs w:val="22"/>
        </w:rPr>
      </w:pPr>
      <w:r>
        <w:rPr>
          <w:rFonts w:ascii="Arial" w:hAnsi="Arial" w:cs="Arial"/>
          <w:b/>
          <w:sz w:val="22"/>
          <w:szCs w:val="22"/>
        </w:rPr>
        <w:t>17.1.</w:t>
      </w:r>
      <w:r>
        <w:rPr>
          <w:rFonts w:ascii="Arial" w:hAnsi="Arial" w:cs="Arial"/>
          <w:sz w:val="22"/>
          <w:szCs w:val="22"/>
        </w:rPr>
        <w:t xml:space="preserve"> Após a homologação da licitação, em sendo realizada a contratação, deverá </w:t>
      </w:r>
      <w:r>
        <w:rPr>
          <w:rStyle w:val="381"/>
          <w:rFonts w:cs="Arial"/>
          <w:color w:val="auto"/>
          <w:sz w:val="22"/>
          <w:szCs w:val="22"/>
        </w:rPr>
        <w:t>ser</w:t>
      </w:r>
      <w:r>
        <w:rPr>
          <w:rStyle w:val="381"/>
          <w:rFonts w:cs="Arial"/>
          <w:sz w:val="22"/>
          <w:szCs w:val="22"/>
        </w:rPr>
        <w:t xml:space="preserve"> </w:t>
      </w:r>
      <w:r>
        <w:rPr>
          <w:rFonts w:ascii="Arial" w:hAnsi="Arial" w:cs="Arial"/>
          <w:bCs/>
          <w:iCs/>
          <w:sz w:val="22"/>
          <w:szCs w:val="22"/>
        </w:rPr>
        <w:t xml:space="preserve">firmado Termo de Contrato, prorrogável na forma dos art. 57, § 1° </w:t>
      </w:r>
      <w:r>
        <w:rPr>
          <w:rStyle w:val="381"/>
          <w:rFonts w:cs="Arial"/>
          <w:color w:val="auto"/>
          <w:sz w:val="22"/>
          <w:szCs w:val="22"/>
        </w:rPr>
        <w:t>e 79, §5º</w:t>
      </w:r>
      <w:r>
        <w:rPr>
          <w:rFonts w:ascii="Arial" w:hAnsi="Arial" w:cs="Arial"/>
          <w:bCs/>
          <w:iCs/>
          <w:sz w:val="22"/>
          <w:szCs w:val="22"/>
        </w:rPr>
        <w:t xml:space="preserve"> da Lei n° 8.666/93;</w:t>
      </w:r>
    </w:p>
    <w:p>
      <w:pPr>
        <w:pStyle w:val="24"/>
        <w:keepNext w:val="0"/>
        <w:keepLines w:val="0"/>
        <w:pageBreakBefore w:val="0"/>
        <w:widowControl w:val="0"/>
        <w:tabs>
          <w:tab w:val="left" w:pos="709"/>
        </w:tabs>
        <w:kinsoku/>
        <w:wordWrap/>
        <w:overflowPunct/>
        <w:topLinePunct w:val="0"/>
        <w:bidi w:val="0"/>
        <w:snapToGrid/>
        <w:spacing w:beforeAutospacing="0" w:after="120" w:afterAutospacing="0"/>
        <w:jc w:val="both"/>
        <w:textAlignment w:val="auto"/>
        <w:rPr>
          <w:rStyle w:val="381"/>
          <w:rFonts w:cs="Arial"/>
          <w:color w:val="000000"/>
          <w:sz w:val="22"/>
          <w:szCs w:val="22"/>
        </w:rPr>
      </w:pPr>
      <w:r>
        <w:rPr>
          <w:rFonts w:ascii="Arial" w:hAnsi="Arial" w:cs="Arial"/>
          <w:b/>
          <w:color w:val="000000"/>
          <w:sz w:val="22"/>
          <w:szCs w:val="22"/>
        </w:rPr>
        <w:t>17.2.</w:t>
      </w:r>
      <w:r>
        <w:rPr>
          <w:rFonts w:ascii="Arial" w:hAnsi="Arial" w:cs="Arial"/>
          <w:color w:val="000000"/>
          <w:sz w:val="22"/>
          <w:szCs w:val="22"/>
        </w:rPr>
        <w:t xml:space="preserve"> O adjudicatário terá o </w:t>
      </w:r>
      <w:r>
        <w:rPr>
          <w:rFonts w:ascii="Arial" w:hAnsi="Arial" w:cs="Arial"/>
          <w:sz w:val="22"/>
          <w:szCs w:val="22"/>
        </w:rPr>
        <w:t>prazo de 05 (cinco) dias</w:t>
      </w:r>
      <w:r>
        <w:rPr>
          <w:rFonts w:ascii="Arial" w:hAnsi="Arial" w:cs="Arial"/>
          <w:color w:val="000000"/>
          <w:sz w:val="22"/>
          <w:szCs w:val="22"/>
        </w:rPr>
        <w:t xml:space="preserve"> úteis, contados a partir da data de sua convocação, para assinar o Termo de Contrato, sob pena de decair do direito à contratação, sem prejuízo das sanções previstas neste Edital, </w:t>
      </w:r>
      <w:r>
        <w:rPr>
          <w:rFonts w:ascii="Arial" w:hAnsi="Arial" w:cs="Arial"/>
          <w:sz w:val="22"/>
          <w:szCs w:val="22"/>
        </w:rPr>
        <w:t xml:space="preserve">oportunidade em que se obriga a apresentar, devidamente revalidados, os documentos descritos no </w:t>
      </w:r>
      <w:r>
        <w:rPr>
          <w:rFonts w:ascii="Arial" w:hAnsi="Arial" w:cs="Arial"/>
          <w:color w:val="000000"/>
          <w:sz w:val="22"/>
          <w:szCs w:val="22"/>
        </w:rPr>
        <w:t xml:space="preserve">subitem </w:t>
      </w:r>
      <w:r>
        <w:rPr>
          <w:rFonts w:ascii="Arial" w:hAnsi="Arial" w:cs="Arial"/>
          <w:i/>
          <w:color w:val="000000"/>
          <w:sz w:val="22"/>
          <w:szCs w:val="22"/>
        </w:rPr>
        <w:t>10.4.2.</w:t>
      </w:r>
      <w:r>
        <w:t xml:space="preserve"> </w:t>
      </w:r>
      <w:r>
        <w:rPr>
          <w:rFonts w:ascii="Arial" w:hAnsi="Arial" w:cs="Arial"/>
          <w:sz w:val="22"/>
          <w:szCs w:val="22"/>
        </w:rPr>
        <w:t>Regularidade Fiscal e trabalhista deste Edital que tenham tido os seus prazos de validade expirados;</w:t>
      </w:r>
    </w:p>
    <w:p>
      <w:pPr>
        <w:keepNext w:val="0"/>
        <w:keepLines w:val="0"/>
        <w:pageBreakBefore w:val="0"/>
        <w:widowControl w:val="0"/>
        <w:tabs>
          <w:tab w:val="left" w:pos="960"/>
          <w:tab w:val="left" w:pos="1418"/>
        </w:tabs>
        <w:kinsoku/>
        <w:wordWrap/>
        <w:overflowPunct/>
        <w:topLinePunct w:val="0"/>
        <w:bidi w:val="0"/>
        <w:snapToGrid/>
        <w:spacing w:beforeAutospacing="0" w:after="120" w:afterAutospacing="0"/>
        <w:ind w:left="480" w:leftChars="0" w:firstLine="0" w:firstLineChars="0"/>
        <w:jc w:val="both"/>
        <w:textAlignment w:val="auto"/>
        <w:rPr>
          <w:rFonts w:ascii="Arial" w:hAnsi="Arial" w:cs="Arial"/>
          <w:color w:val="000000"/>
          <w:sz w:val="22"/>
          <w:szCs w:val="22"/>
        </w:rPr>
      </w:pPr>
      <w:r>
        <w:rPr>
          <w:rFonts w:ascii="Arial" w:hAnsi="Arial" w:cs="Arial"/>
          <w:b/>
          <w:color w:val="000000"/>
          <w:sz w:val="22"/>
          <w:szCs w:val="22"/>
        </w:rPr>
        <w:t>17.2.1.</w:t>
      </w:r>
      <w:r>
        <w:rPr>
          <w:rFonts w:ascii="Arial" w:hAnsi="Arial" w:cs="Arial"/>
          <w:color w:val="000000"/>
          <w:sz w:val="22"/>
          <w:szCs w:val="22"/>
        </w:rPr>
        <w:t xml:space="preserve"> Alternativamente à convocação para comparecer perante o órgão ou entidade</w:t>
      </w:r>
      <w:r>
        <w:rPr>
          <w:rFonts w:ascii="Arial" w:hAnsi="Arial" w:cs="Arial"/>
          <w:i/>
          <w:color w:val="FF0000"/>
          <w:sz w:val="22"/>
          <w:szCs w:val="22"/>
        </w:rPr>
        <w:t xml:space="preserve"> </w:t>
      </w:r>
      <w:r>
        <w:rPr>
          <w:rFonts w:ascii="Arial" w:hAnsi="Arial" w:cs="Arial"/>
          <w:color w:val="000000"/>
          <w:sz w:val="22"/>
          <w:szCs w:val="22"/>
        </w:rPr>
        <w:t xml:space="preserve">para a assinatura do Termo de Contrato, a Administração poderá encaminhá-lo para assinatura </w:t>
      </w:r>
      <w:r>
        <w:rPr>
          <w:rFonts w:ascii="Arial" w:hAnsi="Arial" w:cs="Arial"/>
          <w:bCs/>
          <w:iCs/>
          <w:color w:val="000000"/>
          <w:sz w:val="22"/>
          <w:szCs w:val="22"/>
        </w:rPr>
        <w:t xml:space="preserve">mediante correspondência postal com aviso de recebimento (AR) ou meio eletrônico, para que seja assinado no prazo </w:t>
      </w:r>
      <w:r>
        <w:rPr>
          <w:rFonts w:ascii="Arial" w:hAnsi="Arial" w:cs="Arial"/>
          <w:bCs/>
          <w:iCs/>
          <w:sz w:val="22"/>
          <w:szCs w:val="22"/>
        </w:rPr>
        <w:t>de 02(dois) dias,</w:t>
      </w:r>
      <w:r>
        <w:rPr>
          <w:rFonts w:ascii="Arial" w:hAnsi="Arial" w:cs="Arial"/>
          <w:bCs/>
          <w:iCs/>
          <w:color w:val="000000"/>
          <w:sz w:val="22"/>
          <w:szCs w:val="22"/>
        </w:rPr>
        <w:t xml:space="preserve"> a contar da data de seu recebimento e devolvido juntamente com as certidões atualizadas do item </w:t>
      </w:r>
      <w:r>
        <w:rPr>
          <w:rFonts w:ascii="Arial" w:hAnsi="Arial" w:cs="Arial"/>
          <w:bCs/>
          <w:i/>
          <w:iCs/>
          <w:color w:val="000000"/>
          <w:sz w:val="22"/>
          <w:szCs w:val="22"/>
        </w:rPr>
        <w:t>10.4.2.</w:t>
      </w:r>
      <w:r>
        <w:rPr>
          <w:rFonts w:ascii="Arial" w:hAnsi="Arial" w:cs="Arial"/>
          <w:bCs/>
          <w:iCs/>
          <w:color w:val="000000"/>
          <w:sz w:val="22"/>
          <w:szCs w:val="22"/>
        </w:rPr>
        <w:t xml:space="preserve"> , Regularidade Fiscal e Trabalhista, deste Edital;</w:t>
      </w:r>
      <w:r>
        <w:rPr>
          <w:rFonts w:ascii="Arial" w:hAnsi="Arial" w:cs="Arial"/>
          <w:bCs/>
          <w:iCs/>
          <w:color w:val="FF0000"/>
          <w:sz w:val="22"/>
          <w:szCs w:val="22"/>
        </w:rPr>
        <w:t xml:space="preserve"> </w:t>
      </w:r>
    </w:p>
    <w:p>
      <w:pPr>
        <w:keepNext w:val="0"/>
        <w:keepLines w:val="0"/>
        <w:pageBreakBefore w:val="0"/>
        <w:widowControl w:val="0"/>
        <w:tabs>
          <w:tab w:val="left" w:pos="960"/>
          <w:tab w:val="left" w:pos="1418"/>
        </w:tabs>
        <w:kinsoku/>
        <w:wordWrap/>
        <w:overflowPunct/>
        <w:topLinePunct w:val="0"/>
        <w:bidi w:val="0"/>
        <w:snapToGrid/>
        <w:spacing w:beforeAutospacing="0" w:after="120" w:afterAutospacing="0"/>
        <w:ind w:left="480" w:leftChars="0" w:firstLine="0" w:firstLineChars="0"/>
        <w:jc w:val="both"/>
        <w:textAlignment w:val="auto"/>
        <w:rPr>
          <w:rFonts w:ascii="Arial" w:hAnsi="Arial" w:cs="Arial"/>
          <w:color w:val="000000"/>
          <w:sz w:val="22"/>
          <w:szCs w:val="22"/>
        </w:rPr>
      </w:pPr>
      <w:r>
        <w:rPr>
          <w:rFonts w:ascii="Arial" w:hAnsi="Arial" w:cs="Arial"/>
          <w:b/>
          <w:color w:val="000000"/>
          <w:sz w:val="22"/>
          <w:szCs w:val="22"/>
        </w:rPr>
        <w:t>17.2.2.</w:t>
      </w:r>
      <w:r>
        <w:rPr>
          <w:rFonts w:ascii="Arial" w:hAnsi="Arial" w:cs="Arial"/>
          <w:color w:val="000000"/>
          <w:sz w:val="22"/>
          <w:szCs w:val="22"/>
        </w:rPr>
        <w:t xml:space="preserve"> O prazo para assinatura e devolução do Termo de Contrato poderá ser prorrogado, por igual período, por solicitação justificada do adjudicatário e aceita pela Administração;</w:t>
      </w:r>
    </w:p>
    <w:p>
      <w:pPr>
        <w:keepNext w:val="0"/>
        <w:keepLines w:val="0"/>
        <w:pageBreakBefore w:val="0"/>
        <w:widowControl w:val="0"/>
        <w:kinsoku/>
        <w:wordWrap/>
        <w:overflowPunct/>
        <w:topLinePunct w:val="0"/>
        <w:bidi w:val="0"/>
        <w:snapToGrid/>
        <w:spacing w:beforeAutospacing="0" w:after="120" w:afterAutospacing="0"/>
        <w:jc w:val="both"/>
        <w:textAlignment w:val="auto"/>
        <w:rPr>
          <w:rFonts w:ascii="Arial" w:hAnsi="Arial"/>
          <w:sz w:val="22"/>
          <w:szCs w:val="22"/>
        </w:rPr>
      </w:pPr>
      <w:r>
        <w:rPr>
          <w:rFonts w:ascii="Arial" w:hAnsi="Arial" w:cs="Arial"/>
          <w:b/>
          <w:sz w:val="22"/>
          <w:szCs w:val="22"/>
        </w:rPr>
        <w:t xml:space="preserve">17.3. </w:t>
      </w:r>
      <w:r>
        <w:rPr>
          <w:rFonts w:ascii="Arial" w:hAnsi="Arial" w:cs="Arial"/>
          <w:sz w:val="22"/>
          <w:szCs w:val="22"/>
        </w:rPr>
        <w:t xml:space="preserve"> A Contrata</w:t>
      </w:r>
      <w:r>
        <w:rPr>
          <w:rFonts w:hint="default" w:ascii="Arial" w:hAnsi="Arial" w:cs="Arial"/>
          <w:sz w:val="22"/>
          <w:szCs w:val="22"/>
          <w:lang w:val="pt-BR"/>
        </w:rPr>
        <w:t>tada</w:t>
      </w:r>
      <w:r>
        <w:rPr>
          <w:rFonts w:ascii="Arial" w:hAnsi="Arial" w:cs="Arial"/>
          <w:sz w:val="22"/>
          <w:szCs w:val="22"/>
        </w:rPr>
        <w:t xml:space="preserve"> </w:t>
      </w:r>
      <w:r>
        <w:rPr>
          <w:rFonts w:ascii="Arial" w:hAnsi="Arial" w:cs="Arial"/>
          <w:b/>
          <w:i/>
          <w:sz w:val="22"/>
          <w:szCs w:val="22"/>
          <w:u w:val="single"/>
        </w:rPr>
        <w:t>no ato da assinatura do contrato</w:t>
      </w:r>
      <w:r>
        <w:rPr>
          <w:rFonts w:ascii="Arial" w:hAnsi="Arial" w:cs="Arial"/>
          <w:sz w:val="22"/>
          <w:szCs w:val="22"/>
        </w:rPr>
        <w:t xml:space="preserve"> deverá ter comprovação</w:t>
      </w:r>
      <w:r>
        <w:rPr>
          <w:rFonts w:ascii="Arial" w:hAnsi="Arial"/>
          <w:sz w:val="22"/>
          <w:szCs w:val="22"/>
        </w:rPr>
        <w:t xml:space="preserve"> de que</w:t>
      </w:r>
      <w:r>
        <w:rPr>
          <w:rFonts w:ascii="Arial" w:hAnsi="Arial" w:cs="Arial"/>
          <w:sz w:val="22"/>
          <w:szCs w:val="22"/>
        </w:rPr>
        <w:t xml:space="preserve"> </w:t>
      </w:r>
      <w:r>
        <w:rPr>
          <w:rFonts w:ascii="Arial" w:hAnsi="Arial"/>
          <w:sz w:val="22"/>
          <w:szCs w:val="22"/>
        </w:rPr>
        <w:t>os responsáveis técnicos e/ou membros da equipe (Engenheiro Civil</w:t>
      </w:r>
      <w:r>
        <w:rPr>
          <w:rFonts w:ascii="Arial" w:hAnsi="Arial"/>
          <w:sz w:val="22"/>
          <w:szCs w:val="22"/>
          <w:shd w:val="clear" w:color="auto" w:fill="FFFFFF" w:themeFill="background1"/>
        </w:rPr>
        <w:t>)</w:t>
      </w:r>
      <w:r>
        <w:rPr>
          <w:rFonts w:ascii="Arial" w:hAnsi="Arial"/>
          <w:sz w:val="22"/>
          <w:szCs w:val="22"/>
        </w:rPr>
        <w:t xml:space="preserve"> pertençam ao quadro permanente da empresa licitante, entendendo-se como tal, para fins deste certame;</w:t>
      </w:r>
    </w:p>
    <w:p>
      <w:pPr>
        <w:keepNext w:val="0"/>
        <w:keepLines w:val="0"/>
        <w:pageBreakBefore w:val="0"/>
        <w:kinsoku/>
        <w:wordWrap/>
        <w:overflowPunct/>
        <w:topLinePunct w:val="0"/>
        <w:bidi w:val="0"/>
        <w:snapToGrid/>
        <w:spacing w:beforeAutospacing="0" w:after="120" w:afterAutospacing="0"/>
        <w:ind w:left="480" w:leftChars="200" w:right="215" w:firstLine="0" w:firstLineChars="0"/>
        <w:jc w:val="both"/>
        <w:textAlignment w:val="auto"/>
        <w:rPr>
          <w:rFonts w:ascii="Arial" w:hAnsi="Arial" w:cs="Arial"/>
          <w:sz w:val="22"/>
          <w:szCs w:val="22"/>
        </w:rPr>
      </w:pPr>
      <w:r>
        <w:rPr>
          <w:rFonts w:ascii="Arial" w:hAnsi="Arial" w:cs="Arial"/>
          <w:b/>
          <w:sz w:val="22"/>
          <w:szCs w:val="22"/>
        </w:rPr>
        <w:t>a)</w:t>
      </w:r>
      <w:r>
        <w:rPr>
          <w:rFonts w:ascii="Arial" w:hAnsi="Arial" w:cs="Arial"/>
          <w:sz w:val="22"/>
          <w:szCs w:val="22"/>
        </w:rPr>
        <w:t xml:space="preserve"> </w:t>
      </w:r>
      <w:r>
        <w:rPr>
          <w:rFonts w:ascii="Arial" w:hAnsi="Arial" w:cs="Arial"/>
          <w:bCs/>
          <w:sz w:val="22"/>
          <w:szCs w:val="22"/>
        </w:rPr>
        <w:t xml:space="preserve">A comprovação do vínculo empregatício do(s) profissional(is) relacionados no </w:t>
      </w:r>
      <w:r>
        <w:rPr>
          <w:rFonts w:ascii="Arial" w:hAnsi="Arial" w:cs="Arial"/>
          <w:bCs/>
          <w:i/>
          <w:sz w:val="22"/>
          <w:szCs w:val="22"/>
        </w:rPr>
        <w:t xml:space="preserve">“item anterior </w:t>
      </w:r>
      <w:r>
        <w:rPr>
          <w:rFonts w:ascii="Arial" w:hAnsi="Arial" w:cs="Arial"/>
          <w:bCs/>
          <w:sz w:val="22"/>
          <w:szCs w:val="22"/>
        </w:rPr>
        <w:t xml:space="preserve"> será feita </w:t>
      </w:r>
      <w:r>
        <w:rPr>
          <w:rFonts w:ascii="Arial" w:hAnsi="Arial" w:cs="Arial"/>
          <w:color w:val="000000"/>
          <w:sz w:val="22"/>
          <w:szCs w:val="22"/>
        </w:rPr>
        <w:t>por meio da apresentação dos seguintes documentos</w:t>
      </w:r>
      <w:r>
        <w:rPr>
          <w:rFonts w:ascii="Arial" w:hAnsi="Arial" w:cs="Arial"/>
          <w:bCs/>
          <w:sz w:val="22"/>
          <w:szCs w:val="22"/>
        </w:rPr>
        <w:t>;</w:t>
      </w:r>
    </w:p>
    <w:p>
      <w:pPr>
        <w:keepNext w:val="0"/>
        <w:keepLines w:val="0"/>
        <w:pageBreakBefore w:val="0"/>
        <w:kinsoku/>
        <w:wordWrap/>
        <w:overflowPunct/>
        <w:topLinePunct w:val="0"/>
        <w:autoSpaceDE w:val="0"/>
        <w:autoSpaceDN w:val="0"/>
        <w:bidi w:val="0"/>
        <w:adjustRightInd w:val="0"/>
        <w:snapToGrid/>
        <w:spacing w:beforeAutospacing="0" w:after="120" w:afterAutospacing="0"/>
        <w:ind w:left="480" w:leftChars="200" w:firstLine="0" w:firstLineChars="0"/>
        <w:jc w:val="both"/>
        <w:textAlignment w:val="auto"/>
        <w:rPr>
          <w:rFonts w:ascii="Arial" w:hAnsi="Arial" w:cs="Arial"/>
          <w:color w:val="000000"/>
          <w:sz w:val="22"/>
          <w:szCs w:val="22"/>
        </w:rPr>
      </w:pPr>
      <w:r>
        <w:rPr>
          <w:rFonts w:ascii="Arial" w:hAnsi="Arial" w:cs="Arial"/>
          <w:b/>
          <w:bCs/>
          <w:color w:val="000000"/>
          <w:sz w:val="22"/>
          <w:szCs w:val="22"/>
        </w:rPr>
        <w:t xml:space="preserve">I </w:t>
      </w:r>
      <w:r>
        <w:rPr>
          <w:rFonts w:ascii="Arial" w:hAnsi="Arial" w:cs="Arial"/>
          <w:color w:val="000000"/>
          <w:sz w:val="22"/>
          <w:szCs w:val="22"/>
        </w:rPr>
        <w:t xml:space="preserve">- Sócio: cópia do contrato social e sua última alteração, devidamente registrados no órgão competente; </w:t>
      </w:r>
    </w:p>
    <w:p>
      <w:pPr>
        <w:keepNext w:val="0"/>
        <w:keepLines w:val="0"/>
        <w:pageBreakBefore w:val="0"/>
        <w:kinsoku/>
        <w:wordWrap/>
        <w:overflowPunct/>
        <w:topLinePunct w:val="0"/>
        <w:autoSpaceDE w:val="0"/>
        <w:autoSpaceDN w:val="0"/>
        <w:bidi w:val="0"/>
        <w:adjustRightInd w:val="0"/>
        <w:snapToGrid/>
        <w:spacing w:beforeAutospacing="0" w:after="120" w:afterAutospacing="0"/>
        <w:ind w:left="480" w:leftChars="200" w:firstLine="0" w:firstLineChars="0"/>
        <w:jc w:val="both"/>
        <w:textAlignment w:val="auto"/>
        <w:rPr>
          <w:rFonts w:ascii="Arial" w:hAnsi="Arial" w:cs="Arial"/>
          <w:color w:val="000000"/>
          <w:sz w:val="22"/>
          <w:szCs w:val="22"/>
        </w:rPr>
      </w:pPr>
      <w:r>
        <w:rPr>
          <w:rFonts w:ascii="Arial" w:hAnsi="Arial" w:cs="Arial"/>
          <w:b/>
          <w:bCs/>
          <w:color w:val="000000"/>
          <w:sz w:val="22"/>
          <w:szCs w:val="22"/>
        </w:rPr>
        <w:t xml:space="preserve">II </w:t>
      </w:r>
      <w:r>
        <w:rPr>
          <w:rFonts w:ascii="Arial" w:hAnsi="Arial" w:cs="Arial"/>
          <w:color w:val="000000"/>
          <w:sz w:val="22"/>
          <w:szCs w:val="22"/>
        </w:rPr>
        <w:t>– Diretor/Adminsitrador: cópia do Contrato Social, em se tratando de firma individual ou limitada ou cópia do estatuto social e da ata de eleição devidamente publicada na imprensa, em se tratando de sociedade anônima e</w:t>
      </w:r>
      <w:r>
        <w:rPr>
          <w:rFonts w:ascii="Arial" w:hAnsi="Arial" w:cs="Arial"/>
          <w:bCs/>
          <w:sz w:val="22"/>
          <w:szCs w:val="22"/>
        </w:rPr>
        <w:t xml:space="preserve"> certidão do CREA/CAU ou Conselho Profissional competente, devidamente atualizada</w:t>
      </w:r>
      <w:r>
        <w:rPr>
          <w:rFonts w:ascii="Arial" w:hAnsi="Arial" w:cs="Arial"/>
          <w:color w:val="000000"/>
          <w:sz w:val="22"/>
          <w:szCs w:val="22"/>
        </w:rPr>
        <w:t xml:space="preserve">; </w:t>
      </w:r>
    </w:p>
    <w:p>
      <w:pPr>
        <w:keepNext w:val="0"/>
        <w:keepLines w:val="0"/>
        <w:pageBreakBefore w:val="0"/>
        <w:kinsoku/>
        <w:wordWrap/>
        <w:overflowPunct/>
        <w:topLinePunct w:val="0"/>
        <w:autoSpaceDE w:val="0"/>
        <w:autoSpaceDN w:val="0"/>
        <w:bidi w:val="0"/>
        <w:adjustRightInd w:val="0"/>
        <w:snapToGrid/>
        <w:spacing w:beforeAutospacing="0" w:after="120" w:afterAutospacing="0"/>
        <w:ind w:left="480" w:leftChars="200" w:firstLine="0" w:firstLineChars="0"/>
        <w:jc w:val="both"/>
        <w:textAlignment w:val="auto"/>
        <w:rPr>
          <w:rFonts w:ascii="Arial" w:hAnsi="Arial" w:cs="Arial"/>
          <w:color w:val="000000"/>
          <w:sz w:val="22"/>
          <w:szCs w:val="22"/>
        </w:rPr>
      </w:pPr>
      <w:r>
        <w:rPr>
          <w:rFonts w:ascii="Arial" w:hAnsi="Arial" w:cs="Arial"/>
          <w:b/>
          <w:bCs/>
          <w:color w:val="000000"/>
          <w:sz w:val="22"/>
          <w:szCs w:val="22"/>
        </w:rPr>
        <w:t xml:space="preserve">III </w:t>
      </w:r>
      <w:r>
        <w:rPr>
          <w:rFonts w:ascii="Arial" w:hAnsi="Arial" w:cs="Arial"/>
          <w:color w:val="000000"/>
          <w:sz w:val="22"/>
          <w:szCs w:val="22"/>
        </w:rPr>
        <w:t xml:space="preserve">- Empregado da empresa: </w:t>
      </w:r>
      <w:r>
        <w:rPr>
          <w:rFonts w:ascii="Arial" w:hAnsi="Arial"/>
          <w:sz w:val="22"/>
          <w:szCs w:val="22"/>
        </w:rPr>
        <w:t>devidamente registrado em Carteira de Trabalho e Previdência Social</w:t>
      </w:r>
      <w:r>
        <w:rPr>
          <w:rFonts w:ascii="Arial" w:hAnsi="Arial" w:cs="Arial"/>
          <w:color w:val="000000"/>
          <w:sz w:val="22"/>
          <w:szCs w:val="22"/>
        </w:rPr>
        <w:t xml:space="preserve">, cópia do contrato de trabalho ou qualquer documento comprobatório de vínculo empregatício previsto na legislação de regência da matéria; </w:t>
      </w:r>
    </w:p>
    <w:p>
      <w:pPr>
        <w:keepNext w:val="0"/>
        <w:keepLines w:val="0"/>
        <w:pageBreakBefore w:val="0"/>
        <w:kinsoku/>
        <w:wordWrap/>
        <w:overflowPunct/>
        <w:topLinePunct w:val="0"/>
        <w:bidi w:val="0"/>
        <w:snapToGrid/>
        <w:spacing w:beforeAutospacing="0" w:after="120" w:afterAutospacing="0"/>
        <w:ind w:left="480" w:leftChars="200" w:right="215" w:firstLine="0" w:firstLineChars="0"/>
        <w:jc w:val="both"/>
        <w:textAlignment w:val="auto"/>
        <w:rPr>
          <w:rFonts w:ascii="Arial" w:hAnsi="Arial" w:cs="Arial"/>
          <w:sz w:val="22"/>
          <w:szCs w:val="22"/>
        </w:rPr>
      </w:pPr>
      <w:r>
        <w:rPr>
          <w:rFonts w:ascii="Arial" w:hAnsi="Arial" w:cs="Arial"/>
          <w:b/>
          <w:bCs/>
          <w:color w:val="000000"/>
          <w:sz w:val="22"/>
          <w:szCs w:val="22"/>
        </w:rPr>
        <w:t xml:space="preserve">IV - </w:t>
      </w:r>
      <w:r>
        <w:rPr>
          <w:rFonts w:ascii="Arial" w:hAnsi="Arial" w:cs="Arial"/>
          <w:color w:val="000000"/>
          <w:sz w:val="22"/>
          <w:szCs w:val="22"/>
        </w:rPr>
        <w:t>Profissional contratado: cópia do contrato de prestação de serviços, celebrado entre o profissional e o licitante de acordo com a legislação civil comum ou</w:t>
      </w:r>
      <w:r>
        <w:rPr>
          <w:rFonts w:ascii="Arial" w:hAnsi="Arial" w:cs="Arial"/>
          <w:sz w:val="22"/>
          <w:szCs w:val="22"/>
        </w:rPr>
        <w:t xml:space="preserve"> declaração de compromisso de vinculação contratual futura, caso o licitante se sagre vencedor do certame. Neste caso, para a assinatura do contrato será exigida a apresentação do referido contrato;</w:t>
      </w:r>
    </w:p>
    <w:p>
      <w:pPr>
        <w:keepNext w:val="0"/>
        <w:keepLines w:val="0"/>
        <w:pageBreakBefore w:val="0"/>
        <w:widowControl w:val="0"/>
        <w:kinsoku/>
        <w:wordWrap/>
        <w:overflowPunct/>
        <w:topLinePunct w:val="0"/>
        <w:bidi w:val="0"/>
        <w:snapToGrid/>
        <w:spacing w:beforeAutospacing="0" w:after="120" w:afterAutospacing="0"/>
        <w:ind w:left="960" w:leftChars="0" w:firstLine="0" w:firstLineChars="0"/>
        <w:jc w:val="both"/>
        <w:textAlignment w:val="auto"/>
        <w:rPr>
          <w:rFonts w:ascii="Arial" w:hAnsi="Arial"/>
          <w:sz w:val="22"/>
          <w:szCs w:val="22"/>
        </w:rPr>
      </w:pPr>
      <w:r>
        <w:rPr>
          <w:rFonts w:ascii="Arial" w:hAnsi="Arial"/>
          <w:b/>
          <w:sz w:val="22"/>
          <w:szCs w:val="22"/>
        </w:rPr>
        <w:t xml:space="preserve">17.3.1. </w:t>
      </w:r>
      <w:r>
        <w:rPr>
          <w:rFonts w:ascii="Arial" w:hAnsi="Arial"/>
          <w:sz w:val="22"/>
          <w:szCs w:val="22"/>
        </w:rPr>
        <w:t>No decorrer da execução d</w:t>
      </w:r>
      <w:r>
        <w:rPr>
          <w:rFonts w:hint="default" w:ascii="Arial" w:hAnsi="Arial"/>
          <w:sz w:val="22"/>
          <w:szCs w:val="22"/>
          <w:lang w:val="pt-BR"/>
        </w:rPr>
        <w:t>o projeto</w:t>
      </w:r>
      <w:r>
        <w:rPr>
          <w:rFonts w:ascii="Arial" w:hAnsi="Arial"/>
          <w:sz w:val="22"/>
          <w:szCs w:val="22"/>
        </w:rPr>
        <w:t>, os profissionais de que trata este subitem poderão ser substituídos, nos termos do artigo 30, §10, da Lei n° 8.666, de 1993, por profissionais de experiência equivalente ou superior, desde que a substituição seja aprovada pela Administração;</w:t>
      </w:r>
    </w:p>
    <w:p>
      <w:pPr>
        <w:keepNext w:val="0"/>
        <w:keepLines w:val="0"/>
        <w:pageBreakBefore w:val="0"/>
        <w:widowControl w:val="0"/>
        <w:tabs>
          <w:tab w:val="left" w:pos="0"/>
          <w:tab w:val="left" w:pos="1418"/>
        </w:tabs>
        <w:kinsoku/>
        <w:wordWrap/>
        <w:overflowPunct/>
        <w:topLinePunct w:val="0"/>
        <w:bidi w:val="0"/>
        <w:snapToGrid/>
        <w:spacing w:beforeAutospacing="0" w:after="120" w:afterAutospacing="0"/>
        <w:jc w:val="both"/>
        <w:textAlignment w:val="auto"/>
        <w:rPr>
          <w:rFonts w:ascii="Arial" w:hAnsi="Arial" w:cs="Arial"/>
          <w:color w:val="000000"/>
          <w:sz w:val="22"/>
          <w:szCs w:val="22"/>
        </w:rPr>
      </w:pPr>
      <w:r>
        <w:rPr>
          <w:rFonts w:ascii="Arial" w:hAnsi="Arial" w:cs="Arial"/>
          <w:b/>
          <w:color w:val="000000"/>
          <w:sz w:val="22"/>
          <w:szCs w:val="22"/>
        </w:rPr>
        <w:t>17.4.</w:t>
      </w:r>
      <w:r>
        <w:rPr>
          <w:rFonts w:ascii="Arial" w:hAnsi="Arial" w:cs="Arial"/>
          <w:color w:val="000000"/>
          <w:sz w:val="22"/>
          <w:szCs w:val="22"/>
        </w:rPr>
        <w:t xml:space="preserve"> Se o adjudicatário, no ato da assinatura do Termo de Contrato, não comprovar que mantém as mesmas condições de habilitação, ou quando, injustificadamente, recusar-se à assinatura, poderá ser convocado outro licitante, desde que respeitada a ordem de classificação para celebrar a contratação nas mesmas condições da proposta vencedora, sem prejuízo das sanções previstas em Lei;</w:t>
      </w:r>
    </w:p>
    <w:p>
      <w:pPr>
        <w:keepNext w:val="0"/>
        <w:keepLines w:val="0"/>
        <w:pageBreakBefore w:val="0"/>
        <w:widowControl w:val="0"/>
        <w:tabs>
          <w:tab w:val="left" w:pos="960"/>
          <w:tab w:val="left" w:pos="1200"/>
          <w:tab w:val="left" w:pos="1418"/>
        </w:tabs>
        <w:kinsoku/>
        <w:wordWrap/>
        <w:overflowPunct/>
        <w:topLinePunct w:val="0"/>
        <w:bidi w:val="0"/>
        <w:snapToGrid/>
        <w:spacing w:beforeAutospacing="0" w:after="120" w:afterAutospacing="0"/>
        <w:ind w:left="960" w:leftChars="0" w:firstLine="0" w:firstLineChars="0"/>
        <w:jc w:val="both"/>
        <w:textAlignment w:val="auto"/>
        <w:rPr>
          <w:rFonts w:ascii="Arial" w:hAnsi="Arial" w:cs="Arial"/>
          <w:color w:val="000000"/>
          <w:sz w:val="22"/>
          <w:szCs w:val="22"/>
        </w:rPr>
      </w:pPr>
      <w:r>
        <w:rPr>
          <w:rFonts w:ascii="Arial" w:hAnsi="Arial" w:cs="Arial"/>
          <w:b/>
          <w:color w:val="000000"/>
          <w:sz w:val="22"/>
          <w:szCs w:val="22"/>
        </w:rPr>
        <w:t>17.4.1.</w:t>
      </w:r>
      <w:r>
        <w:rPr>
          <w:rFonts w:ascii="Arial" w:hAnsi="Arial" w:cs="Arial"/>
          <w:color w:val="000000"/>
          <w:sz w:val="22"/>
          <w:szCs w:val="22"/>
        </w:rPr>
        <w:t xml:space="preserve"> Na hipótese de irregularidade quanto as condições de sua habilitação, o contratado deverá regularizar a sua situação perante o cadastro no prazo de até 05 (cinco) dias, sob pena de aplicação das penalidades previstas no edital e anexos.</w:t>
      </w:r>
    </w:p>
    <w:p>
      <w:pPr>
        <w:pStyle w:val="145"/>
        <w:keepNext w:val="0"/>
        <w:keepLines w:val="0"/>
        <w:pageBreakBefore w:val="0"/>
        <w:widowControl/>
        <w:kinsoku/>
        <w:wordWrap/>
        <w:overflowPunct/>
        <w:topLinePunct w:val="0"/>
        <w:autoSpaceDE/>
        <w:autoSpaceDN/>
        <w:bidi w:val="0"/>
        <w:adjustRightInd/>
        <w:snapToGrid/>
        <w:spacing w:before="0"/>
        <w:textAlignment w:val="auto"/>
      </w:pPr>
      <w:r>
        <w:t>DO REAJUSTE</w:t>
      </w:r>
    </w:p>
    <w:p>
      <w:pPr>
        <w:pStyle w:val="24"/>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18.1.</w:t>
      </w:r>
      <w:r>
        <w:rPr>
          <w:rFonts w:ascii="Arial" w:hAnsi="Arial" w:cs="Arial"/>
          <w:sz w:val="22"/>
          <w:szCs w:val="22"/>
        </w:rPr>
        <w:t xml:space="preserve"> O valor do contrato será fixo e irreajustável, porém poderá ser corrigido anualmente mediante requerimento da contratada, após o interregno mínimo de um ano, contado a partir da data limite para a apresentação d</w:t>
      </w:r>
      <w:r>
        <w:rPr>
          <w:rFonts w:hint="default" w:ascii="Arial" w:hAnsi="Arial" w:cs="Arial"/>
          <w:sz w:val="22"/>
          <w:szCs w:val="22"/>
          <w:lang w:val="pt-BR"/>
        </w:rPr>
        <w:t>o orçamento</w:t>
      </w:r>
      <w:r>
        <w:rPr>
          <w:rFonts w:ascii="Arial" w:hAnsi="Arial" w:cs="Arial"/>
          <w:sz w:val="22"/>
          <w:szCs w:val="22"/>
        </w:rPr>
        <w:t>, pela variação do índice INCC (Índice Nacional de Custos da Construção), ou outro que vier a substituí-lo, e afetará exclusivamente as etapas/parcelas do empreendimento cujo atraso não decorra de culpa da contratada. Em caso de culpa, a correção será vedada, obrigando o particular contratado a arcar com os ônus decorrentes do atraso.</w:t>
      </w:r>
    </w:p>
    <w:p>
      <w:pPr>
        <w:pStyle w:val="145"/>
        <w:keepNext w:val="0"/>
        <w:keepLines w:val="0"/>
        <w:pageBreakBefore w:val="0"/>
        <w:widowControl/>
        <w:kinsoku/>
        <w:wordWrap/>
        <w:overflowPunct/>
        <w:topLinePunct w:val="0"/>
        <w:autoSpaceDE/>
        <w:autoSpaceDN/>
        <w:bidi w:val="0"/>
        <w:adjustRightInd/>
        <w:snapToGrid/>
        <w:spacing w:before="0"/>
        <w:textAlignment w:val="auto"/>
      </w:pPr>
      <w:r>
        <w:t>DA ENTREGA E DO RECEBIMENTO DO OBJETO E DA FISCALIZAÇÃO</w:t>
      </w:r>
    </w:p>
    <w:p>
      <w:pPr>
        <w:pStyle w:val="86"/>
        <w:keepNext w:val="0"/>
        <w:keepLines w:val="0"/>
        <w:pageBreakBefore w:val="0"/>
        <w:widowControl w:val="0"/>
        <w:numPr>
          <w:ilvl w:val="0"/>
          <w:numId w:val="0"/>
        </w:numPr>
        <w:tabs>
          <w:tab w:val="left" w:pos="426"/>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b/>
          <w:sz w:val="22"/>
          <w:szCs w:val="22"/>
        </w:rPr>
      </w:pPr>
      <w:r>
        <w:rPr>
          <w:rFonts w:hint="default" w:ascii="Arial" w:hAnsi="Arial" w:cs="Arial"/>
          <w:b/>
          <w:sz w:val="22"/>
          <w:szCs w:val="22"/>
          <w:lang w:val="pt-BR"/>
        </w:rPr>
        <w:t xml:space="preserve">19.1. </w:t>
      </w:r>
      <w:r>
        <w:rPr>
          <w:rFonts w:ascii="Arial" w:hAnsi="Arial" w:cs="Arial"/>
          <w:b/>
          <w:sz w:val="22"/>
          <w:szCs w:val="22"/>
        </w:rPr>
        <w:t>DO RECEBIMENTO DO OBJETO</w:t>
      </w:r>
    </w:p>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19.1.2.</w:t>
      </w:r>
      <w:r>
        <w:rPr>
          <w:rFonts w:hint="default" w:ascii="Arial" w:hAnsi="Arial" w:cs="Arial"/>
          <w:sz w:val="22"/>
          <w:szCs w:val="22"/>
          <w:lang w:val="pt-BR"/>
        </w:rPr>
        <w:t xml:space="preserve"> </w:t>
      </w:r>
      <w:r>
        <w:rPr>
          <w:rFonts w:ascii="Arial" w:hAnsi="Arial" w:cs="Arial"/>
          <w:sz w:val="22"/>
          <w:szCs w:val="22"/>
        </w:rPr>
        <w:t>Quando a</w:t>
      </w:r>
      <w:r>
        <w:rPr>
          <w:rFonts w:hint="default" w:ascii="Arial" w:hAnsi="Arial" w:cs="Arial"/>
          <w:sz w:val="22"/>
          <w:szCs w:val="22"/>
          <w:lang w:val="pt-BR"/>
        </w:rPr>
        <w:t>(</w:t>
      </w:r>
      <w:r>
        <w:rPr>
          <w:rFonts w:ascii="Arial" w:hAnsi="Arial" w:cs="Arial"/>
          <w:sz w:val="22"/>
          <w:szCs w:val="22"/>
        </w:rPr>
        <w:t>s</w:t>
      </w:r>
      <w:r>
        <w:rPr>
          <w:rFonts w:hint="default" w:ascii="Arial" w:hAnsi="Arial" w:cs="Arial"/>
          <w:sz w:val="22"/>
          <w:szCs w:val="22"/>
          <w:lang w:val="pt-BR"/>
        </w:rPr>
        <w:t>)</w:t>
      </w:r>
      <w:r>
        <w:rPr>
          <w:rFonts w:ascii="Arial" w:hAnsi="Arial" w:cs="Arial"/>
          <w:sz w:val="22"/>
          <w:szCs w:val="22"/>
        </w:rPr>
        <w:t xml:space="preserve"> </w:t>
      </w:r>
      <w:r>
        <w:rPr>
          <w:rFonts w:hint="default" w:ascii="Arial" w:hAnsi="Arial" w:cs="Arial"/>
          <w:sz w:val="22"/>
          <w:szCs w:val="22"/>
          <w:lang w:val="pt-BR"/>
        </w:rPr>
        <w:t>projeto</w:t>
      </w:r>
      <w:r>
        <w:rPr>
          <w:rFonts w:ascii="Arial" w:hAnsi="Arial" w:cs="Arial"/>
          <w:sz w:val="22"/>
          <w:szCs w:val="22"/>
        </w:rPr>
        <w:t xml:space="preserve"> e/ou serviços contratados forem concluídos, caberá à Contratada apresentar comunicação escrita informando o fato à fiscalização da Contratante, a qual competirá, no prazo de até 10 (dez) dias, a verificação dos serviços executados, para fins de recebimento provisório.</w:t>
      </w:r>
    </w:p>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 xml:space="preserve">19.1.3. </w:t>
      </w:r>
      <w:r>
        <w:rPr>
          <w:rFonts w:ascii="Arial" w:hAnsi="Arial" w:cs="Arial"/>
          <w:sz w:val="22"/>
          <w:szCs w:val="22"/>
        </w:rPr>
        <w:t xml:space="preserve">A Contratante realizará inspeção minuciosa de todos os serviços e </w:t>
      </w:r>
      <w:r>
        <w:rPr>
          <w:rFonts w:hint="default" w:ascii="Arial" w:hAnsi="Arial" w:cs="Arial"/>
          <w:sz w:val="22"/>
          <w:szCs w:val="22"/>
          <w:lang w:val="pt-BR"/>
        </w:rPr>
        <w:t>projetos</w:t>
      </w:r>
      <w:r>
        <w:rPr>
          <w:rFonts w:ascii="Arial" w:hAnsi="Arial" w:cs="Arial"/>
          <w:sz w:val="22"/>
          <w:szCs w:val="22"/>
        </w:rPr>
        <w:t xml:space="preserve"> executadas, por meio de profissionais técnicos competentes, acompanhados dos profissionais encarregados pela </w:t>
      </w:r>
      <w:r>
        <w:rPr>
          <w:rFonts w:hint="default" w:ascii="Arial" w:hAnsi="Arial" w:cs="Arial"/>
          <w:sz w:val="22"/>
          <w:szCs w:val="22"/>
          <w:lang w:val="pt-BR"/>
        </w:rPr>
        <w:t>projeto</w:t>
      </w:r>
      <w:r>
        <w:rPr>
          <w:rFonts w:ascii="Arial" w:hAnsi="Arial" w:cs="Arial"/>
          <w:sz w:val="22"/>
          <w:szCs w:val="22"/>
        </w:rPr>
        <w:t>, com a finalidade de verificar a adequação dos serviços e constatar e relacionar os arremates, retoques e revisões finais que se fizerem necessários.</w:t>
      </w:r>
    </w:p>
    <w:p>
      <w:pPr>
        <w:keepNext w:val="0"/>
        <w:keepLines w:val="0"/>
        <w:pageBreakBefore w:val="0"/>
        <w:widowControl w:val="0"/>
        <w:numPr>
          <w:ilvl w:val="0"/>
          <w:numId w:val="0"/>
        </w:numPr>
        <w:tabs>
          <w:tab w:val="left" w:pos="1985"/>
        </w:tabs>
        <w:kinsoku/>
        <w:wordWrap/>
        <w:overflowPunct/>
        <w:topLinePunct w:val="0"/>
        <w:autoSpaceDE/>
        <w:autoSpaceDN/>
        <w:bidi w:val="0"/>
        <w:adjustRightInd/>
        <w:snapToGrid/>
        <w:spacing w:beforeAutospacing="0" w:after="120" w:afterAutospacing="0"/>
        <w:ind w:left="480" w:leftChars="200" w:firstLine="0" w:firstLineChars="0"/>
        <w:jc w:val="both"/>
        <w:textAlignment w:val="auto"/>
        <w:rPr>
          <w:rFonts w:ascii="Arial" w:hAnsi="Arial" w:cs="Arial"/>
          <w:sz w:val="22"/>
          <w:szCs w:val="22"/>
        </w:rPr>
      </w:pPr>
      <w:r>
        <w:rPr>
          <w:rFonts w:hint="default" w:ascii="Arial" w:hAnsi="Arial" w:cs="Arial"/>
          <w:b/>
          <w:bCs/>
          <w:sz w:val="22"/>
          <w:szCs w:val="22"/>
          <w:lang w:val="pt-BR"/>
        </w:rPr>
        <w:t xml:space="preserve">19.1.3.1. </w:t>
      </w:r>
      <w:r>
        <w:rPr>
          <w:rFonts w:ascii="Arial" w:hAnsi="Arial" w:cs="Arial"/>
          <w:sz w:val="22"/>
          <w:szCs w:val="22"/>
        </w:rPr>
        <w:t>Após tal inspeção, será lavrado Termo de Recebimento Provisório, em 02 (duas) vias de igual teor e forma, ambas assinadas pela fiscalização, relatando as eventuais pendências verificadas.</w:t>
      </w:r>
    </w:p>
    <w:p>
      <w:pPr>
        <w:keepNext w:val="0"/>
        <w:keepLines w:val="0"/>
        <w:pageBreakBefore w:val="0"/>
        <w:widowControl w:val="0"/>
        <w:numPr>
          <w:ilvl w:val="0"/>
          <w:numId w:val="0"/>
        </w:numPr>
        <w:tabs>
          <w:tab w:val="left" w:pos="1985"/>
        </w:tabs>
        <w:kinsoku/>
        <w:wordWrap/>
        <w:overflowPunct/>
        <w:topLinePunct w:val="0"/>
        <w:autoSpaceDE/>
        <w:autoSpaceDN/>
        <w:bidi w:val="0"/>
        <w:adjustRightInd/>
        <w:snapToGrid/>
        <w:spacing w:beforeAutospacing="0" w:after="120" w:afterAutospacing="0"/>
        <w:ind w:left="480" w:leftChars="200" w:firstLine="0" w:firstLineChars="0"/>
        <w:jc w:val="both"/>
        <w:textAlignment w:val="auto"/>
        <w:rPr>
          <w:rFonts w:ascii="Arial" w:hAnsi="Arial" w:cs="Arial"/>
          <w:sz w:val="22"/>
          <w:szCs w:val="22"/>
        </w:rPr>
      </w:pPr>
      <w:r>
        <w:rPr>
          <w:rFonts w:hint="default" w:ascii="Arial" w:hAnsi="Arial" w:cs="Arial"/>
          <w:b/>
          <w:bCs/>
          <w:sz w:val="22"/>
          <w:szCs w:val="22"/>
          <w:lang w:val="pt-BR"/>
        </w:rPr>
        <w:t xml:space="preserve">19.1.3.2. </w:t>
      </w:r>
      <w:r>
        <w:rPr>
          <w:rFonts w:ascii="Arial" w:hAnsi="Arial" w:cs="Arial"/>
          <w:sz w:val="22"/>
          <w:szCs w:val="22"/>
        </w:rPr>
        <w:t>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Termo de Recebimento Provisório.</w:t>
      </w:r>
    </w:p>
    <w:p>
      <w:pPr>
        <w:keepNext w:val="0"/>
        <w:keepLines w:val="0"/>
        <w:pageBreakBefore w:val="0"/>
        <w:widowControl w:val="0"/>
        <w:numPr>
          <w:ilvl w:val="0"/>
          <w:numId w:val="0"/>
        </w:numPr>
        <w:tabs>
          <w:tab w:val="left" w:pos="-6237"/>
          <w:tab w:val="left" w:pos="567"/>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19.1.4.</w:t>
      </w:r>
      <w:r>
        <w:rPr>
          <w:rFonts w:ascii="Arial" w:hAnsi="Arial" w:cs="Arial"/>
          <w:sz w:val="22"/>
          <w:szCs w:val="22"/>
        </w:rPr>
        <w:t>O Termo de Recebimento Definitivo d</w:t>
      </w:r>
      <w:r>
        <w:rPr>
          <w:rFonts w:hint="default" w:ascii="Arial" w:hAnsi="Arial" w:cs="Arial"/>
          <w:sz w:val="22"/>
          <w:szCs w:val="22"/>
          <w:lang w:val="pt-BR"/>
        </w:rPr>
        <w:t>o projeto</w:t>
      </w:r>
      <w:r>
        <w:rPr>
          <w:rFonts w:ascii="Arial" w:hAnsi="Arial" w:cs="Arial"/>
          <w:sz w:val="22"/>
          <w:szCs w:val="22"/>
        </w:rPr>
        <w:t xml:space="preserve"> e/ou serviços contratados será lavrado em até 30 (trinta) dias após a lavratura do Termo de Recebimento Provisório, por servidor ou comissão designada pela autoridade competente, desde que tenham sido devidamente atendidas todas as exigências da fiscalização quanto às pendências observadas e somente após solucionadas todas as reclamações porventura feitas quanto à falta de pagamento a operários ou fornecedores de materiais e prestadores de serviços empregados na execução do contrato.</w:t>
      </w:r>
    </w:p>
    <w:p>
      <w:pPr>
        <w:keepNext w:val="0"/>
        <w:keepLines w:val="0"/>
        <w:pageBreakBefore w:val="0"/>
        <w:widowControl w:val="0"/>
        <w:numPr>
          <w:ilvl w:val="0"/>
          <w:numId w:val="0"/>
        </w:numPr>
        <w:tabs>
          <w:tab w:val="left" w:pos="1985"/>
        </w:tabs>
        <w:kinsoku/>
        <w:wordWrap/>
        <w:overflowPunct/>
        <w:topLinePunct w:val="0"/>
        <w:autoSpaceDE/>
        <w:autoSpaceDN/>
        <w:bidi w:val="0"/>
        <w:adjustRightInd/>
        <w:snapToGrid/>
        <w:spacing w:beforeAutospacing="0" w:after="120" w:afterAutospacing="0"/>
        <w:ind w:left="1200" w:leftChars="0"/>
        <w:jc w:val="both"/>
        <w:textAlignment w:val="auto"/>
        <w:rPr>
          <w:rFonts w:ascii="Arial" w:hAnsi="Arial" w:cs="Arial"/>
          <w:sz w:val="22"/>
          <w:szCs w:val="22"/>
        </w:rPr>
      </w:pPr>
      <w:r>
        <w:rPr>
          <w:rFonts w:hint="default" w:ascii="Arial" w:hAnsi="Arial" w:cs="Arial"/>
          <w:b/>
          <w:bCs/>
          <w:sz w:val="22"/>
          <w:szCs w:val="22"/>
          <w:lang w:val="pt-BR"/>
        </w:rPr>
        <w:t xml:space="preserve">19.1.4.1. </w:t>
      </w:r>
      <w:r>
        <w:rPr>
          <w:rFonts w:ascii="Arial" w:hAnsi="Arial" w:cs="Arial"/>
          <w:sz w:val="22"/>
          <w:szCs w:val="22"/>
        </w:rPr>
        <w:t>Na hipótese de a verificação a que se refere o parágrafo anterior não ser procedida tempestivamente, reputar-se-á como realizada, consumando-se o recebimento definitivo no dia do esgotamento do prazo, desde que o fato seja comunicado à Contratante nos 15 (quinze) dias anteriores à exaustão do prazo.</w:t>
      </w:r>
    </w:p>
    <w:p>
      <w:pPr>
        <w:keepNext w:val="0"/>
        <w:keepLines w:val="0"/>
        <w:pageBreakBefore w:val="0"/>
        <w:widowControl w:val="0"/>
        <w:numPr>
          <w:ilvl w:val="0"/>
          <w:numId w:val="0"/>
        </w:numPr>
        <w:tabs>
          <w:tab w:val="left" w:pos="1985"/>
        </w:tabs>
        <w:kinsoku/>
        <w:wordWrap/>
        <w:overflowPunct/>
        <w:topLinePunct w:val="0"/>
        <w:autoSpaceDE/>
        <w:autoSpaceDN/>
        <w:bidi w:val="0"/>
        <w:adjustRightInd/>
        <w:snapToGrid/>
        <w:spacing w:beforeAutospacing="0" w:after="120" w:afterAutospacing="0"/>
        <w:ind w:left="1200" w:leftChars="0"/>
        <w:jc w:val="both"/>
        <w:textAlignment w:val="auto"/>
        <w:rPr>
          <w:rFonts w:ascii="Arial" w:hAnsi="Arial" w:cs="Arial"/>
          <w:sz w:val="22"/>
          <w:szCs w:val="22"/>
        </w:rPr>
      </w:pPr>
      <w:r>
        <w:rPr>
          <w:rFonts w:hint="default" w:ascii="Arial" w:hAnsi="Arial" w:cs="Arial"/>
          <w:b/>
          <w:bCs/>
          <w:sz w:val="22"/>
          <w:szCs w:val="22"/>
          <w:lang w:val="pt-BR"/>
        </w:rPr>
        <w:t xml:space="preserve">19.1.4.2. </w:t>
      </w:r>
      <w:r>
        <w:rPr>
          <w:rFonts w:ascii="Arial" w:hAnsi="Arial" w:cs="Arial"/>
          <w:sz w:val="22"/>
          <w:szCs w:val="22"/>
        </w:rPr>
        <w:t>O recebimento definitivo do objeto licitado não exime a Contratada, em qualquer época, das garantias concedidas e das responsabilidades assumidas em contrato e por força das disposições legais em vigor (Lei n° 10.406, de 2002).</w:t>
      </w:r>
    </w:p>
    <w:p>
      <w:pPr>
        <w:keepNext w:val="0"/>
        <w:keepLines w:val="0"/>
        <w:pageBreakBefore w:val="0"/>
        <w:widowControl w:val="0"/>
        <w:numPr>
          <w:ilvl w:val="0"/>
          <w:numId w:val="0"/>
        </w:numPr>
        <w:tabs>
          <w:tab w:val="left" w:pos="1985"/>
        </w:tabs>
        <w:kinsoku/>
        <w:wordWrap/>
        <w:overflowPunct/>
        <w:topLinePunct w:val="0"/>
        <w:autoSpaceDE/>
        <w:autoSpaceDN/>
        <w:bidi w:val="0"/>
        <w:adjustRightInd/>
        <w:snapToGrid/>
        <w:spacing w:beforeAutospacing="0" w:after="120" w:afterAutospacing="0"/>
        <w:ind w:left="1200" w:leftChars="0"/>
        <w:jc w:val="both"/>
        <w:textAlignment w:val="auto"/>
        <w:rPr>
          <w:rFonts w:ascii="Arial" w:hAnsi="Arial" w:cs="Arial"/>
          <w:sz w:val="22"/>
          <w:szCs w:val="22"/>
        </w:rPr>
      </w:pPr>
    </w:p>
    <w:p>
      <w:pPr>
        <w:pStyle w:val="145"/>
        <w:keepNext w:val="0"/>
        <w:keepLines w:val="0"/>
        <w:pageBreakBefore w:val="0"/>
        <w:widowControl/>
        <w:kinsoku/>
        <w:wordWrap/>
        <w:overflowPunct/>
        <w:topLinePunct w:val="0"/>
        <w:autoSpaceDE/>
        <w:autoSpaceDN/>
        <w:bidi w:val="0"/>
        <w:adjustRightInd/>
        <w:snapToGrid/>
        <w:spacing w:before="0"/>
        <w:textAlignment w:val="auto"/>
      </w:pPr>
      <w:r>
        <w:t>DAS OBRIGAÇÕES DA CONTRATANTE E DA CONTRATADA</w:t>
      </w:r>
    </w:p>
    <w:p>
      <w:pPr>
        <w:pStyle w:val="86"/>
        <w:widowControl w:val="0"/>
        <w:numPr>
          <w:ilvl w:val="0"/>
          <w:numId w:val="0"/>
        </w:numPr>
        <w:spacing w:after="120"/>
        <w:jc w:val="both"/>
        <w:rPr>
          <w:rFonts w:ascii="Arial" w:hAnsi="Arial" w:cs="Arial"/>
          <w:b/>
          <w:sz w:val="22"/>
          <w:szCs w:val="22"/>
        </w:rPr>
      </w:pPr>
      <w:r>
        <w:rPr>
          <w:rFonts w:hint="default" w:ascii="Arial" w:hAnsi="Arial" w:cs="Arial"/>
          <w:b/>
          <w:bCs/>
          <w:color w:val="000000"/>
          <w:sz w:val="22"/>
          <w:szCs w:val="22"/>
          <w:lang w:val="pt-BR"/>
        </w:rPr>
        <w:t xml:space="preserve">20.1 </w:t>
      </w:r>
      <w:r>
        <w:rPr>
          <w:rFonts w:ascii="Arial" w:hAnsi="Arial" w:cs="Arial"/>
          <w:b/>
          <w:bCs/>
          <w:color w:val="000000"/>
          <w:sz w:val="22"/>
          <w:szCs w:val="22"/>
        </w:rPr>
        <w:t>OBRIGAÇÕES DA CONTRATANTE</w:t>
      </w:r>
    </w:p>
    <w:p>
      <w:pPr>
        <w:pStyle w:val="86"/>
        <w:widowControl w:val="0"/>
        <w:numPr>
          <w:ilvl w:val="0"/>
          <w:numId w:val="0"/>
        </w:numPr>
        <w:tabs>
          <w:tab w:val="left" w:pos="2268"/>
        </w:tabs>
        <w:spacing w:after="120"/>
        <w:jc w:val="both"/>
        <w:rPr>
          <w:rFonts w:hint="default" w:ascii="Arial" w:hAnsi="Arial" w:cs="Arial"/>
          <w:b w:val="0"/>
          <w:bCs/>
          <w:sz w:val="22"/>
          <w:szCs w:val="22"/>
          <w:lang w:val="pt-BR"/>
        </w:rPr>
      </w:pPr>
      <w:r>
        <w:rPr>
          <w:rFonts w:hint="default" w:ascii="Arial" w:hAnsi="Arial" w:cs="Arial"/>
          <w:b/>
          <w:bCs w:val="0"/>
          <w:sz w:val="22"/>
          <w:szCs w:val="22"/>
          <w:lang w:val="pt-BR"/>
        </w:rPr>
        <w:t>20.1.1.</w:t>
      </w:r>
      <w:r>
        <w:rPr>
          <w:rFonts w:hint="default" w:ascii="Arial" w:hAnsi="Arial" w:cs="Arial"/>
          <w:b w:val="0"/>
          <w:bCs/>
          <w:sz w:val="22"/>
          <w:szCs w:val="22"/>
          <w:lang w:val="pt-BR"/>
        </w:rPr>
        <w:t xml:space="preserve"> Acompanhar e fiscalizar o cumprimento das obrigações da Contratada, através de servidor especialmente designado; </w:t>
      </w:r>
    </w:p>
    <w:p>
      <w:pPr>
        <w:pStyle w:val="86"/>
        <w:widowControl w:val="0"/>
        <w:numPr>
          <w:ilvl w:val="0"/>
          <w:numId w:val="0"/>
        </w:numPr>
        <w:tabs>
          <w:tab w:val="left" w:pos="2268"/>
        </w:tabs>
        <w:spacing w:after="120"/>
        <w:jc w:val="both"/>
        <w:rPr>
          <w:rFonts w:hint="default" w:ascii="Arial" w:hAnsi="Arial" w:cs="Arial"/>
          <w:b w:val="0"/>
          <w:bCs/>
          <w:sz w:val="22"/>
          <w:szCs w:val="22"/>
          <w:lang w:val="pt-BR"/>
        </w:rPr>
      </w:pPr>
      <w:r>
        <w:rPr>
          <w:rFonts w:hint="default" w:ascii="Arial" w:hAnsi="Arial" w:cs="Arial"/>
          <w:b/>
          <w:bCs w:val="0"/>
          <w:sz w:val="22"/>
          <w:szCs w:val="22"/>
          <w:lang w:val="pt-BR"/>
        </w:rPr>
        <w:t>20.1.2.</w:t>
      </w:r>
      <w:r>
        <w:rPr>
          <w:rFonts w:hint="default" w:ascii="Arial" w:hAnsi="Arial" w:cs="Arial"/>
          <w:b w:val="0"/>
          <w:bCs/>
          <w:sz w:val="22"/>
          <w:szCs w:val="22"/>
          <w:lang w:val="pt-BR"/>
        </w:rPr>
        <w:t xml:space="preserve"> Efetuar os pagamentos devidos nas condições estabelecidas;</w:t>
      </w:r>
    </w:p>
    <w:p>
      <w:pPr>
        <w:pStyle w:val="86"/>
        <w:widowControl w:val="0"/>
        <w:numPr>
          <w:ilvl w:val="0"/>
          <w:numId w:val="0"/>
        </w:numPr>
        <w:tabs>
          <w:tab w:val="left" w:pos="2268"/>
        </w:tabs>
        <w:spacing w:after="120"/>
        <w:jc w:val="both"/>
        <w:rPr>
          <w:rFonts w:hint="default" w:ascii="Arial" w:hAnsi="Arial" w:cs="Arial"/>
          <w:b w:val="0"/>
          <w:bCs/>
          <w:sz w:val="22"/>
          <w:szCs w:val="22"/>
          <w:lang w:val="pt-BR"/>
        </w:rPr>
      </w:pPr>
      <w:r>
        <w:rPr>
          <w:rFonts w:hint="default" w:ascii="Arial" w:hAnsi="Arial" w:cs="Arial"/>
          <w:b/>
          <w:bCs w:val="0"/>
          <w:sz w:val="22"/>
          <w:szCs w:val="22"/>
          <w:lang w:val="pt-BR"/>
        </w:rPr>
        <w:t>20.1.3.</w:t>
      </w:r>
      <w:r>
        <w:rPr>
          <w:rFonts w:hint="default" w:ascii="Arial" w:hAnsi="Arial" w:cs="Arial"/>
          <w:b w:val="0"/>
          <w:bCs/>
          <w:sz w:val="22"/>
          <w:szCs w:val="22"/>
          <w:lang w:val="pt-BR"/>
        </w:rPr>
        <w:t xml:space="preserve"> Permitir livre acesso dos funcionários credenciados pela CONTRATADA aos locais de execução dos serviços;</w:t>
      </w:r>
    </w:p>
    <w:p>
      <w:pPr>
        <w:pStyle w:val="86"/>
        <w:widowControl w:val="0"/>
        <w:numPr>
          <w:ilvl w:val="0"/>
          <w:numId w:val="0"/>
        </w:numPr>
        <w:tabs>
          <w:tab w:val="left" w:pos="2268"/>
        </w:tabs>
        <w:spacing w:after="120"/>
        <w:jc w:val="both"/>
        <w:rPr>
          <w:rFonts w:hint="default" w:ascii="Arial" w:hAnsi="Arial" w:cs="Arial"/>
          <w:b w:val="0"/>
          <w:bCs/>
          <w:sz w:val="22"/>
          <w:szCs w:val="22"/>
          <w:lang w:val="pt-BR"/>
        </w:rPr>
      </w:pPr>
      <w:r>
        <w:rPr>
          <w:rFonts w:hint="default" w:ascii="Arial" w:hAnsi="Arial" w:cs="Arial"/>
          <w:b/>
          <w:bCs w:val="0"/>
          <w:sz w:val="22"/>
          <w:szCs w:val="22"/>
          <w:lang w:val="pt-BR"/>
        </w:rPr>
        <w:t xml:space="preserve">20.1.4 </w:t>
      </w:r>
      <w:r>
        <w:rPr>
          <w:rFonts w:hint="default" w:ascii="Arial" w:hAnsi="Arial" w:cs="Arial"/>
          <w:b w:val="0"/>
          <w:bCs/>
          <w:sz w:val="22"/>
          <w:szCs w:val="22"/>
          <w:lang w:val="pt-BR"/>
        </w:rPr>
        <w:t>Manter preposto, formalmente designado por cada secretaria, para fiscalizar o Contrato.</w:t>
      </w:r>
    </w:p>
    <w:p>
      <w:pPr>
        <w:pStyle w:val="86"/>
        <w:widowControl w:val="0"/>
        <w:numPr>
          <w:ilvl w:val="0"/>
          <w:numId w:val="0"/>
        </w:numPr>
        <w:tabs>
          <w:tab w:val="left" w:pos="2268"/>
        </w:tabs>
        <w:spacing w:after="120"/>
        <w:jc w:val="both"/>
        <w:rPr>
          <w:rFonts w:ascii="Arial" w:hAnsi="Arial" w:cs="Arial"/>
          <w:b/>
          <w:sz w:val="22"/>
          <w:szCs w:val="22"/>
          <w:shd w:val="clear" w:color="auto" w:fill="FF00FF"/>
        </w:rPr>
      </w:pPr>
      <w:r>
        <w:rPr>
          <w:rFonts w:hint="default" w:ascii="Arial" w:hAnsi="Arial" w:cs="Arial"/>
          <w:b/>
          <w:sz w:val="22"/>
          <w:szCs w:val="22"/>
          <w:lang w:val="pt-BR"/>
        </w:rPr>
        <w:t xml:space="preserve">20.2 </w:t>
      </w:r>
      <w:r>
        <w:rPr>
          <w:rFonts w:ascii="Arial" w:hAnsi="Arial" w:cs="Arial"/>
          <w:b/>
          <w:sz w:val="22"/>
          <w:szCs w:val="22"/>
        </w:rPr>
        <w:t>DAS OBRIGAÇÕES DA CONTRATADA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.1</w:t>
      </w:r>
      <w:r>
        <w:rPr>
          <w:rFonts w:hint="default" w:ascii="Arial" w:hAnsi="Arial"/>
          <w:b/>
          <w:bCs/>
          <w:color w:val="auto"/>
          <w:sz w:val="22"/>
          <w:szCs w:val="22"/>
          <w:lang w:val="pt-BR"/>
        </w:rPr>
        <w:t>.</w:t>
      </w:r>
      <w:r>
        <w:rPr>
          <w:rFonts w:hint="default" w:ascii="Arial" w:hAnsi="Arial"/>
          <w:color w:val="auto"/>
          <w:sz w:val="22"/>
          <w:szCs w:val="22"/>
        </w:rPr>
        <w:t xml:space="preserve"> Todos os Projetos deverão ser desenvolvidos em conformidade com as DIRETRIZES BÁSICAS PARA ELABORAÇÃO DE ESTUDOS E PROJETOS RODOVIÁRIOS ESCOPOS BÁSICOS/INSTRUÇÕES DE SERVIÇO – DNIT e com este Termo de Referência, prevalecendo, no caso de eventuais divergências, as disposições estabelecidas pelo Contratante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.2</w:t>
      </w:r>
      <w:r>
        <w:rPr>
          <w:rFonts w:hint="default" w:ascii="Arial" w:hAnsi="Arial"/>
          <w:b/>
          <w:bCs/>
          <w:color w:val="auto"/>
          <w:sz w:val="22"/>
          <w:szCs w:val="22"/>
          <w:lang w:val="pt-BR"/>
        </w:rPr>
        <w:t>.</w:t>
      </w:r>
      <w:r>
        <w:rPr>
          <w:rFonts w:hint="default" w:ascii="Arial" w:hAnsi="Arial"/>
          <w:color w:val="auto"/>
          <w:sz w:val="22"/>
          <w:szCs w:val="22"/>
        </w:rPr>
        <w:t xml:space="preserve"> O desenvolvimento de todas as etapas do Projeto é de responsabilidade da Contratada, desde a consulta preliminar à aprovação final</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.3</w:t>
      </w:r>
      <w:r>
        <w:rPr>
          <w:rFonts w:hint="default" w:ascii="Arial" w:hAnsi="Arial"/>
          <w:b/>
          <w:bCs/>
          <w:color w:val="auto"/>
          <w:sz w:val="22"/>
          <w:szCs w:val="22"/>
          <w:lang w:val="pt-BR"/>
        </w:rPr>
        <w:t>.</w:t>
      </w:r>
      <w:r>
        <w:rPr>
          <w:rFonts w:hint="default" w:ascii="Arial" w:hAnsi="Arial"/>
          <w:color w:val="auto"/>
          <w:sz w:val="22"/>
          <w:szCs w:val="22"/>
        </w:rPr>
        <w:t xml:space="preserve"> Os trabalhos deverão ser rigorosamente realizados em obediência às etapas de Projeto estabelecidas no item “Etapas do Projeto”, de modo a evoluírem gradual e continuamente em direção aos objetivos estabelecidos pelo Contratante e reduzirem-se os riscos de perdas e refazimentos dos serviços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.4</w:t>
      </w:r>
      <w:r>
        <w:rPr>
          <w:rFonts w:hint="default" w:ascii="Arial" w:hAnsi="Arial"/>
          <w:b/>
          <w:bCs/>
          <w:color w:val="auto"/>
          <w:sz w:val="22"/>
          <w:szCs w:val="22"/>
          <w:lang w:val="pt-BR"/>
        </w:rPr>
        <w:t>.</w:t>
      </w:r>
      <w:r>
        <w:rPr>
          <w:rFonts w:hint="default" w:ascii="Arial" w:hAnsi="Arial"/>
          <w:color w:val="auto"/>
          <w:sz w:val="22"/>
          <w:szCs w:val="22"/>
        </w:rPr>
        <w:t xml:space="preserve"> A Contratada deverá providenciar junto ao CREA/CAU as Anotações de Responsabilidade Técnica (ART/RRT) referentes a todos os Projetos e atividades técnicas objeto deste Termo de Referência, inclusive da Planilha orçamentária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.5</w:t>
      </w:r>
      <w:r>
        <w:rPr>
          <w:rFonts w:hint="default" w:ascii="Arial" w:hAnsi="Arial"/>
          <w:b/>
          <w:bCs/>
          <w:color w:val="auto"/>
          <w:sz w:val="22"/>
          <w:szCs w:val="22"/>
          <w:lang w:val="pt-BR"/>
        </w:rPr>
        <w:t>.</w:t>
      </w:r>
      <w:r>
        <w:rPr>
          <w:rFonts w:hint="default" w:ascii="Arial" w:hAnsi="Arial"/>
          <w:color w:val="auto"/>
          <w:sz w:val="22"/>
          <w:szCs w:val="22"/>
        </w:rPr>
        <w:t xml:space="preserve"> A Contratada deverá entregar, ao Contratante, uma via das Anotações de Responsabilidade Técnica (ART/RRT) relativas a cada um dos Projetos específicos, devidamente quitadas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.6</w:t>
      </w:r>
      <w:r>
        <w:rPr>
          <w:rFonts w:hint="default" w:ascii="Arial" w:hAnsi="Arial"/>
          <w:b/>
          <w:bCs/>
          <w:color w:val="auto"/>
          <w:sz w:val="22"/>
          <w:szCs w:val="22"/>
          <w:lang w:val="pt-BR"/>
        </w:rPr>
        <w:t>.</w:t>
      </w:r>
      <w:r>
        <w:rPr>
          <w:rFonts w:hint="default" w:ascii="Arial" w:hAnsi="Arial"/>
          <w:color w:val="auto"/>
          <w:sz w:val="22"/>
          <w:szCs w:val="22"/>
        </w:rPr>
        <w:t xml:space="preserve"> A Contratada deverá efetuar o pagamento de todos os impostos, taxas e demais obrigações fiscais incidentes ou que vierem a incidir sobre o objeto do contrato, até o recebimento definitivo dos serviços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.7</w:t>
      </w:r>
      <w:r>
        <w:rPr>
          <w:rFonts w:hint="default" w:ascii="Arial" w:hAnsi="Arial"/>
          <w:b/>
          <w:bCs/>
          <w:color w:val="auto"/>
          <w:sz w:val="22"/>
          <w:szCs w:val="22"/>
          <w:lang w:val="pt-BR"/>
        </w:rPr>
        <w:t>.</w:t>
      </w:r>
      <w:r>
        <w:rPr>
          <w:rFonts w:hint="default" w:ascii="Arial" w:hAnsi="Arial"/>
          <w:color w:val="auto"/>
          <w:sz w:val="22"/>
          <w:szCs w:val="22"/>
        </w:rPr>
        <w:t xml:space="preserve"> A Contratada deverá possuir ou providenciar os equipamentos, os materiais, os insumos, a mão-de-obra, os meios de transporte, e demais itens necessários ao desenvolvimento de todas as etapas do Projeto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8</w:t>
      </w:r>
      <w:r>
        <w:rPr>
          <w:rFonts w:hint="default" w:ascii="Arial" w:hAnsi="Arial"/>
          <w:b/>
          <w:bCs/>
          <w:color w:val="auto"/>
          <w:sz w:val="22"/>
          <w:szCs w:val="22"/>
          <w:lang w:val="pt-BR"/>
        </w:rPr>
        <w:t>.</w:t>
      </w:r>
      <w:r>
        <w:rPr>
          <w:rFonts w:hint="default" w:ascii="Arial" w:hAnsi="Arial"/>
          <w:color w:val="auto"/>
          <w:sz w:val="22"/>
          <w:szCs w:val="22"/>
        </w:rPr>
        <w:t xml:space="preserve"> Toda e qualquer dúvida deverá ser esclarecida previamente com o Contratante antes da execução dos serviços correspondentes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.9</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Os documentos técnicos produzidos em cada etapa de elaboração do Projeto devem ser submetidos à avaliação do Contratante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20</w:t>
      </w:r>
      <w:r>
        <w:rPr>
          <w:rFonts w:hint="default" w:ascii="Arial" w:hAnsi="Arial"/>
          <w:b/>
          <w:bCs/>
          <w:color w:val="auto"/>
          <w:sz w:val="22"/>
          <w:szCs w:val="22"/>
        </w:rPr>
        <w:t>.10</w:t>
      </w:r>
      <w:r>
        <w:rPr>
          <w:rFonts w:hint="default" w:ascii="Arial" w:hAnsi="Arial"/>
          <w:b/>
          <w:bCs/>
          <w:color w:val="auto"/>
          <w:sz w:val="22"/>
          <w:szCs w:val="22"/>
          <w:lang w:val="pt-BR"/>
        </w:rPr>
        <w:t>.</w:t>
      </w:r>
      <w:r>
        <w:rPr>
          <w:rFonts w:hint="default" w:ascii="Arial" w:hAnsi="Arial"/>
          <w:color w:val="auto"/>
          <w:sz w:val="22"/>
          <w:szCs w:val="22"/>
        </w:rPr>
        <w:t xml:space="preserve"> Serão de responsabilidade dos autores dos Projetos a introdução das modificações necessárias à sua aprovação</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20</w:t>
      </w:r>
      <w:r>
        <w:rPr>
          <w:rFonts w:hint="default" w:ascii="Arial" w:hAnsi="Arial"/>
          <w:b/>
          <w:bCs/>
          <w:color w:val="auto"/>
          <w:sz w:val="22"/>
          <w:szCs w:val="22"/>
        </w:rPr>
        <w:t>.11</w:t>
      </w:r>
      <w:r>
        <w:rPr>
          <w:rFonts w:hint="default" w:ascii="Arial" w:hAnsi="Arial"/>
          <w:color w:val="auto"/>
          <w:sz w:val="22"/>
          <w:szCs w:val="22"/>
          <w:lang w:val="pt-BR"/>
        </w:rPr>
        <w:t>.</w:t>
      </w:r>
      <w:r>
        <w:rPr>
          <w:rFonts w:hint="default" w:ascii="Arial" w:hAnsi="Arial"/>
          <w:color w:val="auto"/>
          <w:sz w:val="22"/>
          <w:szCs w:val="22"/>
        </w:rPr>
        <w:t xml:space="preserve"> Os documentos técnicos que forem rejeitados, parciais ou totalmente, devem ser revistos ou alterados apenas pelo seu autor e submetidos à nova avaliação</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.12</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Os trâmites para a aprovação dos Projetos junto aos órgãos oficiais e às concessionárias de serviços serão de responsabilidade da Contratada, através dos autores dos Projetos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.13</w:t>
      </w:r>
      <w:r>
        <w:rPr>
          <w:rFonts w:hint="default" w:ascii="Arial" w:hAnsi="Arial"/>
          <w:b/>
          <w:bCs/>
          <w:color w:val="auto"/>
          <w:sz w:val="22"/>
          <w:szCs w:val="22"/>
          <w:lang w:val="pt-BR"/>
        </w:rPr>
        <w:t>.</w:t>
      </w:r>
      <w:r>
        <w:rPr>
          <w:rFonts w:hint="default" w:ascii="Arial" w:hAnsi="Arial"/>
          <w:color w:val="auto"/>
          <w:sz w:val="22"/>
          <w:szCs w:val="22"/>
        </w:rPr>
        <w:t xml:space="preserve"> As impropriedades apontadas pelo Contratante e pelos órgãos de aprovação, fiscalização e controle serão corrigidas pela Contratada sem custo adicional para o Contratante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.14</w:t>
      </w:r>
      <w:r>
        <w:rPr>
          <w:rFonts w:hint="default" w:ascii="Arial" w:hAnsi="Arial"/>
          <w:b/>
          <w:bCs/>
          <w:color w:val="auto"/>
          <w:sz w:val="22"/>
          <w:szCs w:val="22"/>
          <w:lang w:val="pt-BR"/>
        </w:rPr>
        <w:t>.</w:t>
      </w:r>
      <w:r>
        <w:rPr>
          <w:rFonts w:hint="default" w:ascii="Arial" w:hAnsi="Arial"/>
          <w:color w:val="auto"/>
          <w:sz w:val="22"/>
          <w:szCs w:val="22"/>
        </w:rPr>
        <w:t xml:space="preserve"> A aprovação do Projeto não eximirá os autores dos Projetos das responsabilidades estabelecidas pelas normas, regulamentos e legislação pertinentes às atividades profissionais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20</w:t>
      </w:r>
      <w:r>
        <w:rPr>
          <w:rFonts w:hint="default" w:ascii="Arial" w:hAnsi="Arial"/>
          <w:b/>
          <w:bCs/>
          <w:color w:val="auto"/>
          <w:sz w:val="22"/>
          <w:szCs w:val="22"/>
        </w:rPr>
        <w:t>.15</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A Contratada deverá encaminhar ao Contratante, cópia dos Projetos com os carimbos de aprovação e chancela dos órgãos competentes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20</w:t>
      </w:r>
      <w:r>
        <w:rPr>
          <w:rFonts w:hint="default" w:ascii="Arial" w:hAnsi="Arial"/>
          <w:b/>
          <w:bCs/>
          <w:color w:val="auto"/>
          <w:sz w:val="22"/>
          <w:szCs w:val="22"/>
        </w:rPr>
        <w:t>.16</w:t>
      </w:r>
      <w:r>
        <w:rPr>
          <w:rFonts w:hint="default" w:ascii="Arial" w:hAnsi="Arial"/>
          <w:b/>
          <w:bCs/>
          <w:color w:val="auto"/>
          <w:sz w:val="22"/>
          <w:szCs w:val="22"/>
          <w:lang w:val="pt-BR"/>
        </w:rPr>
        <w:t>.</w:t>
      </w:r>
      <w:r>
        <w:rPr>
          <w:rFonts w:hint="default" w:ascii="Arial" w:hAnsi="Arial"/>
          <w:color w:val="auto"/>
          <w:sz w:val="22"/>
          <w:szCs w:val="22"/>
        </w:rPr>
        <w:t xml:space="preserve"> O Contratante deterá o direito de propriedade intelectual dos Projetos desenvolvidos assim como de toda a documentação produzida na execução do contrato, ficando proibida a sua utilização sem que exista autorização expressa do Contratante</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20</w:t>
      </w:r>
      <w:r>
        <w:rPr>
          <w:rFonts w:hint="default" w:ascii="Arial" w:hAnsi="Arial"/>
          <w:b/>
          <w:bCs/>
          <w:color w:val="auto"/>
          <w:sz w:val="22"/>
          <w:szCs w:val="22"/>
        </w:rPr>
        <w:t>.17</w:t>
      </w:r>
      <w:r>
        <w:rPr>
          <w:rFonts w:hint="default" w:ascii="Arial" w:hAnsi="Arial"/>
          <w:b/>
          <w:bCs/>
          <w:color w:val="auto"/>
          <w:sz w:val="22"/>
          <w:szCs w:val="22"/>
          <w:lang w:val="pt-BR"/>
        </w:rPr>
        <w:t>.</w:t>
      </w:r>
      <w:r>
        <w:rPr>
          <w:rFonts w:hint="default" w:ascii="Arial" w:hAnsi="Arial"/>
          <w:color w:val="auto"/>
          <w:sz w:val="22"/>
          <w:szCs w:val="22"/>
        </w:rPr>
        <w:t xml:space="preserve"> Visando atender eventual necessidade da contratante, em decorrência de caso fortuito, força maior, licitação fracassada ou deserta, na qual se faça a necessária a atualização da planilha de composição de custos, a contratada ficará responsável a realizá-la por um período de até 24 meses a partir da entrega do projeto. </w:t>
      </w:r>
    </w:p>
    <w:p>
      <w:pPr>
        <w:pStyle w:val="145"/>
        <w:keepNext w:val="0"/>
        <w:keepLines w:val="0"/>
        <w:pageBreakBefore w:val="0"/>
        <w:widowControl/>
        <w:kinsoku/>
        <w:wordWrap/>
        <w:overflowPunct/>
        <w:topLinePunct w:val="0"/>
        <w:autoSpaceDE/>
        <w:autoSpaceDN/>
        <w:bidi w:val="0"/>
        <w:adjustRightInd/>
        <w:snapToGrid/>
        <w:spacing w:before="0"/>
        <w:textAlignment w:val="auto"/>
      </w:pPr>
      <w:r>
        <w:t>DAS HIPÓTESES DE RESCISÃO CONTRATUAL</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ascii="Arial" w:hAnsi="Arial" w:cs="Arial"/>
          <w:color w:val="000000"/>
          <w:sz w:val="22"/>
          <w:szCs w:val="22"/>
        </w:rPr>
      </w:pPr>
      <w:r>
        <w:rPr>
          <w:rFonts w:ascii="Arial" w:hAnsi="Arial" w:cs="Arial"/>
          <w:b/>
          <w:color w:val="000000"/>
          <w:sz w:val="22"/>
          <w:szCs w:val="22"/>
        </w:rPr>
        <w:t>21.1.</w:t>
      </w:r>
      <w:r>
        <w:rPr>
          <w:rFonts w:ascii="Arial" w:hAnsi="Arial" w:cs="Arial"/>
          <w:color w:val="000000"/>
          <w:sz w:val="22"/>
          <w:szCs w:val="22"/>
        </w:rPr>
        <w:t xml:space="preserve"> As hipóteses de rescisão do ajuste, bem como a disciplina aplicável em tais casos, são aquelas previstas no instrumento de Contrato, nos termos dos artigos 78 a 80 da Lei n</w:t>
      </w:r>
      <w:r>
        <w:rPr>
          <w:rFonts w:hint="default" w:ascii="Arial" w:hAnsi="Arial" w:cs="Arial"/>
          <w:color w:val="000000"/>
          <w:sz w:val="22"/>
          <w:szCs w:val="22"/>
          <w:lang w:val="pt-BR"/>
        </w:rPr>
        <w:t>º</w:t>
      </w:r>
      <w:r>
        <w:rPr>
          <w:rFonts w:ascii="Arial" w:hAnsi="Arial" w:cs="Arial"/>
          <w:color w:val="000000"/>
          <w:sz w:val="22"/>
          <w:szCs w:val="22"/>
        </w:rPr>
        <w:t>. 8.666, de 1993;</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b/>
          <w:bCs/>
          <w:color w:val="000000"/>
          <w:sz w:val="22"/>
          <w:szCs w:val="22"/>
          <w:lang w:val="pt-BR"/>
        </w:rPr>
        <w:t>21.2</w:t>
      </w:r>
      <w:r>
        <w:rPr>
          <w:rFonts w:hint="default" w:ascii="Arial" w:hAnsi="Arial" w:cs="Arial"/>
          <w:color w:val="000000"/>
          <w:sz w:val="22"/>
          <w:szCs w:val="22"/>
          <w:lang w:val="pt-BR"/>
        </w:rPr>
        <w:t xml:space="preserve">. </w:t>
      </w:r>
      <w:r>
        <w:rPr>
          <w:rFonts w:hint="default" w:ascii="Arial" w:hAnsi="Arial" w:cs="Arial"/>
          <w:color w:val="000000"/>
          <w:sz w:val="22"/>
          <w:szCs w:val="22"/>
        </w:rPr>
        <w:t>Constituem motivo para rescisão do contrato: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I - o não cumprimento de cláusulas contratuais, especificações, projetos ou prazos;</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II - o cumprimento irregular de cláusulas contratuais, especificações, projetos e prazos;</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III - a lentidão do seu cumprimento, levando a Administração a comprovar a </w:t>
      </w:r>
      <w:r>
        <w:rPr>
          <w:rFonts w:hint="default" w:ascii="Arial" w:hAnsi="Arial" w:cs="Arial"/>
          <w:color w:val="000000"/>
          <w:sz w:val="22"/>
          <w:szCs w:val="22"/>
          <w:lang w:val="pt-BR"/>
        </w:rPr>
        <w:tab/>
      </w:r>
      <w:r>
        <w:rPr>
          <w:rFonts w:hint="default" w:ascii="Arial" w:hAnsi="Arial" w:cs="Arial"/>
          <w:color w:val="000000"/>
          <w:sz w:val="22"/>
          <w:szCs w:val="22"/>
        </w:rPr>
        <w:t>impossibilidade da conclusão d</w:t>
      </w:r>
      <w:r>
        <w:rPr>
          <w:rFonts w:hint="default" w:ascii="Arial" w:hAnsi="Arial" w:cs="Arial"/>
          <w:color w:val="000000"/>
          <w:sz w:val="22"/>
          <w:szCs w:val="22"/>
          <w:lang w:val="pt-BR"/>
        </w:rPr>
        <w:t>o projeto</w:t>
      </w:r>
      <w:r>
        <w:rPr>
          <w:rFonts w:hint="default" w:ascii="Arial" w:hAnsi="Arial" w:cs="Arial"/>
          <w:color w:val="000000"/>
          <w:sz w:val="22"/>
          <w:szCs w:val="22"/>
        </w:rPr>
        <w:t xml:space="preserve">, do serviço ou do fornecimento, nos prazos </w:t>
      </w:r>
      <w:r>
        <w:rPr>
          <w:rFonts w:hint="default" w:ascii="Arial" w:hAnsi="Arial" w:cs="Arial"/>
          <w:color w:val="000000"/>
          <w:sz w:val="22"/>
          <w:szCs w:val="22"/>
          <w:lang w:val="pt-BR"/>
        </w:rPr>
        <w:tab/>
      </w:r>
      <w:r>
        <w:rPr>
          <w:rFonts w:hint="default" w:ascii="Arial" w:hAnsi="Arial" w:cs="Arial"/>
          <w:color w:val="000000"/>
          <w:sz w:val="22"/>
          <w:szCs w:val="22"/>
        </w:rPr>
        <w:t>estipulados;</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IV - o atraso injustificado no início d</w:t>
      </w:r>
      <w:r>
        <w:rPr>
          <w:rFonts w:hint="default" w:ascii="Arial" w:hAnsi="Arial" w:cs="Arial"/>
          <w:color w:val="000000"/>
          <w:sz w:val="22"/>
          <w:szCs w:val="22"/>
          <w:lang w:val="pt-BR"/>
        </w:rPr>
        <w:t>o projeto</w:t>
      </w:r>
      <w:r>
        <w:rPr>
          <w:rFonts w:hint="default" w:ascii="Arial" w:hAnsi="Arial" w:cs="Arial"/>
          <w:color w:val="000000"/>
          <w:sz w:val="22"/>
          <w:szCs w:val="22"/>
        </w:rPr>
        <w:t>, serviço ou fornecimento;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V - a paralisação d</w:t>
      </w:r>
      <w:r>
        <w:rPr>
          <w:rFonts w:hint="default" w:ascii="Arial" w:hAnsi="Arial" w:cs="Arial"/>
          <w:color w:val="000000"/>
          <w:sz w:val="22"/>
          <w:szCs w:val="22"/>
          <w:lang w:val="pt-BR"/>
        </w:rPr>
        <w:t>o projeto</w:t>
      </w:r>
      <w:r>
        <w:rPr>
          <w:rFonts w:hint="default" w:ascii="Arial" w:hAnsi="Arial" w:cs="Arial"/>
          <w:color w:val="000000"/>
          <w:sz w:val="22"/>
          <w:szCs w:val="22"/>
        </w:rPr>
        <w:t xml:space="preserve">, do serviço ou do fornecimento, sem justa causa e prévia </w:t>
      </w:r>
      <w:r>
        <w:rPr>
          <w:rFonts w:hint="default" w:ascii="Arial" w:hAnsi="Arial" w:cs="Arial"/>
          <w:color w:val="000000"/>
          <w:sz w:val="22"/>
          <w:szCs w:val="22"/>
          <w:lang w:val="pt-BR"/>
        </w:rPr>
        <w:tab/>
      </w:r>
      <w:r>
        <w:rPr>
          <w:rFonts w:hint="default" w:ascii="Arial" w:hAnsi="Arial" w:cs="Arial"/>
          <w:color w:val="000000"/>
          <w:sz w:val="22"/>
          <w:szCs w:val="22"/>
        </w:rPr>
        <w:t>comunicação à Administração;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VI - a subcontratação total ou parcial do seu objeto, a associação do contratado com </w:t>
      </w:r>
      <w:r>
        <w:rPr>
          <w:rFonts w:hint="default" w:ascii="Arial" w:hAnsi="Arial" w:cs="Arial"/>
          <w:color w:val="000000"/>
          <w:sz w:val="22"/>
          <w:szCs w:val="22"/>
          <w:lang w:val="pt-BR"/>
        </w:rPr>
        <w:tab/>
      </w:r>
      <w:r>
        <w:rPr>
          <w:rFonts w:hint="default" w:ascii="Arial" w:hAnsi="Arial" w:cs="Arial"/>
          <w:color w:val="000000"/>
          <w:sz w:val="22"/>
          <w:szCs w:val="22"/>
        </w:rPr>
        <w:t xml:space="preserve">outrem, a cessão ou transferência, total ou parcial, bem como a fusão, cisão ou </w:t>
      </w:r>
      <w:r>
        <w:rPr>
          <w:rFonts w:hint="default" w:ascii="Arial" w:hAnsi="Arial" w:cs="Arial"/>
          <w:color w:val="000000"/>
          <w:sz w:val="22"/>
          <w:szCs w:val="22"/>
          <w:lang w:val="pt-BR"/>
        </w:rPr>
        <w:tab/>
      </w:r>
      <w:r>
        <w:rPr>
          <w:rFonts w:hint="default" w:ascii="Arial" w:hAnsi="Arial" w:cs="Arial"/>
          <w:color w:val="000000"/>
          <w:sz w:val="22"/>
          <w:szCs w:val="22"/>
        </w:rPr>
        <w:t>incorporação, não admitidas no edital e no contrato;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VII - o desatendimento das determinações regulares da autoridade designada para </w:t>
      </w:r>
      <w:r>
        <w:rPr>
          <w:rFonts w:hint="default" w:ascii="Arial" w:hAnsi="Arial" w:cs="Arial"/>
          <w:color w:val="000000"/>
          <w:sz w:val="22"/>
          <w:szCs w:val="22"/>
          <w:lang w:val="pt-BR"/>
        </w:rPr>
        <w:tab/>
      </w:r>
      <w:r>
        <w:rPr>
          <w:rFonts w:hint="default" w:ascii="Arial" w:hAnsi="Arial" w:cs="Arial"/>
          <w:color w:val="000000"/>
          <w:sz w:val="22"/>
          <w:szCs w:val="22"/>
        </w:rPr>
        <w:t>acompanhar e fiscalizar a sua execução, assim como as de seus superiores;</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VIII - o cometimento reiterado de faltas na sua execução, anotadas na forma do § 1o do </w:t>
      </w:r>
      <w:r>
        <w:rPr>
          <w:rFonts w:hint="default" w:ascii="Arial" w:hAnsi="Arial" w:cs="Arial"/>
          <w:color w:val="000000"/>
          <w:sz w:val="22"/>
          <w:szCs w:val="22"/>
          <w:lang w:val="pt-BR"/>
        </w:rPr>
        <w:tab/>
      </w:r>
      <w:r>
        <w:rPr>
          <w:rFonts w:hint="default" w:ascii="Arial" w:hAnsi="Arial" w:cs="Arial"/>
          <w:color w:val="000000"/>
          <w:sz w:val="22"/>
          <w:szCs w:val="22"/>
        </w:rPr>
        <w:t>art. 67 da Lei</w:t>
      </w:r>
      <w:r>
        <w:rPr>
          <w:rFonts w:hint="default" w:ascii="Arial" w:hAnsi="Arial" w:cs="Arial"/>
          <w:color w:val="000000"/>
          <w:sz w:val="22"/>
          <w:szCs w:val="22"/>
          <w:lang w:val="pt-BR"/>
        </w:rPr>
        <w:t xml:space="preserve"> 8.666/93</w:t>
      </w:r>
      <w:r>
        <w:rPr>
          <w:rFonts w:hint="default" w:ascii="Arial" w:hAnsi="Arial" w:cs="Arial"/>
          <w:color w:val="000000"/>
          <w:sz w:val="22"/>
          <w:szCs w:val="22"/>
        </w:rPr>
        <w:t>;</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IX - a decretação de falência ou a instauração de insolvência civil;</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X - a dissolução da sociedade ou o falecimento do contratado;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XI - a alteração social ou a modificação da finalidade ou da estrutura da empresa, que </w:t>
      </w:r>
      <w:r>
        <w:rPr>
          <w:rFonts w:hint="default" w:ascii="Arial" w:hAnsi="Arial" w:cs="Arial"/>
          <w:color w:val="000000"/>
          <w:sz w:val="22"/>
          <w:szCs w:val="22"/>
          <w:lang w:val="pt-BR"/>
        </w:rPr>
        <w:tab/>
      </w:r>
      <w:r>
        <w:rPr>
          <w:rFonts w:hint="default" w:ascii="Arial" w:hAnsi="Arial" w:cs="Arial"/>
          <w:color w:val="000000"/>
          <w:sz w:val="22"/>
          <w:szCs w:val="22"/>
        </w:rPr>
        <w:t>prejudique a execução do contrato;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XII - razões de interesse público, de alta relevância e amplo conhecimento, justificadas e </w:t>
      </w:r>
      <w:r>
        <w:rPr>
          <w:rFonts w:hint="default" w:ascii="Arial" w:hAnsi="Arial" w:cs="Arial"/>
          <w:color w:val="000000"/>
          <w:sz w:val="22"/>
          <w:szCs w:val="22"/>
          <w:lang w:val="pt-BR"/>
        </w:rPr>
        <w:tab/>
      </w:r>
      <w:r>
        <w:rPr>
          <w:rFonts w:hint="default" w:ascii="Arial" w:hAnsi="Arial" w:cs="Arial"/>
          <w:color w:val="000000"/>
          <w:sz w:val="22"/>
          <w:szCs w:val="22"/>
        </w:rPr>
        <w:t xml:space="preserve">determinadas pela máxima autoridade da esfera administrativa a que está subordinado o </w:t>
      </w:r>
      <w:r>
        <w:rPr>
          <w:rFonts w:hint="default" w:ascii="Arial" w:hAnsi="Arial" w:cs="Arial"/>
          <w:color w:val="000000"/>
          <w:sz w:val="22"/>
          <w:szCs w:val="22"/>
          <w:lang w:val="pt-BR"/>
        </w:rPr>
        <w:tab/>
      </w:r>
      <w:r>
        <w:rPr>
          <w:rFonts w:hint="default" w:ascii="Arial" w:hAnsi="Arial" w:cs="Arial"/>
          <w:color w:val="000000"/>
          <w:sz w:val="22"/>
          <w:szCs w:val="22"/>
        </w:rPr>
        <w:t>contratante e exaradas no processo administrativo a que se refere o contrato;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XIII - a supressão, por parte da Administração, de obras, serviços ou compras, </w:t>
      </w:r>
      <w:r>
        <w:rPr>
          <w:rFonts w:hint="default" w:ascii="Arial" w:hAnsi="Arial" w:cs="Arial"/>
          <w:color w:val="000000"/>
          <w:sz w:val="22"/>
          <w:szCs w:val="22"/>
          <w:lang w:val="pt-BR"/>
        </w:rPr>
        <w:tab/>
      </w:r>
      <w:r>
        <w:rPr>
          <w:rFonts w:hint="default" w:ascii="Arial" w:hAnsi="Arial" w:cs="Arial"/>
          <w:color w:val="000000"/>
          <w:sz w:val="22"/>
          <w:szCs w:val="22"/>
        </w:rPr>
        <w:t xml:space="preserve">acarretando modificação do valor inicial do contrato além do limite permitido no § 1o do art. </w:t>
      </w:r>
      <w:r>
        <w:rPr>
          <w:rFonts w:hint="default" w:ascii="Arial" w:hAnsi="Arial" w:cs="Arial"/>
          <w:color w:val="000000"/>
          <w:sz w:val="22"/>
          <w:szCs w:val="22"/>
          <w:lang w:val="pt-BR"/>
        </w:rPr>
        <w:tab/>
      </w:r>
      <w:r>
        <w:rPr>
          <w:rFonts w:hint="default" w:ascii="Arial" w:hAnsi="Arial" w:cs="Arial"/>
          <w:color w:val="000000"/>
          <w:sz w:val="22"/>
          <w:szCs w:val="22"/>
        </w:rPr>
        <w:t xml:space="preserve">65 desta </w:t>
      </w:r>
      <w:r>
        <w:rPr>
          <w:rFonts w:ascii="Arial" w:hAnsi="Arial" w:cs="Arial"/>
          <w:color w:val="000000"/>
          <w:sz w:val="22"/>
          <w:szCs w:val="22"/>
        </w:rPr>
        <w:t>Lei n</w:t>
      </w:r>
      <w:r>
        <w:rPr>
          <w:rFonts w:hint="default" w:ascii="Arial" w:hAnsi="Arial" w:cs="Arial"/>
          <w:color w:val="000000"/>
          <w:sz w:val="22"/>
          <w:szCs w:val="22"/>
          <w:lang w:val="pt-BR"/>
        </w:rPr>
        <w:t>º</w:t>
      </w:r>
      <w:r>
        <w:rPr>
          <w:rFonts w:ascii="Arial" w:hAnsi="Arial" w:cs="Arial"/>
          <w:color w:val="000000"/>
          <w:sz w:val="22"/>
          <w:szCs w:val="22"/>
        </w:rPr>
        <w:t>. 8.666, de 1993</w:t>
      </w:r>
      <w:r>
        <w:rPr>
          <w:rFonts w:hint="default" w:ascii="Arial" w:hAnsi="Arial" w:cs="Arial"/>
          <w:color w:val="000000"/>
          <w:sz w:val="22"/>
          <w:szCs w:val="22"/>
        </w:rPr>
        <w:t>;</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XIV - a suspensão de sua execução, por ordem escrita da Administração, por prazo </w:t>
      </w:r>
      <w:r>
        <w:rPr>
          <w:rFonts w:hint="default" w:ascii="Arial" w:hAnsi="Arial" w:cs="Arial"/>
          <w:color w:val="000000"/>
          <w:sz w:val="22"/>
          <w:szCs w:val="22"/>
          <w:lang w:val="pt-BR"/>
        </w:rPr>
        <w:tab/>
      </w:r>
      <w:r>
        <w:rPr>
          <w:rFonts w:hint="default" w:ascii="Arial" w:hAnsi="Arial" w:cs="Arial"/>
          <w:color w:val="000000"/>
          <w:sz w:val="22"/>
          <w:szCs w:val="22"/>
        </w:rPr>
        <w:t xml:space="preserve">superior a 120 (cento e vinte) dias, salvo em caso de calamidade pública, grave </w:t>
      </w:r>
      <w:r>
        <w:rPr>
          <w:rFonts w:hint="default" w:ascii="Arial" w:hAnsi="Arial" w:cs="Arial"/>
          <w:color w:val="000000"/>
          <w:sz w:val="22"/>
          <w:szCs w:val="22"/>
          <w:lang w:val="pt-BR"/>
        </w:rPr>
        <w:tab/>
      </w:r>
      <w:r>
        <w:rPr>
          <w:rFonts w:hint="default" w:ascii="Arial" w:hAnsi="Arial" w:cs="Arial"/>
          <w:color w:val="000000"/>
          <w:sz w:val="22"/>
          <w:szCs w:val="22"/>
        </w:rPr>
        <w:t xml:space="preserve">perturbação da ordem interna ou guerra, ou ainda por repetidas suspensões que totalizem </w:t>
      </w:r>
      <w:r>
        <w:rPr>
          <w:rFonts w:hint="default" w:ascii="Arial" w:hAnsi="Arial" w:cs="Arial"/>
          <w:color w:val="000000"/>
          <w:sz w:val="22"/>
          <w:szCs w:val="22"/>
          <w:lang w:val="pt-BR"/>
        </w:rPr>
        <w:tab/>
      </w:r>
      <w:r>
        <w:rPr>
          <w:rFonts w:hint="default" w:ascii="Arial" w:hAnsi="Arial" w:cs="Arial"/>
          <w:color w:val="000000"/>
          <w:sz w:val="22"/>
          <w:szCs w:val="22"/>
        </w:rPr>
        <w:t xml:space="preserve">o mesmo prazo, independentemente do pagamento obrigatório de indenizações pelas </w:t>
      </w:r>
      <w:r>
        <w:rPr>
          <w:rFonts w:hint="default" w:ascii="Arial" w:hAnsi="Arial" w:cs="Arial"/>
          <w:color w:val="000000"/>
          <w:sz w:val="22"/>
          <w:szCs w:val="22"/>
          <w:lang w:val="pt-BR"/>
        </w:rPr>
        <w:tab/>
      </w:r>
      <w:r>
        <w:rPr>
          <w:rFonts w:hint="default" w:ascii="Arial" w:hAnsi="Arial" w:cs="Arial"/>
          <w:color w:val="000000"/>
          <w:sz w:val="22"/>
          <w:szCs w:val="22"/>
        </w:rPr>
        <w:t xml:space="preserve">sucessivas e contratualmente imprevistas desmobilizações e mobilizações e outras </w:t>
      </w:r>
      <w:r>
        <w:rPr>
          <w:rFonts w:hint="default" w:ascii="Arial" w:hAnsi="Arial" w:cs="Arial"/>
          <w:color w:val="000000"/>
          <w:sz w:val="22"/>
          <w:szCs w:val="22"/>
          <w:lang w:val="pt-BR"/>
        </w:rPr>
        <w:tab/>
      </w:r>
      <w:r>
        <w:rPr>
          <w:rFonts w:hint="default" w:ascii="Arial" w:hAnsi="Arial" w:cs="Arial"/>
          <w:color w:val="000000"/>
          <w:sz w:val="22"/>
          <w:szCs w:val="22"/>
        </w:rPr>
        <w:t xml:space="preserve">previstas, assegurado ao contratado, nesses casos, o direito de optar pela suspensão do </w:t>
      </w:r>
      <w:r>
        <w:rPr>
          <w:rFonts w:hint="default" w:ascii="Arial" w:hAnsi="Arial" w:cs="Arial"/>
          <w:color w:val="000000"/>
          <w:sz w:val="22"/>
          <w:szCs w:val="22"/>
          <w:lang w:val="pt-BR"/>
        </w:rPr>
        <w:tab/>
      </w:r>
      <w:r>
        <w:rPr>
          <w:rFonts w:hint="default" w:ascii="Arial" w:hAnsi="Arial" w:cs="Arial"/>
          <w:color w:val="000000"/>
          <w:sz w:val="22"/>
          <w:szCs w:val="22"/>
        </w:rPr>
        <w:t>cumprimento das obrigações assumidas até que seja normalizada a situação;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XV - o atraso superior a 90 (noventa) dias dos pagamentos devidos pela Administração </w:t>
      </w:r>
      <w:r>
        <w:rPr>
          <w:rFonts w:hint="default" w:ascii="Arial" w:hAnsi="Arial" w:cs="Arial"/>
          <w:color w:val="000000"/>
          <w:sz w:val="22"/>
          <w:szCs w:val="22"/>
          <w:lang w:val="pt-BR"/>
        </w:rPr>
        <w:tab/>
      </w:r>
      <w:r>
        <w:rPr>
          <w:rFonts w:hint="default" w:ascii="Arial" w:hAnsi="Arial" w:cs="Arial"/>
          <w:color w:val="000000"/>
          <w:sz w:val="22"/>
          <w:szCs w:val="22"/>
        </w:rPr>
        <w:t xml:space="preserve">decorrentes de obras, serviços ou fornecimento, ou parcelas destes, já recebidos ou </w:t>
      </w:r>
      <w:r>
        <w:rPr>
          <w:rFonts w:hint="default" w:ascii="Arial" w:hAnsi="Arial" w:cs="Arial"/>
          <w:color w:val="000000"/>
          <w:sz w:val="22"/>
          <w:szCs w:val="22"/>
          <w:lang w:val="pt-BR"/>
        </w:rPr>
        <w:tab/>
      </w:r>
      <w:r>
        <w:rPr>
          <w:rFonts w:hint="default" w:ascii="Arial" w:hAnsi="Arial" w:cs="Arial"/>
          <w:color w:val="000000"/>
          <w:sz w:val="22"/>
          <w:szCs w:val="22"/>
        </w:rPr>
        <w:t xml:space="preserve">executados, salvo em caso de calamidade pública, grave perturbação da ordem interna </w:t>
      </w:r>
      <w:r>
        <w:rPr>
          <w:rFonts w:hint="default" w:ascii="Arial" w:hAnsi="Arial" w:cs="Arial"/>
          <w:color w:val="000000"/>
          <w:sz w:val="22"/>
          <w:szCs w:val="22"/>
          <w:lang w:val="pt-BR"/>
        </w:rPr>
        <w:tab/>
      </w:r>
      <w:r>
        <w:rPr>
          <w:rFonts w:hint="default" w:ascii="Arial" w:hAnsi="Arial" w:cs="Arial"/>
          <w:color w:val="000000"/>
          <w:sz w:val="22"/>
          <w:szCs w:val="22"/>
        </w:rPr>
        <w:t xml:space="preserve">ou guerra, assegurado ao contratado o direito de optar pela suspensão do cumprimento </w:t>
      </w:r>
      <w:r>
        <w:rPr>
          <w:rFonts w:hint="default" w:ascii="Arial" w:hAnsi="Arial" w:cs="Arial"/>
          <w:color w:val="000000"/>
          <w:sz w:val="22"/>
          <w:szCs w:val="22"/>
          <w:lang w:val="pt-BR"/>
        </w:rPr>
        <w:tab/>
      </w:r>
      <w:r>
        <w:rPr>
          <w:rFonts w:hint="default" w:ascii="Arial" w:hAnsi="Arial" w:cs="Arial"/>
          <w:color w:val="000000"/>
          <w:sz w:val="22"/>
          <w:szCs w:val="22"/>
        </w:rPr>
        <w:t>de suas obrigações até que seja normalizada a situação;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XVI - a não liberação, por parte da Administração, de área, local ou objeto para execução </w:t>
      </w:r>
      <w:r>
        <w:rPr>
          <w:rFonts w:hint="default" w:ascii="Arial" w:hAnsi="Arial" w:cs="Arial"/>
          <w:color w:val="000000"/>
          <w:sz w:val="22"/>
          <w:szCs w:val="22"/>
          <w:lang w:val="pt-BR"/>
        </w:rPr>
        <w:tab/>
      </w:r>
      <w:r>
        <w:rPr>
          <w:rFonts w:hint="default" w:ascii="Arial" w:hAnsi="Arial" w:cs="Arial"/>
          <w:color w:val="000000"/>
          <w:sz w:val="22"/>
          <w:szCs w:val="22"/>
        </w:rPr>
        <w:t xml:space="preserve">de obra, serviço ou fornecimento, nos prazos contratuais, bem como das fontes de </w:t>
      </w:r>
      <w:r>
        <w:rPr>
          <w:rFonts w:hint="default" w:ascii="Arial" w:hAnsi="Arial" w:cs="Arial"/>
          <w:color w:val="000000"/>
          <w:sz w:val="22"/>
          <w:szCs w:val="22"/>
          <w:lang w:val="pt-BR"/>
        </w:rPr>
        <w:tab/>
      </w:r>
      <w:r>
        <w:rPr>
          <w:rFonts w:hint="default" w:ascii="Arial" w:hAnsi="Arial" w:cs="Arial"/>
          <w:color w:val="000000"/>
          <w:sz w:val="22"/>
          <w:szCs w:val="22"/>
        </w:rPr>
        <w:t>materiais naturais especificadas no projeto;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 xml:space="preserve">XVII - a ocorrência de caso fortuito ou de força maior, regularmente comprovada, </w:t>
      </w:r>
      <w:r>
        <w:rPr>
          <w:rFonts w:hint="default" w:ascii="Arial" w:hAnsi="Arial" w:cs="Arial"/>
          <w:color w:val="000000"/>
          <w:sz w:val="22"/>
          <w:szCs w:val="22"/>
          <w:lang w:val="pt-BR"/>
        </w:rPr>
        <w:tab/>
      </w:r>
      <w:r>
        <w:rPr>
          <w:rFonts w:hint="default" w:ascii="Arial" w:hAnsi="Arial" w:cs="Arial"/>
          <w:color w:val="000000"/>
          <w:sz w:val="22"/>
          <w:szCs w:val="22"/>
        </w:rPr>
        <w:t>impeditiva da execução do contrato.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line="240" w:lineRule="auto"/>
        <w:jc w:val="both"/>
        <w:textAlignment w:val="auto"/>
        <w:rPr>
          <w:rFonts w:hint="default" w:ascii="Arial" w:hAnsi="Arial" w:cs="Arial"/>
          <w:color w:val="000000"/>
          <w:sz w:val="22"/>
          <w:szCs w:val="22"/>
        </w:rPr>
      </w:pPr>
      <w:r>
        <w:rPr>
          <w:rFonts w:hint="default" w:ascii="Arial" w:hAnsi="Arial" w:cs="Arial"/>
          <w:color w:val="000000"/>
          <w:sz w:val="22"/>
          <w:szCs w:val="22"/>
          <w:lang w:val="pt-BR"/>
        </w:rPr>
        <w:tab/>
      </w:r>
      <w:r>
        <w:rPr>
          <w:rFonts w:hint="default" w:ascii="Arial" w:hAnsi="Arial" w:cs="Arial"/>
          <w:color w:val="000000"/>
          <w:sz w:val="22"/>
          <w:szCs w:val="22"/>
        </w:rPr>
        <w:t>XVIII – descumprimento do disposto no inciso V do art. 27</w:t>
      </w:r>
      <w:r>
        <w:rPr>
          <w:rFonts w:hint="default" w:ascii="Arial" w:hAnsi="Arial" w:cs="Arial"/>
          <w:color w:val="000000"/>
          <w:sz w:val="22"/>
          <w:szCs w:val="22"/>
          <w:lang w:val="pt-BR"/>
        </w:rPr>
        <w:t xml:space="preserve"> </w:t>
      </w:r>
      <w:r>
        <w:rPr>
          <w:rFonts w:ascii="Arial" w:hAnsi="Arial" w:cs="Arial"/>
          <w:color w:val="000000"/>
          <w:sz w:val="22"/>
          <w:szCs w:val="22"/>
        </w:rPr>
        <w:t>Lei n</w:t>
      </w:r>
      <w:r>
        <w:rPr>
          <w:rFonts w:hint="default" w:ascii="Arial" w:hAnsi="Arial" w:cs="Arial"/>
          <w:color w:val="000000"/>
          <w:sz w:val="22"/>
          <w:szCs w:val="22"/>
          <w:lang w:val="pt-BR"/>
        </w:rPr>
        <w:t>º</w:t>
      </w:r>
      <w:r>
        <w:rPr>
          <w:rFonts w:ascii="Arial" w:hAnsi="Arial" w:cs="Arial"/>
          <w:color w:val="000000"/>
          <w:sz w:val="22"/>
          <w:szCs w:val="22"/>
        </w:rPr>
        <w:t>. 8.666, de 1993</w:t>
      </w:r>
      <w:r>
        <w:rPr>
          <w:rFonts w:hint="default" w:ascii="Arial" w:hAnsi="Arial" w:cs="Arial"/>
          <w:color w:val="000000"/>
          <w:sz w:val="22"/>
          <w:szCs w:val="22"/>
        </w:rPr>
        <w:t xml:space="preserve">, sem prejuízo das sanções </w:t>
      </w:r>
      <w:r>
        <w:rPr>
          <w:rFonts w:hint="default" w:ascii="Arial" w:hAnsi="Arial" w:cs="Arial"/>
          <w:color w:val="000000"/>
          <w:sz w:val="22"/>
          <w:szCs w:val="22"/>
          <w:lang w:val="pt-BR"/>
        </w:rPr>
        <w:tab/>
      </w:r>
      <w:r>
        <w:rPr>
          <w:rFonts w:hint="default" w:ascii="Arial" w:hAnsi="Arial" w:cs="Arial"/>
          <w:color w:val="000000"/>
          <w:sz w:val="22"/>
          <w:szCs w:val="22"/>
        </w:rPr>
        <w:t>penais cabíveis. </w:t>
      </w:r>
    </w:p>
    <w:p>
      <w:pPr>
        <w:keepNext w:val="0"/>
        <w:keepLines w:val="0"/>
        <w:pageBreakBefore w:val="0"/>
        <w:widowControl w:val="0"/>
        <w:tabs>
          <w:tab w:val="left" w:pos="709"/>
        </w:tabs>
        <w:kinsoku/>
        <w:wordWrap/>
        <w:overflowPunct/>
        <w:topLinePunct w:val="0"/>
        <w:autoSpaceDE/>
        <w:autoSpaceDN/>
        <w:bidi w:val="0"/>
        <w:adjustRightInd/>
        <w:snapToGrid/>
        <w:spacing w:beforeAutospacing="0" w:after="120" w:afterAutospacing="0" w:line="240" w:lineRule="auto"/>
        <w:jc w:val="both"/>
        <w:textAlignment w:val="auto"/>
        <w:rPr>
          <w:rFonts w:ascii="Arial" w:hAnsi="Arial" w:cs="Arial"/>
          <w:color w:val="000000"/>
          <w:sz w:val="22"/>
          <w:szCs w:val="22"/>
        </w:rPr>
      </w:pPr>
      <w:r>
        <w:rPr>
          <w:rFonts w:ascii="Arial" w:hAnsi="Arial" w:cs="Arial"/>
          <w:b/>
          <w:color w:val="000000"/>
          <w:sz w:val="22"/>
          <w:szCs w:val="22"/>
        </w:rPr>
        <w:t>21.2.</w:t>
      </w:r>
      <w:r>
        <w:rPr>
          <w:rFonts w:ascii="Arial" w:hAnsi="Arial" w:cs="Arial"/>
          <w:color w:val="000000"/>
          <w:sz w:val="22"/>
          <w:szCs w:val="22"/>
        </w:rPr>
        <w:t xml:space="preserve"> O termo de rescisão deverá indicar, conforme o caso:</w:t>
      </w:r>
    </w:p>
    <w:p>
      <w:pPr>
        <w:keepNext w:val="0"/>
        <w:keepLines w:val="0"/>
        <w:pageBreakBefore w:val="0"/>
        <w:widowControl w:val="0"/>
        <w:tabs>
          <w:tab w:val="left" w:pos="709"/>
          <w:tab w:val="left" w:pos="1276"/>
        </w:tabs>
        <w:kinsoku/>
        <w:wordWrap/>
        <w:overflowPunct/>
        <w:topLinePunct w:val="0"/>
        <w:autoSpaceDE/>
        <w:autoSpaceDN/>
        <w:bidi w:val="0"/>
        <w:adjustRightInd/>
        <w:snapToGrid/>
        <w:spacing w:beforeAutospacing="0" w:after="120" w:afterAutospacing="0" w:line="240" w:lineRule="auto"/>
        <w:ind w:left="567"/>
        <w:jc w:val="both"/>
        <w:textAlignment w:val="auto"/>
        <w:rPr>
          <w:rFonts w:ascii="Arial" w:hAnsi="Arial" w:cs="Arial"/>
          <w:color w:val="000000"/>
          <w:sz w:val="22"/>
          <w:szCs w:val="22"/>
        </w:rPr>
      </w:pPr>
      <w:r>
        <w:rPr>
          <w:rFonts w:ascii="Arial" w:hAnsi="Arial" w:cs="Arial"/>
          <w:b/>
          <w:color w:val="000000"/>
          <w:sz w:val="22"/>
          <w:szCs w:val="22"/>
        </w:rPr>
        <w:t>21.2.1.</w:t>
      </w:r>
      <w:r>
        <w:rPr>
          <w:rFonts w:ascii="Arial" w:hAnsi="Arial" w:cs="Arial"/>
          <w:color w:val="000000"/>
          <w:sz w:val="22"/>
          <w:szCs w:val="22"/>
        </w:rPr>
        <w:t xml:space="preserve"> Balanço dos eventos contratuais já cumpridos ou parcialmente cumpridos;</w:t>
      </w:r>
    </w:p>
    <w:p>
      <w:pPr>
        <w:keepNext w:val="0"/>
        <w:keepLines w:val="0"/>
        <w:pageBreakBefore w:val="0"/>
        <w:widowControl w:val="0"/>
        <w:tabs>
          <w:tab w:val="left" w:pos="709"/>
          <w:tab w:val="left" w:pos="1276"/>
        </w:tabs>
        <w:kinsoku/>
        <w:wordWrap/>
        <w:overflowPunct/>
        <w:topLinePunct w:val="0"/>
        <w:autoSpaceDE/>
        <w:autoSpaceDN/>
        <w:bidi w:val="0"/>
        <w:adjustRightInd/>
        <w:snapToGrid/>
        <w:spacing w:beforeAutospacing="0" w:after="120" w:afterAutospacing="0" w:line="240" w:lineRule="auto"/>
        <w:ind w:left="567"/>
        <w:jc w:val="both"/>
        <w:textAlignment w:val="auto"/>
        <w:rPr>
          <w:rFonts w:ascii="Arial" w:hAnsi="Arial" w:cs="Arial"/>
          <w:color w:val="000000"/>
          <w:sz w:val="22"/>
          <w:szCs w:val="22"/>
        </w:rPr>
      </w:pPr>
      <w:r>
        <w:rPr>
          <w:rFonts w:ascii="Arial" w:hAnsi="Arial" w:cs="Arial"/>
          <w:b/>
          <w:color w:val="000000"/>
          <w:sz w:val="22"/>
          <w:szCs w:val="22"/>
        </w:rPr>
        <w:t>21.2.2.</w:t>
      </w:r>
      <w:r>
        <w:rPr>
          <w:rFonts w:ascii="Arial" w:hAnsi="Arial" w:cs="Arial"/>
          <w:color w:val="000000"/>
          <w:sz w:val="22"/>
          <w:szCs w:val="22"/>
        </w:rPr>
        <w:t xml:space="preserve"> Relação dos pagamentos já efetuados e ainda devidos;</w:t>
      </w:r>
    </w:p>
    <w:p>
      <w:pPr>
        <w:pStyle w:val="145"/>
      </w:pPr>
      <w:r>
        <w:rPr>
          <w:rFonts w:ascii="Arial" w:hAnsi="Arial" w:cs="Arial"/>
          <w:b/>
          <w:color w:val="000000"/>
          <w:sz w:val="22"/>
          <w:szCs w:val="22"/>
        </w:rPr>
        <w:t>21.2.3.</w:t>
      </w:r>
      <w:r>
        <w:rPr>
          <w:rFonts w:ascii="Arial" w:hAnsi="Arial" w:cs="Arial"/>
          <w:color w:val="000000"/>
          <w:sz w:val="22"/>
          <w:szCs w:val="22"/>
        </w:rPr>
        <w:t xml:space="preserve"> Indenizações e multas.</w:t>
      </w:r>
      <w:r>
        <w:t>DO PAGAMENTO</w:t>
      </w:r>
    </w:p>
    <w:p>
      <w:pPr>
        <w:keepNext w:val="0"/>
        <w:keepLines w:val="0"/>
        <w:pageBreakBefore w:val="0"/>
        <w:widowControl w:val="0"/>
        <w:tabs>
          <w:tab w:val="left" w:pos="567"/>
          <w:tab w:val="left" w:pos="709"/>
        </w:tabs>
        <w:kinsoku/>
        <w:wordWrap/>
        <w:overflowPunct/>
        <w:topLinePunct w:val="0"/>
        <w:autoSpaceDE/>
        <w:autoSpaceDN/>
        <w:bidi w:val="0"/>
        <w:adjustRightInd/>
        <w:snapToGrid/>
        <w:spacing w:beforeAutospacing="0" w:after="120" w:afterAutospacing="0"/>
        <w:jc w:val="both"/>
        <w:textAlignment w:val="auto"/>
        <w:rPr>
          <w:rFonts w:ascii="Arial" w:hAnsi="Arial" w:cs="Arial"/>
          <w:b/>
          <w:color w:val="000000"/>
          <w:sz w:val="22"/>
          <w:szCs w:val="22"/>
        </w:rPr>
      </w:pPr>
      <w:r>
        <w:rPr>
          <w:rFonts w:ascii="Arial" w:hAnsi="Arial" w:cs="Arial"/>
          <w:b/>
          <w:sz w:val="22"/>
          <w:szCs w:val="22"/>
        </w:rPr>
        <w:t>22.1.</w:t>
      </w:r>
      <w:r>
        <w:rPr>
          <w:rFonts w:ascii="Arial" w:hAnsi="Arial" w:cs="Arial"/>
          <w:sz w:val="22"/>
          <w:szCs w:val="22"/>
        </w:rPr>
        <w:t xml:space="preserve"> O pagamento será efetuado pela Contratante no prazo de 30 (trinta) dias, contados da apresentação da Nota Fiscal/Fatura, através de ordem bancária, para crédito em banco, agência e conta-corrente indicados pelo contratado</w:t>
      </w:r>
      <w:r>
        <w:rPr>
          <w:rFonts w:ascii="Arial" w:hAnsi="Arial" w:cs="Arial"/>
          <w:b/>
          <w:sz w:val="22"/>
          <w:szCs w:val="22"/>
        </w:rPr>
        <w:t>, conforme descrito no Cronograma Financeiro, anexo a este edital</w:t>
      </w:r>
      <w:r>
        <w:rPr>
          <w:rFonts w:ascii="Arial" w:hAnsi="Arial" w:cs="Arial"/>
          <w:sz w:val="22"/>
          <w:szCs w:val="22"/>
        </w:rPr>
        <w:t>;</w:t>
      </w:r>
    </w:p>
    <w:p>
      <w:pPr>
        <w:pStyle w:val="32"/>
        <w:keepNext w:val="0"/>
        <w:keepLines w:val="0"/>
        <w:pageBreakBefore w:val="0"/>
        <w:widowControl w:val="0"/>
        <w:tabs>
          <w:tab w:val="left" w:pos="567"/>
          <w:tab w:val="left" w:pos="709"/>
        </w:tabs>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22.2.</w:t>
      </w:r>
      <w:r>
        <w:rPr>
          <w:rFonts w:ascii="Arial" w:hAnsi="Arial" w:cs="Arial"/>
          <w:color w:val="000000"/>
          <w:sz w:val="22"/>
          <w:szCs w:val="22"/>
          <w:lang w:val="pt-BR"/>
        </w:rPr>
        <w:t xml:space="preserve"> Os pagamentos decorrentes de despesas cujos valores não ultrapassem o limite de que trata o inciso II do art. 24 da Lei 8.666, de 1993, deverão ser efetuados no prazo de até 5 (cinco) dias úteis, contados da data da apresentação da Nota Fiscal/Fatura, nos termos do art. 5º, § 3º, da Lei nº 8.666, de 1993;</w:t>
      </w:r>
    </w:p>
    <w:p>
      <w:pPr>
        <w:pStyle w:val="32"/>
        <w:keepNext w:val="0"/>
        <w:keepLines w:val="0"/>
        <w:pageBreakBefore w:val="0"/>
        <w:widowControl w:val="0"/>
        <w:tabs>
          <w:tab w:val="left" w:pos="567"/>
          <w:tab w:val="left" w:pos="709"/>
        </w:tabs>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22.3.</w:t>
      </w:r>
      <w:r>
        <w:rPr>
          <w:rFonts w:ascii="Arial" w:hAnsi="Arial" w:cs="Arial"/>
          <w:color w:val="000000"/>
          <w:sz w:val="22"/>
          <w:szCs w:val="22"/>
          <w:lang w:val="pt-BR"/>
        </w:rPr>
        <w:t xml:space="preserve"> A apresentação da Nota Fiscal/Fatura deverá ocorrer no prazo </w:t>
      </w:r>
      <w:r>
        <w:rPr>
          <w:rFonts w:ascii="Arial" w:hAnsi="Arial" w:cs="Arial"/>
          <w:sz w:val="22"/>
          <w:szCs w:val="22"/>
          <w:lang w:val="pt-BR"/>
        </w:rPr>
        <w:t>de 10 (dez) dias</w:t>
      </w:r>
      <w:r>
        <w:rPr>
          <w:rFonts w:ascii="Arial" w:hAnsi="Arial" w:cs="Arial"/>
          <w:color w:val="000000"/>
          <w:sz w:val="22"/>
          <w:szCs w:val="22"/>
          <w:lang w:val="pt-BR"/>
        </w:rPr>
        <w:t>, contado da data final do período de adimplemento da parcela da contratação a que aquela se referir;</w:t>
      </w:r>
    </w:p>
    <w:p>
      <w:pPr>
        <w:keepNext w:val="0"/>
        <w:keepLines w:val="0"/>
        <w:pageBreakBefore w:val="0"/>
        <w:widowControl w:val="0"/>
        <w:tabs>
          <w:tab w:val="left" w:pos="0"/>
          <w:tab w:val="left" w:pos="567"/>
          <w:tab w:val="left" w:pos="709"/>
          <w:tab w:val="left" w:pos="851"/>
          <w:tab w:val="left" w:pos="1134"/>
          <w:tab w:val="left" w:pos="2268"/>
          <w:tab w:val="left" w:pos="2835"/>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22.4.</w:t>
      </w:r>
      <w:r>
        <w:rPr>
          <w:rFonts w:ascii="Arial" w:hAnsi="Arial" w:cs="Arial"/>
          <w:sz w:val="22"/>
          <w:szCs w:val="22"/>
        </w:rPr>
        <w:t xml:space="preserve"> A Nota Fiscal/Fatura será emitida pela Contratada de acordo com os seguintes procedimentos:</w:t>
      </w:r>
    </w:p>
    <w:p>
      <w:pPr>
        <w:keepNext w:val="0"/>
        <w:keepLines w:val="0"/>
        <w:pageBreakBefore w:val="0"/>
        <w:widowControl w:val="0"/>
        <w:tabs>
          <w:tab w:val="left" w:pos="567"/>
          <w:tab w:val="left" w:pos="1418"/>
          <w:tab w:val="left" w:pos="2268"/>
          <w:tab w:val="left" w:pos="2835"/>
        </w:tabs>
        <w:kinsoku/>
        <w:wordWrap/>
        <w:overflowPunct/>
        <w:topLinePunct w:val="0"/>
        <w:autoSpaceDE/>
        <w:autoSpaceDN/>
        <w:bidi w:val="0"/>
        <w:adjustRightInd/>
        <w:snapToGrid/>
        <w:spacing w:beforeAutospacing="0" w:after="120" w:afterAutospacing="0"/>
        <w:ind w:left="567"/>
        <w:jc w:val="both"/>
        <w:textAlignment w:val="auto"/>
        <w:rPr>
          <w:rFonts w:ascii="Arial" w:hAnsi="Arial" w:cs="Arial"/>
          <w:sz w:val="22"/>
          <w:szCs w:val="22"/>
        </w:rPr>
      </w:pPr>
      <w:r>
        <w:rPr>
          <w:rFonts w:ascii="Arial" w:hAnsi="Arial" w:cs="Arial"/>
          <w:b/>
          <w:sz w:val="22"/>
          <w:szCs w:val="22"/>
        </w:rPr>
        <w:t>22.4.1.</w:t>
      </w:r>
      <w:r>
        <w:rPr>
          <w:rFonts w:ascii="Arial" w:hAnsi="Arial" w:cs="Arial"/>
          <w:sz w:val="22"/>
          <w:szCs w:val="22"/>
        </w:rPr>
        <w:t xml:space="preserve"> Ao final de cada etapa da execução contratual, conforme previsto no Cronograma Físico-Financeiro, a Contratada apresentará a medição prévia das atividades executadas no período, através de planilha e memória de cálculo detalhada;</w:t>
      </w:r>
    </w:p>
    <w:p>
      <w:pPr>
        <w:keepNext w:val="0"/>
        <w:keepLines w:val="0"/>
        <w:pageBreakBefore w:val="0"/>
        <w:widowControl w:val="0"/>
        <w:tabs>
          <w:tab w:val="left" w:pos="567"/>
          <w:tab w:val="left" w:pos="1418"/>
          <w:tab w:val="left" w:pos="2268"/>
          <w:tab w:val="left" w:pos="2835"/>
        </w:tabs>
        <w:kinsoku/>
        <w:wordWrap/>
        <w:overflowPunct/>
        <w:topLinePunct w:val="0"/>
        <w:autoSpaceDE/>
        <w:autoSpaceDN/>
        <w:bidi w:val="0"/>
        <w:adjustRightInd/>
        <w:snapToGrid/>
        <w:spacing w:beforeAutospacing="0" w:after="120" w:afterAutospacing="0"/>
        <w:ind w:left="567"/>
        <w:jc w:val="both"/>
        <w:textAlignment w:val="auto"/>
        <w:rPr>
          <w:rFonts w:ascii="Arial" w:hAnsi="Arial" w:cs="Arial"/>
          <w:sz w:val="22"/>
          <w:szCs w:val="22"/>
        </w:rPr>
      </w:pPr>
      <w:r>
        <w:rPr>
          <w:rFonts w:ascii="Arial" w:hAnsi="Arial" w:cs="Arial"/>
          <w:b/>
          <w:sz w:val="22"/>
          <w:szCs w:val="22"/>
        </w:rPr>
        <w:t>22.4.2.</w:t>
      </w:r>
      <w:r>
        <w:rPr>
          <w:rFonts w:ascii="Arial" w:hAnsi="Arial" w:cs="Arial"/>
          <w:sz w:val="22"/>
          <w:szCs w:val="22"/>
        </w:rPr>
        <w:t xml:space="preserve"> Uma etapa será considerada efetivamente concluída quando as atividades previstas para aquela etapa, no Cronograma Físico-Financeiro, estiverem executadas em sua totalidade;</w:t>
      </w:r>
    </w:p>
    <w:p>
      <w:pPr>
        <w:keepNext w:val="0"/>
        <w:keepLines w:val="0"/>
        <w:pageBreakBefore w:val="0"/>
        <w:widowControl w:val="0"/>
        <w:tabs>
          <w:tab w:val="left" w:pos="567"/>
          <w:tab w:val="left" w:pos="1418"/>
          <w:tab w:val="left" w:pos="2268"/>
          <w:tab w:val="left" w:pos="2835"/>
        </w:tabs>
        <w:kinsoku/>
        <w:wordWrap/>
        <w:overflowPunct/>
        <w:topLinePunct w:val="0"/>
        <w:autoSpaceDE/>
        <w:autoSpaceDN/>
        <w:bidi w:val="0"/>
        <w:adjustRightInd/>
        <w:snapToGrid/>
        <w:spacing w:beforeAutospacing="0" w:after="120" w:afterAutospacing="0"/>
        <w:ind w:left="567"/>
        <w:jc w:val="both"/>
        <w:textAlignment w:val="auto"/>
        <w:rPr>
          <w:rFonts w:ascii="Arial" w:hAnsi="Arial" w:cs="Arial"/>
          <w:sz w:val="22"/>
          <w:szCs w:val="22"/>
        </w:rPr>
      </w:pPr>
      <w:r>
        <w:rPr>
          <w:rFonts w:ascii="Arial" w:hAnsi="Arial" w:cs="Arial"/>
          <w:b/>
          <w:sz w:val="22"/>
          <w:szCs w:val="22"/>
        </w:rPr>
        <w:t>22.4.</w:t>
      </w:r>
      <w:r>
        <w:rPr>
          <w:rFonts w:hint="default" w:ascii="Arial" w:hAnsi="Arial" w:cs="Arial"/>
          <w:b/>
          <w:sz w:val="22"/>
          <w:szCs w:val="22"/>
          <w:lang w:val="pt-BR"/>
        </w:rPr>
        <w:t>3</w:t>
      </w:r>
      <w:r>
        <w:rPr>
          <w:rFonts w:ascii="Arial" w:hAnsi="Arial" w:cs="Arial"/>
          <w:b/>
          <w:sz w:val="22"/>
          <w:szCs w:val="22"/>
        </w:rPr>
        <w:t>.</w:t>
      </w:r>
      <w:r>
        <w:rPr>
          <w:rFonts w:ascii="Arial" w:hAnsi="Arial" w:cs="Arial"/>
          <w:sz w:val="22"/>
          <w:szCs w:val="22"/>
        </w:rPr>
        <w:t xml:space="preserve"> A Contratada também apresentará, a cada medição, os documentos comprobatórios da procedência legal dos produtos e subprodutos florestais utilizados naquela etapa da execução contratual, quando for o caso;</w:t>
      </w:r>
    </w:p>
    <w:p>
      <w:pPr>
        <w:keepNext w:val="0"/>
        <w:keepLines w:val="0"/>
        <w:pageBreakBefore w:val="0"/>
        <w:widowControl w:val="0"/>
        <w:tabs>
          <w:tab w:val="left" w:pos="0"/>
          <w:tab w:val="left" w:pos="709"/>
          <w:tab w:val="left" w:pos="1134"/>
          <w:tab w:val="left" w:pos="2268"/>
          <w:tab w:val="left" w:pos="2835"/>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22.5.</w:t>
      </w:r>
      <w:r>
        <w:rPr>
          <w:rFonts w:ascii="Arial" w:hAnsi="Arial" w:cs="Arial"/>
          <w:sz w:val="22"/>
          <w:szCs w:val="22"/>
        </w:rPr>
        <w:t xml:space="preserve"> A Contratante terá o prazo de 05 (cinco) dias úteis, contados a partir da data da apresentação da medição, para aprovar ou rejeitar, no todo ou em parte, a medição prévia relatada pela Contratada, bem como para avaliar a conformidade das atividades executadas, inclusive quanto à obrigação de utilização de produtos e subprodutos florestais de comprovada procedência legal;</w:t>
      </w:r>
    </w:p>
    <w:p>
      <w:pPr>
        <w:keepNext w:val="0"/>
        <w:keepLines w:val="0"/>
        <w:pageBreakBefore w:val="0"/>
        <w:widowControl w:val="0"/>
        <w:tabs>
          <w:tab w:val="left" w:pos="0"/>
          <w:tab w:val="left" w:pos="709"/>
          <w:tab w:val="left" w:pos="1134"/>
          <w:tab w:val="left" w:pos="2268"/>
          <w:tab w:val="left" w:pos="2835"/>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22.5.</w:t>
      </w:r>
      <w:r>
        <w:rPr>
          <w:rFonts w:ascii="Arial" w:hAnsi="Arial" w:cs="Arial"/>
          <w:sz w:val="22"/>
          <w:szCs w:val="22"/>
        </w:rPr>
        <w:t xml:space="preserve"> A aprovação da medição prévia apresentada pela Contratada não a exime de qualquer das responsabilidades contratuais, nem implica aceitação definitiva das atividades executadas;</w:t>
      </w:r>
    </w:p>
    <w:p>
      <w:pPr>
        <w:keepNext w:val="0"/>
        <w:keepLines w:val="0"/>
        <w:pageBreakBefore w:val="0"/>
        <w:widowControl w:val="0"/>
        <w:tabs>
          <w:tab w:val="left" w:pos="0"/>
          <w:tab w:val="left" w:pos="709"/>
          <w:tab w:val="left" w:pos="1134"/>
          <w:tab w:val="left" w:pos="2268"/>
          <w:tab w:val="left" w:pos="2835"/>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22.6.</w:t>
      </w:r>
      <w:r>
        <w:rPr>
          <w:rFonts w:ascii="Arial" w:hAnsi="Arial" w:cs="Arial"/>
          <w:sz w:val="22"/>
          <w:szCs w:val="22"/>
        </w:rPr>
        <w:t xml:space="preserve"> Após a aprovação, a Contratada emitirá Nota Fiscal/Fatura no valor da medição definitiva aprovada, acompanhada da planilha de medição de serviços e de memória de cálculo detalhada;</w:t>
      </w:r>
    </w:p>
    <w:p>
      <w:pPr>
        <w:keepNext w:val="0"/>
        <w:keepLines w:val="0"/>
        <w:pageBreakBefore w:val="0"/>
        <w:widowControl w:val="0"/>
        <w:tabs>
          <w:tab w:val="left" w:pos="0"/>
          <w:tab w:val="left" w:pos="709"/>
          <w:tab w:val="left" w:pos="1134"/>
          <w:tab w:val="left" w:pos="2268"/>
          <w:tab w:val="left" w:pos="2835"/>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22.7.</w:t>
      </w:r>
      <w:r>
        <w:rPr>
          <w:rFonts w:ascii="Arial" w:hAnsi="Arial" w:cs="Arial"/>
          <w:sz w:val="22"/>
          <w:szCs w:val="22"/>
        </w:rPr>
        <w:t xml:space="preserve"> O pagamento somente será efetuado após o “atesto”, pelo servidor competente, da Nota Fiscal/Fatura apresentada pela Contratada, acompanhada dos demais documentos exigidos neste instrumento contratual.</w:t>
      </w:r>
    </w:p>
    <w:p>
      <w:pPr>
        <w:keepNext w:val="0"/>
        <w:keepLines w:val="0"/>
        <w:pageBreakBefore w:val="0"/>
        <w:widowControl w:val="0"/>
        <w:tabs>
          <w:tab w:val="left" w:pos="0"/>
          <w:tab w:val="left" w:pos="709"/>
          <w:tab w:val="left" w:pos="1134"/>
          <w:tab w:val="left" w:pos="2268"/>
          <w:tab w:val="left" w:pos="2835"/>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22.8.</w:t>
      </w:r>
      <w:r>
        <w:rPr>
          <w:rFonts w:ascii="Arial" w:hAnsi="Arial" w:cs="Arial"/>
          <w:sz w:val="22"/>
          <w:szCs w:val="22"/>
        </w:rPr>
        <w:t xml:space="preserve"> O “atesto” da Nota Fiscal/Fatura fica condicionado à verificação da conformidade da Nota Fiscal/Fatura apresentada pela Contratada com as atividades efetivamente executadas, bem como às seguintes comprovações, que deverão obrigatoriamente acompanhá-la:</w:t>
      </w:r>
    </w:p>
    <w:p>
      <w:pPr>
        <w:keepNext w:val="0"/>
        <w:keepLines w:val="0"/>
        <w:pageBreakBefore w:val="0"/>
        <w:widowControl w:val="0"/>
        <w:tabs>
          <w:tab w:val="left" w:pos="709"/>
          <w:tab w:val="left" w:pos="1276"/>
          <w:tab w:val="left" w:pos="2268"/>
          <w:tab w:val="left" w:pos="2835"/>
        </w:tabs>
        <w:kinsoku/>
        <w:wordWrap/>
        <w:overflowPunct/>
        <w:topLinePunct w:val="0"/>
        <w:autoSpaceDE/>
        <w:autoSpaceDN/>
        <w:bidi w:val="0"/>
        <w:adjustRightInd/>
        <w:snapToGrid/>
        <w:spacing w:beforeAutospacing="0" w:after="120" w:afterAutospacing="0"/>
        <w:ind w:left="567"/>
        <w:jc w:val="both"/>
        <w:textAlignment w:val="auto"/>
        <w:rPr>
          <w:rFonts w:ascii="Arial" w:hAnsi="Arial" w:cs="Arial"/>
          <w:sz w:val="22"/>
          <w:szCs w:val="22"/>
        </w:rPr>
      </w:pPr>
      <w:r>
        <w:rPr>
          <w:rFonts w:ascii="Arial" w:hAnsi="Arial" w:cs="Arial"/>
          <w:b/>
          <w:sz w:val="22"/>
          <w:szCs w:val="22"/>
        </w:rPr>
        <w:t>22.8.1.</w:t>
      </w:r>
      <w:r>
        <w:rPr>
          <w:rFonts w:ascii="Arial" w:hAnsi="Arial" w:cs="Arial"/>
          <w:sz w:val="22"/>
          <w:szCs w:val="22"/>
        </w:rPr>
        <w:t xml:space="preserve"> Do pagamento das contribuições sociais (Fundo de Garantia do Tempo de Serviço e Previdência Social) e da regularidade trabalhista, correspondentes ao mês da última nota fiscal ou fatura vencida, quanto aos empregados diretamente vinculados à execução contratual;</w:t>
      </w:r>
    </w:p>
    <w:p>
      <w:pPr>
        <w:keepNext w:val="0"/>
        <w:keepLines w:val="0"/>
        <w:pageBreakBefore w:val="0"/>
        <w:widowControl w:val="0"/>
        <w:tabs>
          <w:tab w:val="left" w:pos="709"/>
          <w:tab w:val="left" w:pos="1276"/>
          <w:tab w:val="left" w:pos="2268"/>
          <w:tab w:val="left" w:pos="2835"/>
        </w:tabs>
        <w:kinsoku/>
        <w:wordWrap/>
        <w:overflowPunct/>
        <w:topLinePunct w:val="0"/>
        <w:autoSpaceDE/>
        <w:autoSpaceDN/>
        <w:bidi w:val="0"/>
        <w:adjustRightInd/>
        <w:snapToGrid/>
        <w:spacing w:beforeAutospacing="0" w:after="120" w:afterAutospacing="0"/>
        <w:ind w:left="567"/>
        <w:jc w:val="both"/>
        <w:textAlignment w:val="auto"/>
        <w:rPr>
          <w:rFonts w:ascii="Arial" w:hAnsi="Arial" w:cs="Arial"/>
          <w:sz w:val="22"/>
          <w:szCs w:val="22"/>
        </w:rPr>
      </w:pPr>
      <w:r>
        <w:rPr>
          <w:rFonts w:ascii="Arial" w:hAnsi="Arial" w:cs="Arial"/>
          <w:b/>
          <w:sz w:val="22"/>
          <w:szCs w:val="22"/>
        </w:rPr>
        <w:t>22.8.2.</w:t>
      </w:r>
      <w:r>
        <w:rPr>
          <w:rFonts w:ascii="Arial" w:hAnsi="Arial" w:cs="Arial"/>
          <w:sz w:val="22"/>
          <w:szCs w:val="22"/>
        </w:rPr>
        <w:t xml:space="preserve"> Da regularidade fiscal, constatada através de consulta aos sítios eletrônicos oficiais ou à documentação mencionada no artigo 29 da Lei n° 8.666, de 1993;</w:t>
      </w:r>
    </w:p>
    <w:p>
      <w:pPr>
        <w:pStyle w:val="32"/>
        <w:keepNext w:val="0"/>
        <w:keepLines w:val="0"/>
        <w:pageBreakBefore w:val="0"/>
        <w:widowControl w:val="0"/>
        <w:tabs>
          <w:tab w:val="left" w:pos="709"/>
        </w:tabs>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22.9.</w:t>
      </w:r>
      <w:r>
        <w:rPr>
          <w:rFonts w:ascii="Arial" w:hAnsi="Arial" w:cs="Arial"/>
          <w:color w:val="000000"/>
          <w:sz w:val="22"/>
          <w:szCs w:val="22"/>
          <w:lang w:val="pt-BR"/>
        </w:rPr>
        <w:t xml:space="preserve"> O pagamento somente será autorizado depois de efetuado o “atesto” pelo servidor competente, condicionado este ato à verificação da conformidade da Nota Fiscal/Fatura apresentada em relação às atividades efetivamente prestadas e aos materiais empregados;</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22.10.</w:t>
      </w:r>
      <w:r>
        <w:rPr>
          <w:rFonts w:ascii="Arial" w:hAnsi="Arial" w:cs="Arial"/>
          <w:color w:val="000000"/>
          <w:sz w:val="22"/>
          <w:szCs w:val="22"/>
          <w:lang w:val="pt-BR"/>
        </w:rPr>
        <w:t xml:space="preserve"> 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22.11.</w:t>
      </w:r>
      <w:r>
        <w:rPr>
          <w:rFonts w:ascii="Arial" w:hAnsi="Arial" w:cs="Arial"/>
          <w:color w:val="000000"/>
          <w:sz w:val="22"/>
          <w:szCs w:val="22"/>
          <w:lang w:val="pt-BR"/>
        </w:rPr>
        <w:t xml:space="preserve"> Nos termos do artigo 36, § 6°, da Instrução Normativa SLTI/MPOG n° 02, de 2008, será efetuada a retenção ou glosa no pagamento, proporcional à irregularidade verificada, sem prejuízo das sanções cabíveis, caso se constate que a Contratada:</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left="993" w:right="0"/>
        <w:textAlignment w:val="auto"/>
        <w:rPr>
          <w:rFonts w:ascii="Arial" w:hAnsi="Arial" w:cs="Arial"/>
          <w:sz w:val="22"/>
          <w:szCs w:val="22"/>
          <w:lang w:val="pt-BR"/>
        </w:rPr>
      </w:pPr>
      <w:r>
        <w:rPr>
          <w:rFonts w:ascii="Arial" w:hAnsi="Arial" w:cs="Arial"/>
          <w:b/>
          <w:color w:val="000000"/>
          <w:sz w:val="22"/>
          <w:szCs w:val="22"/>
          <w:lang w:val="pt-BR"/>
        </w:rPr>
        <w:t>22.11.1.</w:t>
      </w:r>
      <w:r>
        <w:rPr>
          <w:rFonts w:ascii="Arial" w:hAnsi="Arial" w:cs="Arial"/>
          <w:color w:val="000000"/>
          <w:sz w:val="22"/>
          <w:szCs w:val="22"/>
          <w:lang w:val="pt-BR"/>
        </w:rPr>
        <w:t xml:space="preserve"> Não produziu os resultados acordados;</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left="993" w:right="0"/>
        <w:textAlignment w:val="auto"/>
        <w:rPr>
          <w:rFonts w:ascii="Arial" w:hAnsi="Arial" w:cs="Arial"/>
          <w:sz w:val="22"/>
          <w:szCs w:val="22"/>
          <w:lang w:val="pt-BR"/>
        </w:rPr>
      </w:pPr>
      <w:r>
        <w:rPr>
          <w:rFonts w:ascii="Arial" w:hAnsi="Arial" w:cs="Arial"/>
          <w:b/>
          <w:color w:val="000000"/>
          <w:sz w:val="22"/>
          <w:szCs w:val="22"/>
          <w:lang w:val="pt-BR"/>
        </w:rPr>
        <w:t>22.11.1.</w:t>
      </w:r>
      <w:r>
        <w:rPr>
          <w:rFonts w:ascii="Arial" w:hAnsi="Arial" w:cs="Arial"/>
          <w:color w:val="000000"/>
          <w:sz w:val="22"/>
          <w:szCs w:val="22"/>
          <w:lang w:val="pt-BR"/>
        </w:rPr>
        <w:t xml:space="preserve"> Deixou de executar as atividades contratadas, ou não as executou com a qualidade mínima exigida;</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left="993" w:right="0"/>
        <w:textAlignment w:val="auto"/>
        <w:rPr>
          <w:rFonts w:ascii="Arial" w:hAnsi="Arial" w:cs="Arial"/>
          <w:sz w:val="22"/>
          <w:szCs w:val="22"/>
          <w:lang w:val="pt-BR"/>
        </w:rPr>
      </w:pPr>
      <w:r>
        <w:rPr>
          <w:rFonts w:ascii="Arial" w:hAnsi="Arial" w:cs="Arial"/>
          <w:b/>
          <w:color w:val="000000"/>
          <w:sz w:val="22"/>
          <w:szCs w:val="22"/>
          <w:lang w:val="pt-BR"/>
        </w:rPr>
        <w:t>22.11.1.</w:t>
      </w:r>
      <w:r>
        <w:rPr>
          <w:rFonts w:ascii="Arial" w:hAnsi="Arial" w:cs="Arial"/>
          <w:color w:val="000000"/>
          <w:sz w:val="22"/>
          <w:szCs w:val="22"/>
          <w:lang w:val="pt-BR"/>
        </w:rPr>
        <w:t xml:space="preserve"> Deixou de utilizar os materiais e recursos humanos exigidos para a execução do serviço, ou utilizou-os com qualidade ou quantidade inferior à demandada.</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22.12.</w:t>
      </w:r>
      <w:r>
        <w:rPr>
          <w:rFonts w:ascii="Arial" w:hAnsi="Arial" w:cs="Arial"/>
          <w:color w:val="000000"/>
          <w:sz w:val="22"/>
          <w:szCs w:val="22"/>
          <w:lang w:val="pt-BR"/>
        </w:rPr>
        <w:t xml:space="preserve"> Será considerada data do pagamento o dia em que constar como emitida a ordem bancária para pagamento.</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22.13.</w:t>
      </w:r>
      <w:r>
        <w:rPr>
          <w:rFonts w:ascii="Arial" w:hAnsi="Arial" w:cs="Arial"/>
          <w:color w:val="000000"/>
          <w:sz w:val="22"/>
          <w:szCs w:val="22"/>
          <w:lang w:val="pt-BR"/>
        </w:rPr>
        <w:t xml:space="preserve"> Antes de cada pagamento à contratada, será realizada consulta </w:t>
      </w:r>
      <w:r>
        <w:rPr>
          <w:rFonts w:ascii="Arial" w:hAnsi="Arial" w:cs="Arial"/>
          <w:sz w:val="22"/>
          <w:szCs w:val="22"/>
          <w:lang w:val="pt-BR"/>
        </w:rPr>
        <w:t xml:space="preserve">aos sítios eletrônicos oficiais </w:t>
      </w:r>
      <w:r>
        <w:rPr>
          <w:rFonts w:ascii="Arial" w:hAnsi="Arial" w:cs="Arial"/>
          <w:color w:val="000000"/>
          <w:sz w:val="22"/>
          <w:szCs w:val="22"/>
          <w:lang w:val="pt-BR"/>
        </w:rPr>
        <w:t>para verificar a manutenção das condições de habilitação exigidas no edital.</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22.14.</w:t>
      </w:r>
      <w:r>
        <w:rPr>
          <w:rFonts w:ascii="Arial" w:hAnsi="Arial" w:cs="Arial"/>
          <w:color w:val="000000"/>
          <w:sz w:val="22"/>
          <w:szCs w:val="22"/>
          <w:lang w:val="pt-BR"/>
        </w:rPr>
        <w:t xml:space="preserve"> Constatando-se, junto </w:t>
      </w:r>
      <w:r>
        <w:rPr>
          <w:rFonts w:ascii="Arial" w:hAnsi="Arial" w:cs="Arial"/>
          <w:sz w:val="22"/>
          <w:szCs w:val="22"/>
          <w:lang w:val="pt-BR"/>
        </w:rPr>
        <w:t>aos sítios eletrônicos oficiais</w:t>
      </w:r>
      <w:r>
        <w:rPr>
          <w:rFonts w:ascii="Arial" w:hAnsi="Arial" w:cs="Arial"/>
          <w:color w:val="000000"/>
          <w:sz w:val="22"/>
          <w:szCs w:val="22"/>
          <w:lang w:val="pt-BR"/>
        </w:rPr>
        <w:t>, a situação de irregularidade da contratada, será providenciada sua advertência, por escrito, para que, no prazo de 5 (cinco) dias, regularize sua situação ou, no mesmo prazo, apresente sua defesa. O prazo poderá ser prorrogado uma vez, por igual período, a critério da contratante.</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22.15.</w:t>
      </w:r>
      <w:r>
        <w:rPr>
          <w:rFonts w:ascii="Arial" w:hAnsi="Arial" w:cs="Arial"/>
          <w:color w:val="000000"/>
          <w:sz w:val="22"/>
          <w:szCs w:val="22"/>
          <w:lang w:val="pt-BR"/>
        </w:rPr>
        <w:t xml:space="preserve"> 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22.16.</w:t>
      </w:r>
      <w:r>
        <w:rPr>
          <w:rFonts w:ascii="Arial" w:hAnsi="Arial" w:cs="Arial"/>
          <w:color w:val="000000"/>
          <w:sz w:val="22"/>
          <w:szCs w:val="22"/>
          <w:lang w:val="pt-BR"/>
        </w:rPr>
        <w:t xml:space="preserve"> Persistindo a irregularidade, a contratante deverá adotar as medidas necessárias à rescisão contratual nos autos do processo administrativo correspondente, assegurada à contratada a ampla defesa.</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22.17.</w:t>
      </w:r>
      <w:r>
        <w:rPr>
          <w:rFonts w:ascii="Arial" w:hAnsi="Arial" w:cs="Arial"/>
          <w:color w:val="000000"/>
          <w:sz w:val="22"/>
          <w:szCs w:val="22"/>
          <w:lang w:val="pt-BR"/>
        </w:rPr>
        <w:t xml:space="preserve"> Havendo a efetiva execução do objeto, os pagamentos serão realizados normalmente, até que se decida pela rescisão do contrato, caso a contratada não regularize sua situação junto ao Cadastro de Fornecedores. </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22.18.</w:t>
      </w:r>
      <w:r>
        <w:rPr>
          <w:rFonts w:ascii="Arial" w:hAnsi="Arial" w:cs="Arial"/>
          <w:color w:val="000000"/>
          <w:sz w:val="22"/>
          <w:szCs w:val="22"/>
          <w:lang w:val="pt-BR"/>
        </w:rPr>
        <w:t xml:space="preserve"> Somente por motivo de economicidade, segurança nacional ou outro interesse público de alta relevância, devidamente justificado, em qualquer caso, pela máxima autoridade da contratante, não será rescindido o contrato em execução com a contratada inadimplente no </w:t>
      </w:r>
      <w:r>
        <w:rPr>
          <w:rFonts w:hint="default" w:ascii="Arial" w:hAnsi="Arial" w:cs="Arial"/>
          <w:color w:val="000000"/>
          <w:sz w:val="22"/>
          <w:szCs w:val="22"/>
          <w:lang w:val="pt-BR"/>
        </w:rPr>
        <w:t>Certificado de Registro Cadastral</w:t>
      </w:r>
      <w:r>
        <w:rPr>
          <w:rFonts w:ascii="Arial" w:hAnsi="Arial" w:cs="Arial"/>
          <w:color w:val="000000"/>
          <w:sz w:val="22"/>
          <w:szCs w:val="22"/>
          <w:lang w:val="pt-BR"/>
        </w:rPr>
        <w:t>.</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22.19.</w:t>
      </w:r>
      <w:r>
        <w:rPr>
          <w:rFonts w:ascii="Arial" w:hAnsi="Arial" w:cs="Arial"/>
          <w:color w:val="000000"/>
          <w:sz w:val="22"/>
          <w:szCs w:val="22"/>
          <w:lang w:val="pt-BR"/>
        </w:rPr>
        <w:t xml:space="preserve"> Quando do pagamento, será efetuada a retenção tributária prevista na legislação aplicável, em especial a prevista no artigo 31 da Lei n. 8.212, de 1993.</w:t>
      </w:r>
    </w:p>
    <w:p>
      <w:pPr>
        <w:pStyle w:val="32"/>
        <w:keepNext w:val="0"/>
        <w:keepLines w:val="0"/>
        <w:pageBreakBefore w:val="0"/>
        <w:widowControl w:val="0"/>
        <w:tabs>
          <w:tab w:val="left" w:pos="2268"/>
        </w:tabs>
        <w:kinsoku/>
        <w:wordWrap/>
        <w:overflowPunct/>
        <w:topLinePunct w:val="0"/>
        <w:autoSpaceDE/>
        <w:autoSpaceDN/>
        <w:bidi w:val="0"/>
        <w:adjustRightInd/>
        <w:snapToGrid/>
        <w:spacing w:before="0" w:beforeAutospacing="0" w:after="120" w:afterAutospacing="0"/>
        <w:ind w:left="1418" w:right="0"/>
        <w:textAlignment w:val="auto"/>
        <w:rPr>
          <w:rFonts w:ascii="Arial" w:hAnsi="Arial" w:cs="Arial"/>
          <w:sz w:val="22"/>
          <w:szCs w:val="22"/>
          <w:lang w:val="pt-BR"/>
        </w:rPr>
      </w:pPr>
      <w:r>
        <w:rPr>
          <w:rFonts w:ascii="Arial" w:hAnsi="Arial" w:cs="Arial"/>
          <w:b/>
          <w:color w:val="000000"/>
          <w:sz w:val="22"/>
          <w:szCs w:val="22"/>
          <w:lang w:val="pt-BR"/>
        </w:rPr>
        <w:t>22.19.1.</w:t>
      </w:r>
      <w:r>
        <w:rPr>
          <w:rFonts w:ascii="Arial" w:hAnsi="Arial" w:cs="Arial"/>
          <w:color w:val="000000"/>
          <w:sz w:val="22"/>
          <w:szCs w:val="22"/>
          <w:lang w:val="pt-BR"/>
        </w:rPr>
        <w:t xml:space="preserve"> 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Lei Complementar nº 123, de 2006.</w:t>
      </w:r>
    </w:p>
    <w:p>
      <w:pPr>
        <w:pStyle w:val="32"/>
        <w:keepNext w:val="0"/>
        <w:keepLines w:val="0"/>
        <w:pageBreakBefore w:val="0"/>
        <w:widowControl w:val="0"/>
        <w:tabs>
          <w:tab w:val="left" w:pos="2268"/>
        </w:tabs>
        <w:kinsoku/>
        <w:wordWrap/>
        <w:overflowPunct/>
        <w:topLinePunct w:val="0"/>
        <w:autoSpaceDE/>
        <w:autoSpaceDN/>
        <w:bidi w:val="0"/>
        <w:adjustRightInd/>
        <w:snapToGrid/>
        <w:spacing w:before="0" w:beforeAutospacing="0" w:after="120" w:afterAutospacing="0"/>
        <w:ind w:left="1418" w:right="0"/>
        <w:textAlignment w:val="auto"/>
        <w:rPr>
          <w:rFonts w:ascii="Arial" w:hAnsi="Arial" w:cs="Arial"/>
          <w:sz w:val="22"/>
          <w:szCs w:val="22"/>
          <w:lang w:val="pt-BR"/>
        </w:rPr>
      </w:pPr>
      <w:r>
        <w:rPr>
          <w:rFonts w:ascii="Arial" w:hAnsi="Arial" w:cs="Arial"/>
          <w:b/>
          <w:color w:val="000000"/>
          <w:sz w:val="22"/>
          <w:szCs w:val="22"/>
          <w:lang w:val="pt-BR"/>
        </w:rPr>
        <w:t>22.19.2.</w:t>
      </w:r>
      <w:r>
        <w:rPr>
          <w:rFonts w:ascii="Arial" w:hAnsi="Arial" w:cs="Arial"/>
          <w:color w:val="000000"/>
          <w:sz w:val="22"/>
          <w:szCs w:val="22"/>
          <w:lang w:val="pt-BR"/>
        </w:rPr>
        <w:t xml:space="preserve"> Quanto ao Imposto sobre Serviços de Qualquer Natureza (ISSQN), será observado o disposto na Lei Complementar nº 116, de 2003, e legislação municipal aplicável.</w:t>
      </w:r>
    </w:p>
    <w:p>
      <w:pPr>
        <w:pStyle w:val="32"/>
        <w:keepNext w:val="0"/>
        <w:keepLines w:val="0"/>
        <w:pageBreakBefore w:val="0"/>
        <w:widowControl w:val="0"/>
        <w:kinsoku/>
        <w:wordWrap/>
        <w:overflowPunct/>
        <w:topLinePunct w:val="0"/>
        <w:autoSpaceDE/>
        <w:autoSpaceDN/>
        <w:bidi w:val="0"/>
        <w:adjustRightInd/>
        <w:snapToGrid/>
        <w:spacing w:before="0" w:beforeAutospacing="0" w:after="120" w:afterAutospacing="0"/>
        <w:ind w:right="0"/>
        <w:textAlignment w:val="auto"/>
        <w:rPr>
          <w:rFonts w:ascii="Arial" w:hAnsi="Arial" w:cs="Arial"/>
          <w:sz w:val="22"/>
          <w:szCs w:val="22"/>
          <w:lang w:val="pt-BR"/>
        </w:rPr>
      </w:pPr>
      <w:r>
        <w:rPr>
          <w:rFonts w:ascii="Arial" w:hAnsi="Arial" w:cs="Arial"/>
          <w:b/>
          <w:color w:val="000000"/>
          <w:sz w:val="22"/>
          <w:szCs w:val="22"/>
          <w:lang w:val="pt-BR"/>
        </w:rPr>
        <w:t>22.20.</w:t>
      </w:r>
      <w:r>
        <w:rPr>
          <w:rFonts w:ascii="Arial" w:hAnsi="Arial" w:cs="Arial"/>
          <w:color w:val="000000"/>
          <w:sz w:val="22"/>
          <w:szCs w:val="22"/>
          <w:lang w:val="pt-BR"/>
        </w:rPr>
        <w:t xml:space="preserve"> 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pPr>
        <w:pStyle w:val="32"/>
        <w:widowControl w:val="0"/>
        <w:spacing w:before="0" w:beforeAutospacing="0" w:after="0" w:afterAutospacing="0"/>
        <w:ind w:left="425"/>
        <w:jc w:val="center"/>
        <w:rPr>
          <w:rFonts w:ascii="Arial" w:hAnsi="Arial" w:cs="Arial"/>
          <w:sz w:val="22"/>
          <w:szCs w:val="22"/>
          <w:lang w:val="pt-BR"/>
        </w:rPr>
      </w:pPr>
      <w:r>
        <w:rPr>
          <w:rFonts w:ascii="Arial" w:hAnsi="Arial" w:cs="Arial"/>
          <w:color w:val="000000"/>
          <w:sz w:val="22"/>
          <w:szCs w:val="22"/>
          <w:lang w:val="pt-BR"/>
        </w:rPr>
        <w:t>EM = I x N x VP, sendo:</w:t>
      </w:r>
    </w:p>
    <w:p>
      <w:pPr>
        <w:pStyle w:val="32"/>
        <w:widowControl w:val="0"/>
        <w:spacing w:before="0" w:beforeAutospacing="0" w:after="0" w:afterAutospacing="0"/>
        <w:ind w:left="425"/>
        <w:jc w:val="center"/>
        <w:rPr>
          <w:rFonts w:ascii="Arial" w:hAnsi="Arial" w:cs="Arial"/>
          <w:sz w:val="22"/>
          <w:szCs w:val="22"/>
          <w:lang w:val="pt-BR"/>
        </w:rPr>
      </w:pPr>
      <w:r>
        <w:rPr>
          <w:rFonts w:ascii="Arial" w:hAnsi="Arial" w:cs="Arial"/>
          <w:color w:val="000000"/>
          <w:sz w:val="22"/>
          <w:szCs w:val="22"/>
          <w:lang w:val="pt-BR"/>
        </w:rPr>
        <w:t>EM = Encargos moratórios;</w:t>
      </w:r>
    </w:p>
    <w:p>
      <w:pPr>
        <w:pStyle w:val="32"/>
        <w:widowControl w:val="0"/>
        <w:spacing w:before="0" w:beforeAutospacing="0" w:after="0" w:afterAutospacing="0"/>
        <w:ind w:left="425"/>
        <w:jc w:val="center"/>
        <w:rPr>
          <w:rFonts w:ascii="Arial" w:hAnsi="Arial" w:cs="Arial"/>
          <w:sz w:val="22"/>
          <w:szCs w:val="22"/>
          <w:lang w:val="pt-BR"/>
        </w:rPr>
      </w:pPr>
      <w:r>
        <w:rPr>
          <w:rFonts w:ascii="Arial" w:hAnsi="Arial" w:cs="Arial"/>
          <w:color w:val="000000"/>
          <w:sz w:val="22"/>
          <w:szCs w:val="22"/>
          <w:lang w:val="pt-BR"/>
        </w:rPr>
        <w:t>N = Número de dias entre a data prevista para o pagamento e a do efetivo pagamento;</w:t>
      </w:r>
    </w:p>
    <w:p>
      <w:pPr>
        <w:pStyle w:val="32"/>
        <w:widowControl w:val="0"/>
        <w:spacing w:before="0" w:beforeAutospacing="0" w:after="0" w:afterAutospacing="0"/>
        <w:ind w:left="425"/>
        <w:jc w:val="center"/>
        <w:rPr>
          <w:rFonts w:ascii="Arial" w:hAnsi="Arial" w:cs="Arial"/>
          <w:sz w:val="22"/>
          <w:szCs w:val="22"/>
          <w:lang w:val="pt-BR"/>
        </w:rPr>
      </w:pPr>
      <w:r>
        <w:rPr>
          <w:rFonts w:ascii="Arial" w:hAnsi="Arial" w:cs="Arial"/>
          <w:color w:val="000000"/>
          <w:sz w:val="22"/>
          <w:szCs w:val="22"/>
          <w:lang w:val="pt-BR"/>
        </w:rPr>
        <w:t>VP = Valor da parcela a ser paga.</w:t>
      </w:r>
    </w:p>
    <w:p>
      <w:pPr>
        <w:pStyle w:val="32"/>
        <w:widowControl w:val="0"/>
        <w:spacing w:before="0" w:beforeAutospacing="0" w:after="0" w:afterAutospacing="0"/>
        <w:ind w:left="425"/>
        <w:jc w:val="center"/>
        <w:rPr>
          <w:rFonts w:ascii="Arial" w:hAnsi="Arial" w:cs="Arial"/>
          <w:sz w:val="22"/>
          <w:szCs w:val="22"/>
          <w:lang w:val="pt-BR"/>
        </w:rPr>
      </w:pPr>
      <w:r>
        <w:rPr>
          <w:rFonts w:ascii="Arial" w:hAnsi="Arial" w:cs="Arial"/>
          <w:color w:val="000000"/>
          <w:sz w:val="22"/>
          <w:szCs w:val="22"/>
          <w:lang w:val="pt-BR"/>
        </w:rPr>
        <w:t>I = Índice de compensação financeira = 0,00016438, assim apurado:</w:t>
      </w:r>
    </w:p>
    <w:tbl>
      <w:tblPr>
        <w:tblStyle w:val="12"/>
        <w:tblW w:w="9546" w:type="dxa"/>
        <w:tblCellSpacing w:w="0" w:type="dxa"/>
        <w:tblInd w:w="0" w:type="dxa"/>
        <w:shd w:val="clear" w:color="auto" w:fill="auto"/>
        <w:tblLayout w:type="fixed"/>
        <w:tblCellMar>
          <w:top w:w="108" w:type="dxa"/>
          <w:left w:w="108" w:type="dxa"/>
          <w:bottom w:w="108" w:type="dxa"/>
          <w:right w:w="108" w:type="dxa"/>
        </w:tblCellMar>
      </w:tblPr>
      <w:tblGrid>
        <w:gridCol w:w="1760"/>
        <w:gridCol w:w="3087"/>
        <w:gridCol w:w="4699"/>
      </w:tblGrid>
      <w:tr>
        <w:tblPrEx>
          <w:shd w:val="clear" w:color="auto" w:fill="auto"/>
          <w:tblCellMar>
            <w:top w:w="108" w:type="dxa"/>
            <w:left w:w="108" w:type="dxa"/>
            <w:bottom w:w="108" w:type="dxa"/>
            <w:right w:w="108" w:type="dxa"/>
          </w:tblCellMar>
        </w:tblPrEx>
        <w:trPr>
          <w:tblCellSpacing w:w="0" w:type="dxa"/>
        </w:trPr>
        <w:tc>
          <w:tcPr>
            <w:tcW w:w="1760" w:type="dxa"/>
            <w:shd w:val="clear" w:color="auto" w:fill="auto"/>
            <w:tcMar>
              <w:top w:w="0" w:type="dxa"/>
              <w:left w:w="0" w:type="dxa"/>
              <w:bottom w:w="0" w:type="dxa"/>
              <w:right w:w="0" w:type="dxa"/>
            </w:tcMar>
          </w:tcPr>
          <w:p>
            <w:pPr>
              <w:ind w:firstLine="567"/>
              <w:jc w:val="center"/>
              <w:rPr>
                <w:rFonts w:ascii="Arial" w:hAnsi="Arial" w:cs="Arial"/>
                <w:color w:val="00000A"/>
                <w:sz w:val="22"/>
                <w:szCs w:val="22"/>
              </w:rPr>
            </w:pPr>
            <w:r>
              <w:rPr>
                <w:rFonts w:ascii="Arial" w:hAnsi="Arial" w:cs="Arial"/>
                <w:color w:val="000000"/>
                <w:sz w:val="22"/>
                <w:szCs w:val="22"/>
                <w:lang w:val="en-US"/>
              </w:rPr>
              <w:t>I = (TX)</w:t>
            </w:r>
          </w:p>
          <w:p>
            <w:pPr>
              <w:ind w:firstLine="567"/>
              <w:jc w:val="center"/>
              <w:rPr>
                <w:rFonts w:ascii="Arial" w:hAnsi="Arial" w:cs="Arial"/>
                <w:color w:val="00000A"/>
                <w:sz w:val="22"/>
                <w:szCs w:val="22"/>
              </w:rPr>
            </w:pPr>
          </w:p>
        </w:tc>
        <w:tc>
          <w:tcPr>
            <w:tcW w:w="3087" w:type="dxa"/>
            <w:shd w:val="clear" w:color="auto" w:fill="auto"/>
            <w:tcMar>
              <w:top w:w="0" w:type="dxa"/>
              <w:left w:w="0" w:type="dxa"/>
              <w:bottom w:w="0" w:type="dxa"/>
              <w:right w:w="0" w:type="dxa"/>
            </w:tcMar>
          </w:tcPr>
          <w:p>
            <w:pPr>
              <w:ind w:firstLine="567"/>
              <w:jc w:val="center"/>
              <w:rPr>
                <w:rFonts w:ascii="Arial" w:hAnsi="Arial" w:cs="Arial"/>
                <w:color w:val="00000A"/>
                <w:sz w:val="22"/>
                <w:szCs w:val="22"/>
              </w:rPr>
            </w:pPr>
            <w:r>
              <w:rPr>
                <w:rFonts w:ascii="Arial" w:hAnsi="Arial" w:cs="Arial"/>
                <w:color w:val="000000"/>
                <w:sz w:val="22"/>
                <w:szCs w:val="22"/>
                <w:lang w:val="en-US"/>
              </w:rPr>
              <w:t>I = (6/100) / 365</w:t>
            </w:r>
          </w:p>
          <w:p>
            <w:pPr>
              <w:ind w:firstLine="567"/>
              <w:jc w:val="center"/>
              <w:rPr>
                <w:rFonts w:ascii="Arial" w:hAnsi="Arial" w:cs="Arial"/>
                <w:color w:val="00000A"/>
                <w:sz w:val="22"/>
                <w:szCs w:val="22"/>
              </w:rPr>
            </w:pPr>
          </w:p>
          <w:p>
            <w:pPr>
              <w:ind w:firstLine="567"/>
              <w:jc w:val="center"/>
              <w:rPr>
                <w:rFonts w:ascii="Arial" w:hAnsi="Arial" w:cs="Arial"/>
                <w:color w:val="00000A"/>
                <w:sz w:val="22"/>
                <w:szCs w:val="22"/>
              </w:rPr>
            </w:pPr>
          </w:p>
        </w:tc>
        <w:tc>
          <w:tcPr>
            <w:tcW w:w="4699" w:type="dxa"/>
            <w:shd w:val="clear" w:color="auto" w:fill="auto"/>
            <w:tcMar>
              <w:top w:w="0" w:type="dxa"/>
              <w:left w:w="0" w:type="dxa"/>
              <w:bottom w:w="0" w:type="dxa"/>
              <w:right w:w="0" w:type="dxa"/>
            </w:tcMar>
          </w:tcPr>
          <w:p>
            <w:pPr>
              <w:ind w:firstLine="567"/>
              <w:jc w:val="center"/>
              <w:rPr>
                <w:rFonts w:ascii="Arial" w:hAnsi="Arial" w:cs="Arial"/>
                <w:color w:val="00000A"/>
                <w:sz w:val="22"/>
                <w:szCs w:val="22"/>
              </w:rPr>
            </w:pPr>
            <w:r>
              <w:rPr>
                <w:rFonts w:ascii="Arial" w:hAnsi="Arial" w:cs="Arial"/>
                <w:color w:val="000000"/>
                <w:sz w:val="22"/>
                <w:szCs w:val="22"/>
              </w:rPr>
              <w:t>I = 0,00016438</w:t>
            </w:r>
          </w:p>
          <w:p>
            <w:pPr>
              <w:ind w:firstLine="567"/>
              <w:jc w:val="center"/>
              <w:rPr>
                <w:rFonts w:ascii="Arial" w:hAnsi="Arial" w:cs="Arial"/>
                <w:color w:val="00000A"/>
                <w:sz w:val="22"/>
                <w:szCs w:val="22"/>
              </w:rPr>
            </w:pPr>
            <w:r>
              <w:rPr>
                <w:rFonts w:ascii="Arial" w:hAnsi="Arial" w:cs="Arial"/>
                <w:color w:val="000000"/>
                <w:sz w:val="22"/>
                <w:szCs w:val="22"/>
              </w:rPr>
              <w:t>TX = Percentual da taxa anual = 6%.</w:t>
            </w:r>
          </w:p>
          <w:p>
            <w:pPr>
              <w:ind w:firstLine="567"/>
              <w:jc w:val="center"/>
              <w:rPr>
                <w:rFonts w:ascii="Arial" w:hAnsi="Arial" w:cs="Arial"/>
                <w:color w:val="00000A"/>
                <w:sz w:val="22"/>
                <w:szCs w:val="22"/>
              </w:rPr>
            </w:pPr>
          </w:p>
        </w:tc>
      </w:tr>
    </w:tbl>
    <w:p>
      <w:pPr>
        <w:pStyle w:val="145"/>
      </w:pPr>
      <w:bookmarkStart w:id="28" w:name="_Toc380557823"/>
      <w:bookmarkStart w:id="29" w:name="_Toc514666343"/>
      <w:r>
        <w:t>D</w:t>
      </w:r>
      <w:bookmarkEnd w:id="28"/>
      <w:r>
        <w:t xml:space="preserve">A ADJUDICAÇÃO, HOMOLOGAÇÃO E </w:t>
      </w:r>
      <w:bookmarkEnd w:id="29"/>
      <w:r>
        <w:t>CONTRATAÇÃO.</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b/>
        </w:rPr>
        <w:t>23.1.</w:t>
      </w:r>
      <w:r>
        <w:t xml:space="preserve"> Após a proclamação do resultado final da licitação pela Comissão de Licitação, indicando a empresa vencedora do certame, o resultado e o processo licitatório serão encaminhados à autoridade superior para, declarar ou não, a adjudicação e a homologação do resultado da presente licitação.</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t>Após o julgamento realizado pela Comissão de Licitação, a autoridade superior poderá:</w:t>
      </w:r>
    </w:p>
    <w:p>
      <w:pPr>
        <w:pStyle w:val="86"/>
        <w:keepNext w:val="0"/>
        <w:keepLines w:val="0"/>
        <w:pageBreakBefore w:val="0"/>
        <w:widowControl/>
        <w:numPr>
          <w:ilvl w:val="0"/>
          <w:numId w:val="22"/>
        </w:numPr>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sz w:val="22"/>
          <w:szCs w:val="22"/>
        </w:rPr>
        <w:t>Determinar a retificação de irregularidade sanável antes de homologar;</w:t>
      </w:r>
    </w:p>
    <w:p>
      <w:pPr>
        <w:pStyle w:val="86"/>
        <w:keepNext w:val="0"/>
        <w:keepLines w:val="0"/>
        <w:pageBreakBefore w:val="0"/>
        <w:widowControl/>
        <w:numPr>
          <w:ilvl w:val="0"/>
          <w:numId w:val="22"/>
        </w:numPr>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sz w:val="22"/>
          <w:szCs w:val="22"/>
        </w:rPr>
        <w:t>Homologar o resultado, conferindo eficácia à adjudicação para que a Licitante vencedora seja contratada;</w:t>
      </w:r>
    </w:p>
    <w:p>
      <w:pPr>
        <w:pStyle w:val="86"/>
        <w:keepNext w:val="0"/>
        <w:keepLines w:val="0"/>
        <w:pageBreakBefore w:val="0"/>
        <w:widowControl/>
        <w:numPr>
          <w:ilvl w:val="0"/>
          <w:numId w:val="22"/>
        </w:numPr>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sz w:val="22"/>
          <w:szCs w:val="22"/>
        </w:rPr>
        <w:t>Anular o julgamento ou todo o procedimento, se nele encontrar ilegalidade; e,</w:t>
      </w:r>
    </w:p>
    <w:p>
      <w:pPr>
        <w:pStyle w:val="86"/>
        <w:keepNext w:val="0"/>
        <w:keepLines w:val="0"/>
        <w:pageBreakBefore w:val="0"/>
        <w:widowControl/>
        <w:numPr>
          <w:ilvl w:val="0"/>
          <w:numId w:val="22"/>
        </w:numPr>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sz w:val="22"/>
          <w:szCs w:val="22"/>
        </w:rPr>
        <w:t xml:space="preserve">Revogar a licitação por motivo de conveniência ou oportunidade desde que comprovada o ocorrido depois de instaurada à competição; </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pPr>
      <w:r>
        <w:rPr>
          <w:b/>
        </w:rPr>
        <w:t>23.2.</w:t>
      </w:r>
      <w:r>
        <w:t xml:space="preserve"> Os atos de homologação e da contratação serão publicados no Diário Oficial do Estado e Município.</w:t>
      </w:r>
    </w:p>
    <w:p>
      <w:pPr>
        <w:pStyle w:val="145"/>
        <w:keepNext w:val="0"/>
        <w:keepLines w:val="0"/>
        <w:pageBreakBefore w:val="0"/>
        <w:widowControl/>
        <w:kinsoku/>
        <w:wordWrap/>
        <w:overflowPunct/>
        <w:topLinePunct w:val="0"/>
        <w:autoSpaceDE/>
        <w:autoSpaceDN/>
        <w:bidi w:val="0"/>
        <w:adjustRightInd/>
        <w:snapToGrid/>
        <w:spacing w:before="0"/>
        <w:textAlignment w:val="auto"/>
      </w:pPr>
      <w:bookmarkStart w:id="30" w:name="_Toc514666344"/>
      <w:r>
        <w:t>Da DOTAÇÃO ORÇAMENTÁRIA</w:t>
      </w:r>
      <w:bookmarkEnd w:id="30"/>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hint="default"/>
          <w:highlight w:val="none"/>
          <w:lang w:val="pt-BR"/>
        </w:rPr>
      </w:pPr>
      <w:bookmarkStart w:id="31" w:name="_Toc380557831"/>
      <w:r>
        <w:rPr>
          <w:b/>
        </w:rPr>
        <w:t>24.1.</w:t>
      </w:r>
      <w:r>
        <w:t xml:space="preserve"> </w:t>
      </w:r>
      <w:r>
        <w:rPr>
          <w:highlight w:val="none"/>
        </w:rPr>
        <w:t xml:space="preserve">As despesas decorrentes da contratação, objeto desta Licitação, correrão no orçamento da Prefeitura Municipal de Primavera do Leste, na dotação da SECRETARIA MUNICIPAL DE </w:t>
      </w:r>
      <w:r>
        <w:rPr>
          <w:rFonts w:hint="default"/>
          <w:highlight w:val="none"/>
          <w:lang w:val="pt-BR"/>
        </w:rPr>
        <w:t>INFRAESTRUTURA</w:t>
      </w:r>
      <w:r>
        <w:rPr>
          <w:highlight w:val="none"/>
        </w:rPr>
        <w:t>,</w:t>
      </w:r>
      <w:r>
        <w:rPr>
          <w:rFonts w:hint="default"/>
          <w:highlight w:val="none"/>
          <w:lang w:val="pt-BR"/>
        </w:rPr>
        <w:t xml:space="preserve"> a seguir:</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24"/>
          <w:szCs w:val="24"/>
        </w:rPr>
      </w:pPr>
      <w:r>
        <w:rPr>
          <w:rFonts w:hint="default" w:ascii="Arial" w:hAnsi="Arial"/>
          <w:b/>
          <w:color w:val="auto"/>
          <w:sz w:val="24"/>
          <w:szCs w:val="24"/>
        </w:rPr>
        <w:t xml:space="preserve">Secretaria de Municipal de Infraestrutura: </w:t>
      </w:r>
    </w:p>
    <w:tbl>
      <w:tblPr>
        <w:tblStyle w:val="1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70"/>
        <w:gridCol w:w="2155"/>
        <w:gridCol w:w="43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4"/>
              </w:rPr>
            </w:pPr>
            <w:r>
              <w:rPr>
                <w:rFonts w:hint="default" w:ascii="Arial" w:hAnsi="Arial"/>
                <w:b/>
                <w:color w:val="auto"/>
                <w:sz w:val="18"/>
                <w:szCs w:val="24"/>
              </w:rPr>
              <w:t>Und. Orçamentária</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r>
              <w:rPr>
                <w:rFonts w:hint="default" w:ascii="Arial" w:hAnsi="Arial"/>
                <w:color w:val="auto"/>
                <w:sz w:val="18"/>
                <w:szCs w:val="24"/>
              </w:rPr>
              <w:t>09003</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r>
              <w:rPr>
                <w:rFonts w:hint="default" w:ascii="Arial" w:hAnsi="Arial"/>
                <w:color w:val="auto"/>
                <w:sz w:val="18"/>
                <w:szCs w:val="24"/>
              </w:rPr>
              <w:t>Coordenadoria de Estradas de Rodagem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4"/>
              </w:rPr>
            </w:pPr>
            <w:r>
              <w:rPr>
                <w:rFonts w:hint="default" w:ascii="Arial" w:hAnsi="Arial"/>
                <w:b/>
                <w:color w:val="auto"/>
                <w:sz w:val="18"/>
                <w:szCs w:val="24"/>
              </w:rPr>
              <w:t>Unidade executora</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r>
              <w:rPr>
                <w:rFonts w:hint="default" w:ascii="Arial" w:hAnsi="Arial"/>
                <w:color w:val="auto"/>
                <w:sz w:val="18"/>
                <w:szCs w:val="24"/>
              </w:rPr>
              <w:t>09003</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r>
              <w:rPr>
                <w:rFonts w:hint="default" w:ascii="Arial" w:hAnsi="Arial"/>
                <w:color w:val="auto"/>
                <w:sz w:val="18"/>
                <w:szCs w:val="24"/>
              </w:rPr>
              <w:t>Coordenadoria de Estradas de Rodagem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4"/>
              </w:rPr>
            </w:pPr>
            <w:r>
              <w:rPr>
                <w:rFonts w:hint="default" w:ascii="Arial" w:hAnsi="Arial"/>
                <w:b/>
                <w:color w:val="auto"/>
                <w:sz w:val="18"/>
                <w:szCs w:val="24"/>
              </w:rPr>
              <w:t xml:space="preserve">Despesa/fonte </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4"/>
              </w:rPr>
            </w:pPr>
            <w:r>
              <w:rPr>
                <w:rFonts w:hint="default" w:ascii="Arial" w:hAnsi="Arial"/>
                <w:color w:val="auto"/>
                <w:sz w:val="16"/>
                <w:szCs w:val="24"/>
                <w:lang w:val="pt-BR"/>
              </w:rPr>
              <w:t>33</w:t>
            </w:r>
            <w:r>
              <w:rPr>
                <w:rFonts w:hint="default" w:ascii="Arial" w:hAnsi="Arial"/>
                <w:color w:val="auto"/>
                <w:sz w:val="16"/>
                <w:szCs w:val="24"/>
              </w:rPr>
              <w:t>.90.</w:t>
            </w:r>
            <w:r>
              <w:rPr>
                <w:rFonts w:hint="default" w:ascii="Arial" w:hAnsi="Arial"/>
                <w:color w:val="auto"/>
                <w:sz w:val="16"/>
                <w:szCs w:val="24"/>
                <w:lang w:val="pt-BR"/>
              </w:rPr>
              <w:t>39</w:t>
            </w:r>
            <w:r>
              <w:rPr>
                <w:rFonts w:hint="default" w:ascii="Arial" w:hAnsi="Arial"/>
                <w:color w:val="auto"/>
                <w:sz w:val="16"/>
                <w:szCs w:val="24"/>
              </w:rPr>
              <w:t xml:space="preserve">.00 - </w:t>
            </w:r>
            <w:r>
              <w:rPr>
                <w:rFonts w:hint="default" w:ascii="Arial" w:hAnsi="Arial"/>
                <w:color w:val="auto"/>
                <w:sz w:val="16"/>
                <w:szCs w:val="24"/>
                <w:lang w:val="pt-BR"/>
              </w:rPr>
              <w:t>15</w:t>
            </w:r>
            <w:r>
              <w:rPr>
                <w:rFonts w:hint="default" w:ascii="Arial" w:hAnsi="Arial"/>
                <w:color w:val="auto"/>
                <w:sz w:val="16"/>
                <w:szCs w:val="24"/>
              </w:rPr>
              <w:t>00</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r>
              <w:rPr>
                <w:rFonts w:hint="default" w:ascii="Arial" w:hAnsi="Arial"/>
                <w:color w:val="auto"/>
                <w:sz w:val="18"/>
                <w:szCs w:val="24"/>
              </w:rPr>
              <w:t>Outros Serviços de Terceiros – Pessoa Jurídica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4"/>
              </w:rPr>
            </w:pPr>
            <w:r>
              <w:rPr>
                <w:rFonts w:hint="default" w:ascii="Arial" w:hAnsi="Arial"/>
                <w:b/>
                <w:color w:val="auto"/>
                <w:sz w:val="18"/>
                <w:szCs w:val="24"/>
              </w:rPr>
              <w:t xml:space="preserve">Solicitação </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lang w:val="pt-BR"/>
              </w:rPr>
            </w:pPr>
            <w:r>
              <w:rPr>
                <w:rFonts w:hint="default" w:ascii="Arial" w:hAnsi="Arial"/>
                <w:color w:val="auto"/>
                <w:sz w:val="18"/>
                <w:szCs w:val="24"/>
                <w:lang w:val="pt-BR"/>
              </w:rPr>
              <w:t>22/2023</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4"/>
                <w:lang w:val="pt-BR"/>
              </w:rPr>
            </w:pPr>
            <w:r>
              <w:rPr>
                <w:rFonts w:hint="default" w:ascii="Arial" w:hAnsi="Arial"/>
                <w:b/>
                <w:color w:val="auto"/>
                <w:sz w:val="18"/>
                <w:szCs w:val="24"/>
                <w:lang w:val="pt-BR"/>
              </w:rPr>
              <w:t xml:space="preserve">Ficha </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lang w:val="pt-BR"/>
              </w:rPr>
            </w:pPr>
            <w:r>
              <w:rPr>
                <w:rFonts w:hint="default" w:ascii="Arial" w:hAnsi="Arial"/>
                <w:color w:val="auto"/>
                <w:sz w:val="18"/>
                <w:szCs w:val="24"/>
                <w:lang w:val="pt-BR"/>
              </w:rPr>
              <w:t>854</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p>
        </w:tc>
      </w:tr>
    </w:tbl>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hint="default"/>
          <w:highlight w:val="none"/>
          <w:lang w:val="pt-BR"/>
        </w:rPr>
      </w:pP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hint="default"/>
          <w:b/>
          <w:bCs w:val="0"/>
          <w:highlight w:val="none"/>
          <w:lang w:val="pt-BR"/>
        </w:rPr>
      </w:pPr>
      <w:r>
        <w:rPr>
          <w:b/>
          <w:highlight w:val="none"/>
        </w:rPr>
        <w:t>24.2.</w:t>
      </w:r>
      <w:r>
        <w:rPr>
          <w:highlight w:val="none"/>
        </w:rPr>
        <w:t xml:space="preserve"> O valor estimado da presente licitação importa em </w:t>
      </w:r>
      <w:r>
        <w:rPr>
          <w:rFonts w:hint="default"/>
          <w:highlight w:val="none"/>
        </w:rPr>
        <w:t xml:space="preserve"> </w:t>
      </w:r>
      <w:r>
        <w:rPr>
          <w:rFonts w:hint="default"/>
          <w:b/>
          <w:bCs w:val="0"/>
          <w:highlight w:val="none"/>
        </w:rPr>
        <w:t>R$</w:t>
      </w:r>
      <w:r>
        <w:rPr>
          <w:rFonts w:hint="default"/>
          <w:b/>
          <w:bCs w:val="0"/>
          <w:highlight w:val="none"/>
          <w:lang w:val="pt-BR"/>
        </w:rPr>
        <w:t xml:space="preserve"> 86.412,50</w:t>
      </w:r>
      <w:r>
        <w:rPr>
          <w:rFonts w:hint="default"/>
          <w:b/>
          <w:bCs w:val="0"/>
          <w:highlight w:val="none"/>
        </w:rPr>
        <w:t xml:space="preserve"> (</w:t>
      </w:r>
      <w:r>
        <w:rPr>
          <w:rFonts w:hint="default"/>
          <w:b/>
          <w:bCs w:val="0"/>
          <w:highlight w:val="none"/>
          <w:lang w:val="pt-BR"/>
        </w:rPr>
        <w:t>Oitenta e seis mil, quatrocentos e doze mil e cinquenta centavos</w:t>
      </w:r>
      <w:r>
        <w:rPr>
          <w:rFonts w:hint="default"/>
          <w:b/>
          <w:bCs w:val="0"/>
          <w:highlight w:val="none"/>
        </w:rPr>
        <w:t>)</w:t>
      </w:r>
      <w:r>
        <w:rPr>
          <w:rFonts w:hint="default"/>
          <w:b/>
          <w:bCs w:val="0"/>
          <w:highlight w:val="none"/>
          <w:lang w:val="pt-BR"/>
        </w:rPr>
        <w:t>;</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hint="default"/>
          <w:lang w:val="pt-BR"/>
        </w:rPr>
      </w:pPr>
      <w:r>
        <w:rPr>
          <w:b/>
        </w:rPr>
        <w:t>24.</w:t>
      </w:r>
      <w:r>
        <w:rPr>
          <w:rFonts w:hint="default"/>
          <w:b/>
          <w:lang w:val="pt-BR"/>
        </w:rPr>
        <w:t>3</w:t>
      </w:r>
      <w:r>
        <w:rPr>
          <w:b/>
        </w:rPr>
        <w:t>.</w:t>
      </w:r>
      <w:r>
        <w:t xml:space="preserve"> O valor global da proposta não poderá ultrapassar o valor do orçamento base da </w:t>
      </w:r>
      <w:r>
        <w:rPr>
          <w:rFonts w:hint="default"/>
          <w:lang w:val="pt-BR"/>
        </w:rPr>
        <w:t>Prefeitura Municipal de Primavera do Leste - MT.</w:t>
      </w:r>
    </w:p>
    <w:bookmarkEnd w:id="31"/>
    <w:p>
      <w:pPr>
        <w:pStyle w:val="145"/>
      </w:pPr>
      <w:bookmarkStart w:id="32" w:name="_Toc380557832"/>
      <w:bookmarkStart w:id="33" w:name="_Toc514666345"/>
      <w:r>
        <w:t>D</w:t>
      </w:r>
      <w:bookmarkEnd w:id="32"/>
      <w:r>
        <w:t xml:space="preserve">AS </w:t>
      </w:r>
      <w:bookmarkEnd w:id="33"/>
      <w:r>
        <w:t>sanções administrativas</w:t>
      </w: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.1.</w:t>
      </w:r>
      <w:r>
        <w:rPr>
          <w:rFonts w:hint="default" w:ascii="Arial" w:hAnsi="Arial" w:eastAsia="Calibri"/>
          <w:color w:val="000000"/>
          <w:sz w:val="22"/>
          <w:szCs w:val="22"/>
        </w:rPr>
        <w:t xml:space="preserve"> A licitante vencedora que descumprir quaisquer das condições deste instrumento ficará sujeita às penalidades previstas na nos art. 86 e 87 da Lei 8.666/93, quais sejam:</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.1.1.</w:t>
      </w:r>
      <w:r>
        <w:rPr>
          <w:rFonts w:hint="default" w:ascii="Arial" w:hAnsi="Arial" w:eastAsia="Calibri"/>
          <w:color w:val="000000"/>
          <w:sz w:val="22"/>
          <w:szCs w:val="22"/>
        </w:rPr>
        <w:t xml:space="preserve"> Por atraso injustificado na execução do objeto:</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.1.1.1</w:t>
      </w:r>
      <w:r>
        <w:rPr>
          <w:rFonts w:hint="default" w:ascii="Arial" w:hAnsi="Arial" w:eastAsia="Calibri"/>
          <w:color w:val="000000"/>
          <w:sz w:val="22"/>
          <w:szCs w:val="22"/>
        </w:rPr>
        <w:t>. Atraso em até de 50% além do tempo previsto para entrega ou execução, multa diária de até 0,25% (vinte e cinco centésimos por cento) sobre o valor homologado;</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.1.1.2.</w:t>
      </w:r>
      <w:r>
        <w:rPr>
          <w:rFonts w:hint="default" w:ascii="Arial" w:hAnsi="Arial" w:eastAsia="Calibri"/>
          <w:color w:val="000000"/>
          <w:sz w:val="22"/>
          <w:szCs w:val="22"/>
        </w:rPr>
        <w:t xml:space="preserve"> Atraso superior a 50%, multa diária de até 0,50% (cinquenta centésimos por cento) sobre o valor homologado do total dos dias em atraso, sem prejuízo das demais cominações legais;</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.1.1.3.</w:t>
      </w:r>
      <w:r>
        <w:rPr>
          <w:rFonts w:hint="default" w:ascii="Arial" w:hAnsi="Arial" w:eastAsia="Calibri"/>
          <w:color w:val="000000"/>
          <w:sz w:val="22"/>
          <w:szCs w:val="22"/>
        </w:rPr>
        <w:t xml:space="preserve"> No caso de atraso no recolhimento da multa aplicada, incidirá nova multa sobre o valor devido, equivalente até 0,20% (vinte centésimos por cento) sobre o valor homologado, até 10 (dez) dias de atraso e 0,40% (quarenta centésimos por cento) sobre o valor homologado acima desse prazo, calculado sobre o total dos dias em atraso;</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.1.2.</w:t>
      </w:r>
      <w:r>
        <w:rPr>
          <w:rFonts w:hint="default" w:ascii="Arial" w:hAnsi="Arial" w:eastAsia="Calibri"/>
          <w:color w:val="000000"/>
          <w:sz w:val="22"/>
          <w:szCs w:val="22"/>
        </w:rPr>
        <w:t xml:space="preserve"> Pela inexecução parcial ou total das condições estabelecidas neste ato convocatório, a Prefeitura poderá garantida a prévia defesa, aplicar, também, as seguintes sanções:</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tabs>
          <w:tab w:val="left" w:pos="-6237"/>
          <w:tab w:val="left" w:pos="993"/>
        </w:tabs>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.1.2.1.</w:t>
      </w:r>
      <w:r>
        <w:rPr>
          <w:rFonts w:hint="default" w:ascii="Arial" w:hAnsi="Arial" w:eastAsia="Calibri"/>
          <w:b/>
          <w:color w:val="000000"/>
          <w:sz w:val="22"/>
          <w:szCs w:val="22"/>
        </w:rPr>
        <w:tab/>
      </w:r>
      <w:r>
        <w:rPr>
          <w:rFonts w:hint="default" w:ascii="Arial" w:hAnsi="Arial" w:eastAsia="Calibri"/>
          <w:color w:val="000000"/>
          <w:sz w:val="22"/>
          <w:szCs w:val="22"/>
        </w:rPr>
        <w:t>advertência;</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tabs>
          <w:tab w:val="left" w:pos="993"/>
        </w:tabs>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.1.2.2.</w:t>
      </w:r>
      <w:r>
        <w:rPr>
          <w:rFonts w:hint="default" w:ascii="Arial" w:hAnsi="Arial" w:eastAsia="Calibri"/>
          <w:color w:val="000000"/>
          <w:sz w:val="22"/>
          <w:szCs w:val="22"/>
        </w:rPr>
        <w:tab/>
      </w:r>
      <w:r>
        <w:rPr>
          <w:rFonts w:hint="default" w:ascii="Arial" w:hAnsi="Arial" w:eastAsia="Calibri"/>
          <w:color w:val="000000"/>
          <w:sz w:val="22"/>
          <w:szCs w:val="22"/>
        </w:rPr>
        <w:t>multa de até 20% (vinte por cento) sobre o valor homologado, atualizado, recolhida no prazo de 15 (quinze) dias corridos, contados da comunicação oficial, sem embargo de indenização dos prejuízos porventura causados a Prefeitura Municipal de Primavera do Leste;</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tabs>
          <w:tab w:val="left" w:pos="993"/>
        </w:tabs>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.1.2.3.</w:t>
      </w:r>
      <w:r>
        <w:rPr>
          <w:rFonts w:hint="default" w:ascii="Arial" w:hAnsi="Arial" w:eastAsia="Calibri"/>
          <w:color w:val="000000"/>
          <w:sz w:val="22"/>
          <w:szCs w:val="22"/>
        </w:rPr>
        <w:tab/>
      </w:r>
      <w:r>
        <w:rPr>
          <w:rFonts w:hint="default" w:ascii="Arial" w:hAnsi="Arial" w:eastAsia="Calibri"/>
          <w:color w:val="000000"/>
          <w:sz w:val="22"/>
          <w:szCs w:val="22"/>
        </w:rPr>
        <w:t xml:space="preserve">suspensão temporária de participação em licitação e impedimento de licitar e contratar com a Administração Pública Municipal, bem como o cancelamento de seu certificado de registro cadastral no cadastro de fornecedores da Prefeitura Municipal de Primavera do Leste por prazo não superior a 02 (dois) anos; </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tabs>
          <w:tab w:val="left" w:pos="993"/>
        </w:tabs>
        <w:spacing w:after="120"/>
        <w:ind w:right="240" w:rightChars="100"/>
        <w:jc w:val="both"/>
        <w:rPr>
          <w:rFonts w:hint="default" w:ascii="Arial" w:hAnsi="Arial" w:eastAsia="Calibri"/>
          <w:sz w:val="22"/>
          <w:szCs w:val="22"/>
        </w:rPr>
      </w:pPr>
      <w:r>
        <w:rPr>
          <w:rFonts w:hint="default" w:ascii="Arial" w:hAnsi="Arial" w:eastAsia="Calibri"/>
          <w:b/>
          <w:color w:val="000000"/>
          <w:sz w:val="22"/>
          <w:szCs w:val="22"/>
          <w:lang w:val="pt-BR"/>
        </w:rPr>
        <w:t>25</w:t>
      </w:r>
      <w:r>
        <w:rPr>
          <w:rFonts w:hint="default" w:ascii="Arial" w:hAnsi="Arial" w:eastAsia="Calibri"/>
          <w:b/>
          <w:sz w:val="22"/>
          <w:szCs w:val="22"/>
        </w:rPr>
        <w:t>.1.2.4.</w:t>
      </w:r>
      <w:r>
        <w:rPr>
          <w:rFonts w:hint="default" w:ascii="Arial" w:hAnsi="Arial" w:eastAsia="Calibri"/>
          <w:b/>
          <w:sz w:val="22"/>
          <w:szCs w:val="22"/>
        </w:rPr>
        <w:tab/>
      </w:r>
      <w:r>
        <w:rPr>
          <w:rFonts w:hint="default" w:ascii="Arial" w:hAnsi="Arial" w:eastAsia="Calibri"/>
          <w:sz w:val="22"/>
          <w:szCs w:val="22"/>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.2.</w:t>
      </w:r>
      <w:r>
        <w:rPr>
          <w:rFonts w:hint="default" w:ascii="Arial" w:hAnsi="Arial" w:eastAsia="Calibri"/>
          <w:color w:val="000000"/>
          <w:sz w:val="22"/>
          <w:szCs w:val="22"/>
        </w:rPr>
        <w:t xml:space="preserve"> As multas serão descontadas dos créditos da empresa detentora da ata ou cobradas administrativa ou judicialmente; </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.3.</w:t>
      </w:r>
      <w:r>
        <w:rPr>
          <w:rFonts w:hint="default" w:ascii="Arial" w:hAnsi="Arial" w:eastAsia="Calibri"/>
          <w:color w:val="000000"/>
          <w:sz w:val="22"/>
          <w:szCs w:val="22"/>
        </w:rPr>
        <w:t xml:space="preserve"> As penalidades previstas neste item têm caráter de sanção administrativa, consequentemente, a sua aplicação não exime a empresa detentora da ata, da reparação das eventuais perdas e danos que seu ato venha acarretar à Prefeitura Municipal de Primavera do Leste;</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.4.</w:t>
      </w:r>
      <w:r>
        <w:rPr>
          <w:rFonts w:hint="default" w:ascii="Arial" w:hAnsi="Arial" w:eastAsia="Calibri"/>
          <w:color w:val="000000"/>
          <w:sz w:val="22"/>
          <w:szCs w:val="22"/>
        </w:rPr>
        <w:t xml:space="preserve"> As penalidades são independentes e a aplicação de uma não exclui a das demais, quando cabíveis; </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tabs>
          <w:tab w:val="left" w:pos="-6521"/>
          <w:tab w:val="left" w:pos="851"/>
        </w:tabs>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.5.</w:t>
      </w:r>
      <w:r>
        <w:rPr>
          <w:rFonts w:hint="default" w:ascii="Arial" w:hAnsi="Arial" w:eastAsia="Calibri"/>
          <w:color w:val="000000"/>
          <w:sz w:val="22"/>
          <w:szCs w:val="22"/>
        </w:rPr>
        <w:t xml:space="preserve"> Desclassificação ou inabilitação caso o procedimento se encontre em fase de julgamento;</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.5.</w:t>
      </w:r>
      <w:r>
        <w:rPr>
          <w:rFonts w:hint="default" w:ascii="Arial" w:hAnsi="Arial" w:eastAsia="Calibri"/>
          <w:b/>
          <w:color w:val="000000"/>
          <w:sz w:val="22"/>
          <w:szCs w:val="22"/>
          <w:lang w:val="pt-BR"/>
        </w:rPr>
        <w:t>1</w:t>
      </w:r>
      <w:r>
        <w:rPr>
          <w:rFonts w:hint="default" w:ascii="Arial" w:hAnsi="Arial" w:eastAsia="Calibri"/>
          <w:b/>
          <w:color w:val="000000"/>
          <w:sz w:val="22"/>
          <w:szCs w:val="22"/>
        </w:rPr>
        <w:t>.</w:t>
      </w:r>
      <w:r>
        <w:rPr>
          <w:rFonts w:hint="default" w:ascii="Arial" w:hAnsi="Arial" w:eastAsia="Calibri"/>
          <w:color w:val="000000"/>
          <w:sz w:val="22"/>
          <w:szCs w:val="22"/>
        </w:rPr>
        <w:t xml:space="preserve"> Cancelamento da ata de registro de preços, se esta já estiver assinada, procedendo-se a paralisação do fornecimento;</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25</w:t>
      </w:r>
      <w:r>
        <w:rPr>
          <w:rFonts w:hint="default" w:ascii="Arial" w:hAnsi="Arial" w:eastAsia="Calibri"/>
          <w:b/>
          <w:color w:val="000000"/>
          <w:sz w:val="22"/>
          <w:szCs w:val="22"/>
        </w:rPr>
        <w:t>.6.</w:t>
      </w:r>
      <w:r>
        <w:rPr>
          <w:rFonts w:hint="default" w:ascii="Arial" w:hAnsi="Arial" w:eastAsia="Calibri"/>
          <w:color w:val="000000"/>
          <w:sz w:val="22"/>
          <w:szCs w:val="22"/>
        </w:rPr>
        <w:t xml:space="preserve"> As penalidades serão obrigatoriamente registradas no Sistema de Cadastramento de Fornecedores da Prefeitura Municipal de Primavera do Leste, e no caso de ficar impedida de licitar e contratar, a licitante deverá ser descredenciada por igual período, sem prejuízo das multas previstas neste Edital e das demais cominações legais;</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ind w:right="240" w:rightChars="100"/>
        <w:jc w:val="both"/>
        <w:rPr>
          <w:rFonts w:hint="default" w:ascii="Arial" w:hAnsi="Arial" w:eastAsia="Calibri"/>
          <w:sz w:val="24"/>
          <w:szCs w:val="24"/>
        </w:rPr>
      </w:pPr>
      <w:r>
        <w:rPr>
          <w:rFonts w:hint="default" w:ascii="Arial" w:hAnsi="Arial" w:eastAsia="Calibri"/>
          <w:b/>
          <w:color w:val="000000"/>
          <w:sz w:val="22"/>
          <w:szCs w:val="22"/>
          <w:lang w:val="pt-BR"/>
        </w:rPr>
        <w:t>25</w:t>
      </w:r>
      <w:r>
        <w:rPr>
          <w:rFonts w:hint="default" w:ascii="Arial" w:hAnsi="Arial" w:eastAsia="Calibri"/>
          <w:b/>
          <w:sz w:val="22"/>
          <w:szCs w:val="22"/>
        </w:rPr>
        <w:t>.7.</w:t>
      </w:r>
      <w:r>
        <w:rPr>
          <w:rFonts w:hint="default" w:ascii="Arial" w:hAnsi="Arial" w:eastAsia="Calibri"/>
          <w:sz w:val="22"/>
          <w:szCs w:val="22"/>
        </w:rPr>
        <w:t xml:space="preserve"> Do ato que aplicar a penalidade caberá recurso, no prazo de 05 (cinco) dias úteis, a contar da ciência da intimação, podendo a Administração reconsiderar sua decisão ou nesse prazo encaminhá-lo devidamente informados para a apreciação e decisão superior, dentro do mesmo prazo.</w:t>
      </w:r>
    </w:p>
    <w:p>
      <w:pPr>
        <w:pStyle w:val="145"/>
      </w:pPr>
      <w:r>
        <w:t>DA IMPUGNAÇÃO</w:t>
      </w:r>
    </w:p>
    <w:p>
      <w:pPr>
        <w:keepNext w:val="0"/>
        <w:keepLines w:val="0"/>
        <w:pageBreakBefore w:val="0"/>
        <w:widowControl/>
        <w:tabs>
          <w:tab w:val="left" w:pos="567"/>
          <w:tab w:val="left" w:pos="5040"/>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26.1.</w:t>
      </w:r>
      <w:r>
        <w:rPr>
          <w:rFonts w:ascii="Arial" w:hAnsi="Arial" w:cs="Arial"/>
          <w:sz w:val="22"/>
          <w:szCs w:val="22"/>
        </w:rPr>
        <w:t xml:space="preserve"> Decairá do direito de impugnar os termos deste Edital perante esta Administração, o licitante que não o fizer até o segundo dia útil que anteceder a abertura dos envelopes com as propostas, pelas falhas ou irregularidades que viciariam este Edital, hipótese em que tal comunicação não terá efeito de recurso;</w:t>
      </w:r>
    </w:p>
    <w:p>
      <w:pPr>
        <w:keepNext w:val="0"/>
        <w:keepLines w:val="0"/>
        <w:pageBreakBefore w:val="0"/>
        <w:widowControl/>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26.2.</w:t>
      </w:r>
      <w:r>
        <w:rPr>
          <w:rFonts w:ascii="Arial" w:hAnsi="Arial" w:cs="Arial"/>
          <w:sz w:val="22"/>
          <w:szCs w:val="22"/>
        </w:rPr>
        <w:t xml:space="preserve"> Em caso de não haver expediente na Prefeitura de Primavera do Leste, para a data que está marcado o certame, será considerado o dia subsequente; </w:t>
      </w:r>
    </w:p>
    <w:p>
      <w:pPr>
        <w:keepNext w:val="0"/>
        <w:keepLines w:val="0"/>
        <w:pageBreakBefore w:val="0"/>
        <w:widowControl/>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26.3.</w:t>
      </w:r>
      <w:r>
        <w:rPr>
          <w:rFonts w:ascii="Arial" w:hAnsi="Arial" w:cs="Arial"/>
          <w:sz w:val="22"/>
          <w:szCs w:val="22"/>
        </w:rPr>
        <w:t xml:space="preserve"> A impugnação feita tempestivamente pelo licitante não o impedirá de participar do processo licitatório até o trânsito em julgado da decisão a ela pertinente;</w:t>
      </w:r>
    </w:p>
    <w:p>
      <w:pPr>
        <w:keepNext w:val="0"/>
        <w:keepLines w:val="0"/>
        <w:pageBreakBefore w:val="0"/>
        <w:widowControl/>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26.4.</w:t>
      </w:r>
      <w:r>
        <w:rPr>
          <w:rFonts w:ascii="Arial" w:hAnsi="Arial" w:cs="Arial"/>
          <w:sz w:val="22"/>
          <w:szCs w:val="22"/>
        </w:rPr>
        <w:t xml:space="preserve"> Qualquer cidadão é parte legítima para impugnar este Edital por irregularidade na aplicação da Lei nº 8.666, de 1993, devendo protocolar o pedido até 5 (cinco) dias úteis antes da data fixada para a abertura dos envelopes de habilitação, devendo a Administração julgar e responder à impugnação em até 3 (três) dias úteis, sem prejuízo da faculdade prevista no § 1o do art. 113 da Lei nº 8.666, de 1993;</w:t>
      </w:r>
    </w:p>
    <w:p>
      <w:pPr>
        <w:keepNext w:val="0"/>
        <w:keepLines w:val="0"/>
        <w:pageBreakBefore w:val="0"/>
        <w:widowControl/>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26.5.</w:t>
      </w:r>
      <w:r>
        <w:rPr>
          <w:rFonts w:ascii="Arial" w:hAnsi="Arial" w:cs="Arial"/>
          <w:sz w:val="22"/>
          <w:szCs w:val="22"/>
        </w:rPr>
        <w:t xml:space="preserve"> A impugnação poderá ser realizada por petição protocolada na sede da Prefeitura, localizada na Rua Maringá, 444, Centro – Primavera do Leste - MT, setor de Protocolo Geral, com solicitação de encaminhamento urgente ao Setor de Licitações;</w:t>
      </w:r>
    </w:p>
    <w:p>
      <w:pPr>
        <w:keepNext w:val="0"/>
        <w:keepLines w:val="0"/>
        <w:pageBreakBefore w:val="0"/>
        <w:widowControl/>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26.6.</w:t>
      </w:r>
      <w:r>
        <w:rPr>
          <w:rFonts w:ascii="Arial" w:hAnsi="Arial" w:cs="Arial"/>
          <w:sz w:val="22"/>
          <w:szCs w:val="22"/>
        </w:rPr>
        <w:t xml:space="preserve">Os pedidos de esclarecimentos solicitados por escrito serão respondidos e disponibilizados no site </w:t>
      </w:r>
      <w:r>
        <w:fldChar w:fldCharType="begin"/>
      </w:r>
      <w:r>
        <w:instrText xml:space="preserve"> HYPERLINK "http://www.primaveradoleste.gov.mt.br" </w:instrText>
      </w:r>
      <w:r>
        <w:fldChar w:fldCharType="separate"/>
      </w:r>
      <w:r>
        <w:rPr>
          <w:rStyle w:val="17"/>
          <w:rFonts w:ascii="Arial" w:hAnsi="Arial" w:cs="Arial"/>
          <w:sz w:val="22"/>
          <w:szCs w:val="22"/>
        </w:rPr>
        <w:t>www.primaveradoleste.gov.mt.br</w:t>
      </w:r>
      <w:r>
        <w:rPr>
          <w:rStyle w:val="17"/>
          <w:rFonts w:ascii="Arial" w:hAnsi="Arial" w:cs="Arial"/>
          <w:sz w:val="22"/>
          <w:szCs w:val="22"/>
        </w:rPr>
        <w:fldChar w:fldCharType="end"/>
      </w:r>
      <w:r>
        <w:rPr>
          <w:rFonts w:ascii="Arial" w:hAnsi="Arial" w:cs="Arial"/>
          <w:sz w:val="22"/>
          <w:szCs w:val="22"/>
        </w:rPr>
        <w:t>;</w:t>
      </w:r>
    </w:p>
    <w:p>
      <w:pPr>
        <w:keepNext w:val="0"/>
        <w:keepLines w:val="0"/>
        <w:pageBreakBefore w:val="0"/>
        <w:widowControl/>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26.7.</w:t>
      </w:r>
      <w:r>
        <w:rPr>
          <w:rFonts w:ascii="Arial" w:hAnsi="Arial" w:cs="Arial"/>
          <w:sz w:val="22"/>
          <w:szCs w:val="22"/>
        </w:rPr>
        <w:t xml:space="preserve"> Impugnações ou pedidos de esclarecimentos protocolados e/ou enviados por e-mail fora do prazo, não serão considerados;</w:t>
      </w:r>
    </w:p>
    <w:p>
      <w:pPr>
        <w:keepNext w:val="0"/>
        <w:keepLines w:val="0"/>
        <w:pageBreakBefore w:val="0"/>
        <w:widowControl/>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26.8.</w:t>
      </w:r>
      <w:r>
        <w:rPr>
          <w:rFonts w:ascii="Arial" w:hAnsi="Arial" w:cs="Arial"/>
          <w:sz w:val="22"/>
          <w:szCs w:val="22"/>
        </w:rPr>
        <w:t xml:space="preserve"> A Adjudicatária/Contratada poderá ser penalizada inclusive com eventual rescisão do contrato caso à qualidade dos serviços e/ou a presteza no atendimento deixarem de corresponder à expectativa.</w:t>
      </w:r>
    </w:p>
    <w:p>
      <w:pPr>
        <w:pStyle w:val="145"/>
        <w:keepNext w:val="0"/>
        <w:keepLines w:val="0"/>
        <w:pageBreakBefore w:val="0"/>
        <w:widowControl/>
        <w:kinsoku/>
        <w:wordWrap/>
        <w:overflowPunct/>
        <w:topLinePunct w:val="0"/>
        <w:autoSpaceDE/>
        <w:autoSpaceDN/>
        <w:bidi w:val="0"/>
        <w:adjustRightInd/>
        <w:snapToGrid/>
        <w:spacing w:before="0"/>
        <w:textAlignment w:val="auto"/>
      </w:pPr>
      <w:bookmarkStart w:id="34" w:name="_Toc513732637"/>
      <w:bookmarkStart w:id="35" w:name="_Toc385324188"/>
      <w:r>
        <w:t xml:space="preserve"> </w:t>
      </w:r>
      <w:bookmarkStart w:id="36" w:name="_Toc514666346"/>
      <w:r>
        <w:t>DO ACOMPANHAMENTO E DA FISCALIZAÇÃO</w:t>
      </w:r>
      <w:bookmarkEnd w:id="34"/>
      <w:bookmarkEnd w:id="35"/>
      <w:bookmarkEnd w:id="36"/>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b/>
        </w:rPr>
      </w:pPr>
      <w:r>
        <w:rPr>
          <w:b/>
        </w:rPr>
        <w:t>27.1.</w:t>
      </w:r>
      <w:r>
        <w:t xml:space="preserve"> O Município de Primavera do Leste designará como Fiscais de Contrato, a serem intitulados por meio de Portaria, sendo responsáveis por acompanhar, fiscalizar e conferir o recebimento do material ou a execução do serviço,</w:t>
      </w:r>
      <w:r>
        <w:rPr>
          <w:rFonts w:eastAsia="Calibri"/>
        </w:rPr>
        <w:t xml:space="preserve"> </w:t>
      </w:r>
      <w:r>
        <w:t>procedendo ao registro das ocorrências, falhas e/ou defeitos detectados e adotando as providências necessárias ao seu fiel cumprimento, e comunicar por escrito a autoridade superior todas as ocorrências de quaisquer fatos que, a seu critério, exijam medidas corretivas por parte da Contratada, os seguintes:</w:t>
      </w:r>
    </w:p>
    <w:tbl>
      <w:tblPr>
        <w:tblStyle w:val="58"/>
        <w:tblW w:w="9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6"/>
        <w:gridCol w:w="6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6" w:type="dxa"/>
            <w:vAlign w:val="center"/>
          </w:tcPr>
          <w:p>
            <w:pPr>
              <w:pStyle w:val="86"/>
              <w:autoSpaceDE w:val="0"/>
              <w:autoSpaceDN w:val="0"/>
              <w:adjustRightInd w:val="0"/>
              <w:spacing w:after="120"/>
              <w:ind w:left="0"/>
              <w:jc w:val="both"/>
              <w:rPr>
                <w:rFonts w:hint="default" w:ascii="Arial" w:hAnsi="Arial" w:cs="Arial"/>
                <w:sz w:val="22"/>
                <w:szCs w:val="22"/>
                <w:highlight w:val="none"/>
                <w:lang w:val="pt-BR"/>
              </w:rPr>
            </w:pPr>
            <w:r>
              <w:rPr>
                <w:rFonts w:ascii="Arial" w:hAnsi="Arial" w:cs="Arial"/>
                <w:sz w:val="22"/>
                <w:szCs w:val="22"/>
                <w:highlight w:val="none"/>
              </w:rPr>
              <w:t>Fiscal d</w:t>
            </w:r>
            <w:r>
              <w:rPr>
                <w:rFonts w:hint="default" w:ascii="Arial" w:hAnsi="Arial" w:cs="Arial"/>
                <w:sz w:val="22"/>
                <w:szCs w:val="22"/>
                <w:highlight w:val="none"/>
                <w:lang w:val="pt-BR"/>
              </w:rPr>
              <w:t>o projeto</w:t>
            </w:r>
          </w:p>
        </w:tc>
        <w:tc>
          <w:tcPr>
            <w:tcW w:w="6271" w:type="dxa"/>
          </w:tcPr>
          <w:p>
            <w:pPr>
              <w:spacing w:after="120"/>
              <w:ind w:right="215"/>
              <w:jc w:val="both"/>
              <w:rPr>
                <w:rFonts w:hint="default" w:ascii="Arial" w:hAnsi="Arial" w:cs="Arial"/>
                <w:sz w:val="22"/>
                <w:szCs w:val="22"/>
                <w:highlight w:val="none"/>
                <w:lang w:val="pt-BR"/>
              </w:rPr>
            </w:pPr>
            <w:r>
              <w:rPr>
                <w:rFonts w:hint="default" w:ascii="Arial" w:hAnsi="Arial" w:cs="Arial"/>
                <w:sz w:val="22"/>
                <w:szCs w:val="22"/>
                <w:highlight w:val="none"/>
                <w:lang w:val="pt-BR"/>
              </w:rPr>
              <w:t>Gabriel Alexandre</w:t>
            </w:r>
            <w:r>
              <w:rPr>
                <w:rFonts w:ascii="Arial" w:hAnsi="Arial" w:cs="Arial"/>
                <w:sz w:val="22"/>
                <w:szCs w:val="22"/>
                <w:highlight w:val="none"/>
              </w:rPr>
              <w:t xml:space="preserve"> - Engenheiro </w:t>
            </w:r>
            <w:r>
              <w:rPr>
                <w:rFonts w:hint="default" w:ascii="Arial" w:hAnsi="Arial" w:cs="Arial"/>
                <w:sz w:val="22"/>
                <w:szCs w:val="22"/>
                <w:highlight w:val="none"/>
                <w:lang w:val="pt-BR"/>
              </w:rPr>
              <w:t xml:space="preserve">Civil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6" w:type="dxa"/>
            <w:vAlign w:val="center"/>
          </w:tcPr>
          <w:p>
            <w:pPr>
              <w:pStyle w:val="86"/>
              <w:autoSpaceDE w:val="0"/>
              <w:autoSpaceDN w:val="0"/>
              <w:adjustRightInd w:val="0"/>
              <w:spacing w:after="120"/>
              <w:ind w:left="0"/>
              <w:jc w:val="both"/>
              <w:rPr>
                <w:rFonts w:hint="default" w:ascii="Arial" w:hAnsi="Arial" w:cs="Arial"/>
                <w:sz w:val="22"/>
                <w:szCs w:val="22"/>
                <w:highlight w:val="none"/>
                <w:lang w:val="pt-BR"/>
              </w:rPr>
            </w:pPr>
            <w:r>
              <w:rPr>
                <w:rFonts w:ascii="Arial" w:hAnsi="Arial" w:cs="Arial"/>
                <w:sz w:val="22"/>
                <w:szCs w:val="22"/>
                <w:highlight w:val="none"/>
              </w:rPr>
              <w:t>Fiscal</w:t>
            </w:r>
            <w:r>
              <w:rPr>
                <w:rFonts w:hint="default" w:ascii="Arial" w:hAnsi="Arial" w:cs="Arial"/>
                <w:sz w:val="22"/>
                <w:szCs w:val="22"/>
                <w:highlight w:val="none"/>
                <w:lang w:val="pt-BR"/>
              </w:rPr>
              <w:t xml:space="preserve"> de contrato</w:t>
            </w:r>
          </w:p>
        </w:tc>
        <w:tc>
          <w:tcPr>
            <w:tcW w:w="6271" w:type="dxa"/>
          </w:tcPr>
          <w:p>
            <w:pPr>
              <w:spacing w:after="120"/>
              <w:ind w:right="215"/>
              <w:rPr>
                <w:rFonts w:hint="default" w:ascii="Arial" w:hAnsi="Arial" w:cs="Arial"/>
                <w:sz w:val="22"/>
                <w:szCs w:val="22"/>
                <w:highlight w:val="none"/>
                <w:lang w:val="pt-BR"/>
              </w:rPr>
            </w:pPr>
            <w:r>
              <w:rPr>
                <w:rFonts w:hint="default" w:ascii="Arial" w:hAnsi="Arial" w:cs="Arial"/>
                <w:sz w:val="22"/>
                <w:szCs w:val="22"/>
                <w:highlight w:val="none"/>
                <w:lang w:val="pt-BR"/>
              </w:rPr>
              <w:t>Paulo Coimbra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56" w:type="dxa"/>
            <w:vAlign w:val="center"/>
          </w:tcPr>
          <w:p>
            <w:pPr>
              <w:pStyle w:val="86"/>
              <w:autoSpaceDE w:val="0"/>
              <w:autoSpaceDN w:val="0"/>
              <w:adjustRightInd w:val="0"/>
              <w:spacing w:after="120"/>
              <w:ind w:left="0" w:leftChars="0"/>
              <w:jc w:val="both"/>
              <w:rPr>
                <w:rFonts w:hint="default" w:ascii="Arial" w:hAnsi="Arial" w:cs="Arial"/>
                <w:sz w:val="22"/>
                <w:szCs w:val="22"/>
                <w:highlight w:val="none"/>
                <w:lang w:val="pt-BR"/>
              </w:rPr>
            </w:pPr>
            <w:r>
              <w:rPr>
                <w:rFonts w:ascii="Arial" w:hAnsi="Arial" w:cs="Arial"/>
                <w:sz w:val="22"/>
                <w:szCs w:val="22"/>
                <w:highlight w:val="none"/>
              </w:rPr>
              <w:t>Suplente do Fiscal</w:t>
            </w:r>
            <w:r>
              <w:rPr>
                <w:rFonts w:hint="default" w:ascii="Arial" w:hAnsi="Arial" w:cs="Arial"/>
                <w:sz w:val="22"/>
                <w:szCs w:val="22"/>
                <w:highlight w:val="none"/>
                <w:lang w:val="pt-BR"/>
              </w:rPr>
              <w:t xml:space="preserve"> de contrato</w:t>
            </w:r>
          </w:p>
        </w:tc>
        <w:tc>
          <w:tcPr>
            <w:tcW w:w="6271" w:type="dxa"/>
            <w:vAlign w:val="top"/>
          </w:tcPr>
          <w:p>
            <w:pPr>
              <w:spacing w:after="120"/>
              <w:ind w:right="215" w:rightChars="0"/>
              <w:rPr>
                <w:rFonts w:hint="default" w:ascii="Arial" w:hAnsi="Arial" w:cs="Arial"/>
                <w:sz w:val="22"/>
                <w:szCs w:val="22"/>
                <w:highlight w:val="none"/>
                <w:lang w:val="pt-BR"/>
              </w:rPr>
            </w:pPr>
            <w:r>
              <w:rPr>
                <w:rFonts w:hint="default" w:ascii="Arial" w:hAnsi="Arial" w:cs="Arial"/>
                <w:sz w:val="22"/>
                <w:szCs w:val="22"/>
                <w:highlight w:val="none"/>
                <w:lang w:val="pt-BR"/>
              </w:rPr>
              <w:t>Edson Márcio da Silva Xavier</w:t>
            </w:r>
          </w:p>
        </w:tc>
      </w:tr>
    </w:tbl>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b/>
        </w:rPr>
      </w:pPr>
      <w:r>
        <w:rPr>
          <w:b/>
        </w:rPr>
        <w:t>27.2.</w:t>
      </w:r>
      <w:r>
        <w:t xml:space="preserve"> Eventuais alterações dos integrantes da Equipe de Fiscalização deverão ser realizadas por meio de Portaria a ser publicada no Diário Oficial, dispensado o apostilamento.</w:t>
      </w:r>
    </w:p>
    <w:p>
      <w:pPr>
        <w:pStyle w:val="145"/>
        <w:keepNext w:val="0"/>
        <w:keepLines w:val="0"/>
        <w:pageBreakBefore w:val="0"/>
        <w:widowControl/>
        <w:kinsoku/>
        <w:wordWrap/>
        <w:overflowPunct/>
        <w:topLinePunct w:val="0"/>
        <w:autoSpaceDE/>
        <w:autoSpaceDN/>
        <w:bidi w:val="0"/>
        <w:adjustRightInd/>
        <w:snapToGrid/>
        <w:spacing w:before="0"/>
        <w:textAlignment w:val="auto"/>
      </w:pPr>
      <w:bookmarkStart w:id="37" w:name="_Toc514666347"/>
      <w:r>
        <w:t>DAS DISPOSIÇÕES GERAIS</w:t>
      </w:r>
      <w:bookmarkEnd w:id="37"/>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r>
        <w:rPr>
          <w:b/>
        </w:rPr>
        <w:t>28.1.</w:t>
      </w:r>
      <w:r>
        <w:t xml:space="preserve"> O contrato bem como a proposta da licitante vencedora fará parte integrante do edital de TOMADA DE PREÇO</w:t>
      </w:r>
      <w:r>
        <w:rPr>
          <w:rFonts w:hint="default"/>
          <w:lang w:val="pt-BR"/>
        </w:rPr>
        <w:t>S</w:t>
      </w:r>
      <w:r>
        <w:t xml:space="preserve"> n° </w:t>
      </w:r>
      <w:r>
        <w:rPr>
          <w:lang w:val="pt-BR"/>
        </w:rPr>
        <w:t>005/2023</w:t>
      </w:r>
      <w:r>
        <w:t xml:space="preserve"> e seus anexos independentemente de transcrição;</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r>
        <w:rPr>
          <w:b/>
        </w:rPr>
        <w:t>28.2.</w:t>
      </w:r>
      <w:r>
        <w:t xml:space="preserve"> A proponente ao participar do presente certame, expressa automaticamente concordância aos termos deste Edital e seus anexos;</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r>
        <w:rPr>
          <w:b/>
        </w:rPr>
        <w:t>28.3</w:t>
      </w:r>
      <w:r>
        <w:t>. As propostas de preços que forem desclassificadas, serão na própria sessão pública da licitação, devolvidas a seus titulares, caso não haja recursos;</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r>
        <w:rPr>
          <w:b/>
        </w:rPr>
        <w:t>28.4.</w:t>
      </w:r>
      <w:r>
        <w:t xml:space="preserve"> É facultada à autoridade superior, em qualquer fase da licitação, a promoção de diligência destinada a esclarecer ou complementar a instrução do Processo, vedada a inclusão posterior de documento ou informação que deveria constar no ato da sessão pública;</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r>
        <w:rPr>
          <w:b/>
        </w:rPr>
        <w:t>28.5.</w:t>
      </w:r>
      <w:r>
        <w:t xml:space="preserve"> Fica assegurado à CONTRATANTE, o direito de, no interesse da Administração, revogar a qualquer tempo, no todo ou em parte, a presente licitação, dando ciência aos participantes, na forma da legislação vigente;</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r>
        <w:rPr>
          <w:b/>
        </w:rPr>
        <w:t>28.6.</w:t>
      </w:r>
      <w:r>
        <w:t xml:space="preserve"> A proponente é responsável pela fidelidade e legitimidade das informações e/ou documentos apresentados em qualquer fase da licitação;</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r>
        <w:rPr>
          <w:b/>
        </w:rPr>
        <w:t>28.5</w:t>
      </w:r>
      <w:r>
        <w:t>. Após apresentação da proposta, não cabe desistência, da mesma;</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r>
        <w:rPr>
          <w:b/>
        </w:rPr>
        <w:t>28.6.</w:t>
      </w:r>
      <w:r>
        <w:t xml:space="preserve"> Se alguma data marcada ou de fim de contagem de prazos coincidirem com decretação de feriado ou outro fato superveniente de caráter público que impeça a realização de qualquer procedimento, este será automaticamente prorrogado até o primeiro dia útil subsequente;</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r>
        <w:rPr>
          <w:b/>
        </w:rPr>
        <w:t>28.7.</w:t>
      </w:r>
      <w:r>
        <w:t xml:space="preserve"> Na contagem dos prazos estabelecidos neste Edital e seus Anexos excluir-se-á o dia do início e incluir-se-á o do vencimento, em ambos os casos, só se iniciam e vencem os prazos em dias de expediente na Prefeitura Municipal de Primavera do Leste;</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sz w:val="22"/>
          <w:szCs w:val="22"/>
        </w:rPr>
        <w:t>28.8.</w:t>
      </w:r>
      <w:r>
        <w:rPr>
          <w:rFonts w:ascii="Arial" w:hAnsi="Arial" w:cs="Arial"/>
          <w:sz w:val="22"/>
          <w:szCs w:val="22"/>
        </w:rPr>
        <w:t xml:space="preserve"> Serão de inteira responsabilidade da contratada as despesas com pessoal, impostos, material, equipamentos, locação, etc. A autoridade competente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color w:val="000000"/>
          <w:sz w:val="22"/>
          <w:szCs w:val="22"/>
        </w:rPr>
      </w:pPr>
      <w:r>
        <w:rPr>
          <w:rFonts w:ascii="Arial" w:hAnsi="Arial" w:cs="Arial"/>
          <w:b/>
          <w:color w:val="000000"/>
          <w:sz w:val="22"/>
          <w:szCs w:val="22"/>
        </w:rPr>
        <w:t>28.9.</w:t>
      </w:r>
      <w:r>
        <w:rPr>
          <w:rFonts w:ascii="Arial" w:hAnsi="Arial" w:cs="Arial"/>
          <w:color w:val="000000"/>
          <w:sz w:val="22"/>
          <w:szCs w:val="22"/>
        </w:rPr>
        <w:t xml:space="preserve"> A homologação do resultado desta licitação não implicará direito à contratação;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color w:val="000000"/>
          <w:sz w:val="22"/>
          <w:szCs w:val="22"/>
        </w:rPr>
      </w:pPr>
      <w:r>
        <w:rPr>
          <w:rFonts w:ascii="Arial" w:hAnsi="Arial" w:cs="Arial"/>
          <w:b/>
          <w:color w:val="000000"/>
          <w:sz w:val="22"/>
          <w:szCs w:val="22"/>
        </w:rPr>
        <w:t>28.10.</w:t>
      </w:r>
      <w:r>
        <w:rPr>
          <w:rFonts w:ascii="Arial" w:hAnsi="Arial" w:cs="Arial"/>
          <w:color w:val="000000"/>
          <w:sz w:val="22"/>
          <w:szCs w:val="22"/>
        </w:rPr>
        <w:t xml:space="preserve"> Os licitantes assumem todos os custos de preparação e apresentação de suas propostas e a Administração não será, em nenhum caso, responsável por esses custos, independentemente da condução ou do resultado do processo licitatório;</w:t>
      </w:r>
    </w:p>
    <w:p>
      <w:pPr>
        <w:pStyle w:val="373"/>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0" w:beforeAutospacing="0" w:after="120" w:afterAutospacing="0" w:line="240" w:lineRule="auto"/>
        <w:textAlignment w:val="auto"/>
        <w:rPr>
          <w:rFonts w:ascii="Arial" w:hAnsi="Arial" w:cs="Arial"/>
          <w:sz w:val="22"/>
          <w:szCs w:val="22"/>
        </w:rPr>
      </w:pPr>
      <w:r>
        <w:rPr>
          <w:rFonts w:ascii="Arial" w:hAnsi="Arial" w:cs="Arial"/>
          <w:b/>
          <w:sz w:val="22"/>
          <w:szCs w:val="22"/>
        </w:rPr>
        <w:t>28.11.</w:t>
      </w:r>
      <w:r>
        <w:rPr>
          <w:rFonts w:ascii="Arial" w:hAnsi="Arial" w:cs="Arial"/>
          <w:sz w:val="22"/>
          <w:szCs w:val="22"/>
        </w:rPr>
        <w:t xml:space="preserve"> A participação na licitação implica plena aceitação, por parte do licitante, das condições estabelecidas neste instrumento convocatório e seus Anexos, bem como da obrigatoriedade do cumprimento das disposições nele contidas;</w:t>
      </w:r>
    </w:p>
    <w:p>
      <w:pPr>
        <w:pStyle w:val="373"/>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0" w:beforeAutospacing="0" w:after="120" w:afterAutospacing="0" w:line="240" w:lineRule="auto"/>
        <w:textAlignment w:val="auto"/>
        <w:rPr>
          <w:rFonts w:ascii="Arial" w:hAnsi="Arial" w:cs="Arial"/>
          <w:sz w:val="22"/>
          <w:szCs w:val="22"/>
        </w:rPr>
      </w:pPr>
      <w:r>
        <w:rPr>
          <w:rFonts w:ascii="Arial" w:hAnsi="Arial" w:cs="Arial"/>
          <w:b/>
          <w:sz w:val="22"/>
          <w:szCs w:val="22"/>
        </w:rPr>
        <w:t>28.12.</w:t>
      </w:r>
      <w:r>
        <w:rPr>
          <w:rFonts w:ascii="Arial" w:hAnsi="Arial" w:cs="Arial"/>
          <w:sz w:val="22"/>
          <w:szCs w:val="22"/>
        </w:rPr>
        <w:t xml:space="preserve"> Qualquer modificação no instrumento convocatório exige divulgação pelo mesmo instrumento de publicação em que se deu o texto original, reabrindo-se o prazo inicialmente estabelecido, exceto quando, inquestionavelmente, a alteração não afetar a formulação das propostas;</w:t>
      </w:r>
    </w:p>
    <w:p>
      <w:pPr>
        <w:pStyle w:val="373"/>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0" w:beforeAutospacing="0" w:after="120" w:afterAutospacing="0" w:line="240" w:lineRule="auto"/>
        <w:textAlignment w:val="auto"/>
        <w:rPr>
          <w:rFonts w:ascii="Arial" w:hAnsi="Arial" w:cs="Arial"/>
          <w:sz w:val="22"/>
          <w:szCs w:val="22"/>
        </w:rPr>
      </w:pPr>
      <w:r>
        <w:rPr>
          <w:rFonts w:ascii="Arial" w:hAnsi="Arial" w:cs="Arial"/>
          <w:b/>
          <w:sz w:val="22"/>
          <w:szCs w:val="22"/>
        </w:rPr>
        <w:t>28.13.</w:t>
      </w:r>
      <w:r>
        <w:rPr>
          <w:rFonts w:ascii="Arial" w:hAnsi="Arial" w:cs="Arial"/>
          <w:sz w:val="22"/>
          <w:szCs w:val="22"/>
        </w:rPr>
        <w:t xml:space="preserve"> 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da Comissão em sentido contrário;</w:t>
      </w:r>
    </w:p>
    <w:p>
      <w:pPr>
        <w:pStyle w:val="373"/>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0" w:beforeAutospacing="0" w:after="120" w:afterAutospacing="0" w:line="240" w:lineRule="auto"/>
        <w:textAlignment w:val="auto"/>
        <w:rPr>
          <w:rFonts w:ascii="Arial" w:hAnsi="Arial" w:cs="Arial"/>
          <w:sz w:val="22"/>
          <w:szCs w:val="22"/>
        </w:rPr>
      </w:pPr>
      <w:r>
        <w:rPr>
          <w:rFonts w:ascii="Arial" w:hAnsi="Arial" w:cs="Arial"/>
          <w:b/>
          <w:sz w:val="22"/>
          <w:szCs w:val="22"/>
        </w:rPr>
        <w:t>28.14.</w:t>
      </w:r>
      <w:r>
        <w:rPr>
          <w:rFonts w:ascii="Arial" w:hAnsi="Arial" w:cs="Arial"/>
          <w:sz w:val="22"/>
          <w:szCs w:val="22"/>
        </w:rPr>
        <w:t xml:space="preserve"> É facultada à Comissão ou Autoridade Superior, em qualquer fase da licitação, a promoção de diligência destinada a esclarecer ou complementar a instrução do processo, vedada a inclusão posterior de documento ou informação que deveria constar no ato da sessão pública.</w:t>
      </w:r>
    </w:p>
    <w:p>
      <w:pPr>
        <w:pStyle w:val="373"/>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0" w:beforeAutospacing="0" w:after="120" w:afterAutospacing="0" w:line="240" w:lineRule="auto"/>
        <w:textAlignment w:val="auto"/>
        <w:rPr>
          <w:rFonts w:ascii="Arial" w:hAnsi="Arial" w:cs="Arial"/>
          <w:sz w:val="22"/>
          <w:szCs w:val="22"/>
          <w:u w:val="single"/>
          <w:shd w:val="clear" w:color="auto" w:fill="B3B3B3"/>
        </w:rPr>
      </w:pPr>
      <w:r>
        <w:rPr>
          <w:rFonts w:ascii="Arial" w:hAnsi="Arial" w:cs="Arial"/>
          <w:b/>
          <w:sz w:val="22"/>
          <w:szCs w:val="22"/>
        </w:rPr>
        <w:t>28.15.</w:t>
      </w:r>
      <w:r>
        <w:rPr>
          <w:rFonts w:ascii="Arial" w:hAnsi="Arial" w:cs="Arial"/>
          <w:sz w:val="22"/>
          <w:szCs w:val="22"/>
        </w:rPr>
        <w:t xml:space="preserve"> As normas que disciplinam este certame serão sempre interpretadas em favor da ampliação da disputa entre os interessados, desde que não comprometam o interesse da Administração, o princípio da isonomia, a finalidade e a segurança da contratação.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color w:val="000000"/>
          <w:sz w:val="22"/>
          <w:szCs w:val="22"/>
        </w:rPr>
      </w:pPr>
      <w:r>
        <w:rPr>
          <w:rFonts w:ascii="Arial" w:hAnsi="Arial" w:cs="Arial"/>
          <w:b/>
          <w:sz w:val="22"/>
          <w:szCs w:val="22"/>
        </w:rPr>
        <w:t>28.16.</w:t>
      </w:r>
      <w:r>
        <w:rPr>
          <w:rFonts w:ascii="Arial" w:hAnsi="Arial" w:cs="Arial"/>
          <w:sz w:val="22"/>
          <w:szCs w:val="22"/>
        </w:rPr>
        <w:t xml:space="preserve"> Em caso de cobrança pelo fornecimento de cópia da íntegra deste Edital e de seus anexos, o valor se limitará ao custo efetivo da reprodução gráfica de tais documentos, nos termos do artigo 32, § 5°, da Lei n° 8.666, de 1993.</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color w:val="000000"/>
          <w:sz w:val="22"/>
          <w:szCs w:val="22"/>
        </w:rPr>
      </w:pPr>
      <w:r>
        <w:rPr>
          <w:rFonts w:ascii="Arial" w:hAnsi="Arial" w:cs="Arial"/>
          <w:b/>
          <w:color w:val="000000"/>
          <w:sz w:val="22"/>
          <w:szCs w:val="22"/>
        </w:rPr>
        <w:t>28.17.</w:t>
      </w:r>
      <w:r>
        <w:rPr>
          <w:rFonts w:ascii="Arial" w:hAnsi="Arial" w:cs="Arial"/>
          <w:color w:val="000000"/>
          <w:sz w:val="22"/>
          <w:szCs w:val="22"/>
        </w:rPr>
        <w:t xml:space="preserve"> Na contagem dos prazos estabelecidos neste Edital e seus Anexos, </w:t>
      </w:r>
      <w:r>
        <w:rPr>
          <w:rFonts w:ascii="Arial" w:hAnsi="Arial" w:cs="Arial"/>
          <w:b/>
          <w:color w:val="000000"/>
          <w:sz w:val="22"/>
          <w:szCs w:val="22"/>
        </w:rPr>
        <w:t>excluir-se-á o dia do início e incluir-se-á o do vencimento</w:t>
      </w:r>
      <w:r>
        <w:rPr>
          <w:rFonts w:ascii="Arial" w:hAnsi="Arial" w:cs="Arial"/>
          <w:color w:val="000000"/>
          <w:sz w:val="22"/>
          <w:szCs w:val="22"/>
        </w:rPr>
        <w:t>. Só se iniciam e vencem os prazos em dias de expediente na Administração.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color w:val="000000"/>
          <w:sz w:val="22"/>
          <w:szCs w:val="22"/>
        </w:rPr>
      </w:pPr>
      <w:r>
        <w:rPr>
          <w:rFonts w:ascii="Arial" w:hAnsi="Arial" w:cs="Arial"/>
          <w:b/>
          <w:color w:val="000000"/>
          <w:sz w:val="22"/>
          <w:szCs w:val="22"/>
        </w:rPr>
        <w:t>28.18.</w:t>
      </w:r>
      <w:r>
        <w:rPr>
          <w:rFonts w:ascii="Arial" w:hAnsi="Arial" w:cs="Arial"/>
          <w:color w:val="000000"/>
          <w:sz w:val="22"/>
          <w:szCs w:val="22"/>
        </w:rPr>
        <w:t xml:space="preserve"> O desatendimento de exigências formais não essenciais não importará o afastamento do </w:t>
      </w:r>
      <w:r>
        <w:rPr>
          <w:rFonts w:ascii="Arial" w:hAnsi="Arial" w:cs="Arial"/>
          <w:sz w:val="22"/>
          <w:szCs w:val="22"/>
        </w:rPr>
        <w:t>licitante</w:t>
      </w:r>
      <w:r>
        <w:rPr>
          <w:rFonts w:ascii="Arial" w:hAnsi="Arial" w:cs="Arial"/>
          <w:color w:val="000000"/>
          <w:sz w:val="22"/>
          <w:szCs w:val="22"/>
        </w:rPr>
        <w:t>, desde que seja possível o aproveitamento do ato, observados os princípios da isonomia e do interesse público.</w:t>
      </w:r>
    </w:p>
    <w:p>
      <w:pPr>
        <w:keepNext w:val="0"/>
        <w:keepLines w:val="0"/>
        <w:pageBreakBefore w:val="0"/>
        <w:widowControl w:val="0"/>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color w:val="000000"/>
          <w:sz w:val="22"/>
          <w:szCs w:val="22"/>
        </w:rPr>
      </w:pPr>
      <w:r>
        <w:rPr>
          <w:rFonts w:ascii="Arial" w:hAnsi="Arial" w:cs="Arial"/>
          <w:b/>
          <w:color w:val="000000"/>
          <w:sz w:val="22"/>
          <w:szCs w:val="22"/>
        </w:rPr>
        <w:t>28.19.</w:t>
      </w:r>
      <w:r>
        <w:rPr>
          <w:rFonts w:ascii="Arial" w:hAnsi="Arial" w:cs="Arial"/>
          <w:color w:val="000000"/>
          <w:sz w:val="22"/>
          <w:szCs w:val="22"/>
        </w:rPr>
        <w:t xml:space="preserve"> Em caso de divergência entre disposições deste Edital e de seus Anexos ou demais peças que compõem o processo, prevalecerão as deste Edital.</w:t>
      </w:r>
    </w:p>
    <w:p>
      <w:pPr>
        <w:pStyle w:val="373"/>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0" w:beforeAutospacing="0" w:after="120" w:afterAutospacing="0" w:line="240" w:lineRule="auto"/>
        <w:textAlignment w:val="auto"/>
        <w:rPr>
          <w:rFonts w:ascii="Arial" w:hAnsi="Arial" w:cs="Arial"/>
          <w:sz w:val="22"/>
          <w:szCs w:val="22"/>
          <w:u w:val="single"/>
          <w:shd w:val="clear" w:color="auto" w:fill="B3B3B3"/>
        </w:rPr>
      </w:pPr>
      <w:r>
        <w:rPr>
          <w:rFonts w:ascii="Arial" w:hAnsi="Arial" w:cs="Arial"/>
          <w:b/>
          <w:sz w:val="22"/>
          <w:szCs w:val="22"/>
        </w:rPr>
        <w:t>28.20.</w:t>
      </w:r>
      <w:r>
        <w:rPr>
          <w:rFonts w:ascii="Arial" w:hAnsi="Arial" w:cs="Arial"/>
          <w:sz w:val="22"/>
          <w:szCs w:val="22"/>
        </w:rPr>
        <w:t xml:space="preserve"> Os casos omissos serão dirimidos pela Comissão com base nas disposições da Lei n. 8.666, de 1993, e demais diplomas legais eventualmente aplicáveis.</w:t>
      </w:r>
    </w:p>
    <w:p>
      <w:pPr>
        <w:keepNext w:val="0"/>
        <w:keepLines w:val="0"/>
        <w:pageBreakBefore w:val="0"/>
        <w:widowControl w:val="0"/>
        <w:tabs>
          <w:tab w:val="left" w:pos="709"/>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ascii="Arial" w:hAnsi="Arial" w:cs="Arial"/>
          <w:b/>
          <w:color w:val="000000"/>
          <w:sz w:val="22"/>
          <w:szCs w:val="22"/>
        </w:rPr>
        <w:t>28.21.</w:t>
      </w:r>
      <w:r>
        <w:rPr>
          <w:rFonts w:ascii="Arial" w:hAnsi="Arial" w:cs="Arial"/>
          <w:color w:val="000000"/>
          <w:sz w:val="22"/>
          <w:szCs w:val="22"/>
        </w:rPr>
        <w:t xml:space="preserve"> O Edital está disponibilizado, na íntegra, no Setor de Licitações, Rua Maringá, 444, Centro, Primavera do Leste - MT, </w:t>
      </w:r>
      <w:r>
        <w:rPr>
          <w:rFonts w:hint="default" w:ascii="Arial" w:hAnsi="Arial" w:cs="Arial"/>
          <w:color w:val="000000"/>
          <w:sz w:val="22"/>
          <w:szCs w:val="22"/>
          <w:lang w:val="pt-BR"/>
        </w:rPr>
        <w:t>em</w:t>
      </w:r>
      <w:r>
        <w:rPr>
          <w:rFonts w:ascii="Arial" w:hAnsi="Arial" w:cs="Arial"/>
          <w:sz w:val="22"/>
          <w:szCs w:val="22"/>
        </w:rPr>
        <w:t xml:space="preserve"> dias úteis, no horário das 07hs ás 1</w:t>
      </w:r>
      <w:r>
        <w:rPr>
          <w:rFonts w:hint="default" w:ascii="Arial" w:hAnsi="Arial" w:cs="Arial"/>
          <w:sz w:val="22"/>
          <w:szCs w:val="22"/>
          <w:lang w:val="pt-BR"/>
        </w:rPr>
        <w:t>3</w:t>
      </w:r>
      <w:r>
        <w:rPr>
          <w:rFonts w:ascii="Arial" w:hAnsi="Arial" w:cs="Arial"/>
          <w:sz w:val="22"/>
          <w:szCs w:val="22"/>
        </w:rPr>
        <w:t>hs, mesmo endereço e período no qual os autos do processo administrativo</w:t>
      </w:r>
      <w:r>
        <w:rPr>
          <w:rFonts w:ascii="Arial" w:hAnsi="Arial" w:cs="Arial"/>
          <w:color w:val="000000"/>
          <w:sz w:val="22"/>
          <w:szCs w:val="22"/>
        </w:rPr>
        <w:t xml:space="preserve"> permanecerão com vista franqueada aos interessados e onde serão recebidos os documentos de habilitação dos licitantes não credenciados no Cadastro de Fornecedores, para efeito de cadastramento por esta Administração (art. 22, § 2º, da Lei nº 8.666, de 199</w:t>
      </w:r>
      <w:r>
        <w:rPr>
          <w:rFonts w:ascii="Arial" w:hAnsi="Arial" w:cs="Arial"/>
          <w:b w:val="0"/>
          <w:bCs w:val="0"/>
          <w:color w:val="000000"/>
          <w:sz w:val="22"/>
          <w:szCs w:val="22"/>
        </w:rPr>
        <w:t>3</w:t>
      </w:r>
      <w:r>
        <w:rPr>
          <w:rFonts w:ascii="Arial" w:hAnsi="Arial" w:cs="Arial"/>
          <w:b w:val="0"/>
          <w:bCs w:val="0"/>
          <w:sz w:val="22"/>
          <w:szCs w:val="22"/>
        </w:rPr>
        <w:t>)</w:t>
      </w:r>
      <w:r>
        <w:rPr>
          <w:rFonts w:hint="default" w:ascii="Arial" w:hAnsi="Arial" w:cs="Arial"/>
          <w:b w:val="0"/>
          <w:bCs w:val="0"/>
          <w:sz w:val="22"/>
          <w:szCs w:val="22"/>
          <w:lang w:val="pt-BR"/>
        </w:rPr>
        <w:t>,</w:t>
      </w:r>
      <w:r>
        <w:rPr>
          <w:rFonts w:hint="default" w:ascii="Arial" w:hAnsi="Arial" w:cs="Arial"/>
          <w:b/>
          <w:sz w:val="22"/>
          <w:szCs w:val="22"/>
          <w:lang w:val="pt-BR"/>
        </w:rPr>
        <w:t xml:space="preserve"> </w:t>
      </w:r>
      <w:r>
        <w:rPr>
          <w:rFonts w:ascii="Arial" w:hAnsi="Arial" w:cs="Arial"/>
          <w:color w:val="000000"/>
          <w:sz w:val="22"/>
          <w:szCs w:val="22"/>
        </w:rPr>
        <w:t xml:space="preserve">e também poderá ser lido e/ou obtido no endereço eletrônico </w:t>
      </w:r>
      <w:r>
        <w:fldChar w:fldCharType="begin"/>
      </w:r>
      <w:r>
        <w:instrText xml:space="preserve"> HYPERLINK "http://www.primaveradoleste.mt.gov.br" </w:instrText>
      </w:r>
      <w:r>
        <w:fldChar w:fldCharType="separate"/>
      </w:r>
      <w:r>
        <w:rPr>
          <w:rStyle w:val="17"/>
          <w:rFonts w:ascii="Arial" w:hAnsi="Arial" w:cs="Arial"/>
          <w:sz w:val="22"/>
          <w:szCs w:val="22"/>
        </w:rPr>
        <w:t>www.primaveradoleste.mt.gov.br</w:t>
      </w:r>
      <w:r>
        <w:rPr>
          <w:rStyle w:val="17"/>
          <w:rFonts w:ascii="Arial" w:hAnsi="Arial" w:cs="Arial"/>
          <w:sz w:val="22"/>
          <w:szCs w:val="22"/>
        </w:rPr>
        <w:fldChar w:fldCharType="end"/>
      </w:r>
      <w:r>
        <w:rPr>
          <w:rFonts w:ascii="Arial" w:hAnsi="Arial" w:cs="Arial"/>
          <w:color w:val="FF0000"/>
          <w:sz w:val="22"/>
          <w:szCs w:val="22"/>
        </w:rPr>
        <w:t xml:space="preserve"> </w:t>
      </w:r>
      <w:r>
        <w:rPr>
          <w:rFonts w:ascii="Arial" w:hAnsi="Arial" w:cs="Arial"/>
          <w:sz w:val="22"/>
          <w:szCs w:val="22"/>
        </w:rPr>
        <w:t>– “Cidadão” – “Editais e Licitações”</w:t>
      </w:r>
      <w:r>
        <w:rPr>
          <w:rFonts w:ascii="Arial" w:hAnsi="Arial" w:cs="Arial"/>
          <w:b/>
          <w:sz w:val="22"/>
          <w:szCs w:val="22"/>
        </w:rPr>
        <w:t>.</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28.22.</w:t>
      </w:r>
      <w:r>
        <w:t xml:space="preserve"> A homologação do resultado desta licitação não implicará em direito à contratação.</w:t>
      </w:r>
    </w:p>
    <w:p>
      <w:pPr>
        <w:keepNext w:val="0"/>
        <w:keepLines w:val="0"/>
        <w:pageBreakBefore w:val="0"/>
        <w:widowControl w:val="0"/>
        <w:tabs>
          <w:tab w:val="left" w:pos="709"/>
        </w:tabs>
        <w:kinsoku/>
        <w:wordWrap/>
        <w:overflowPunct/>
        <w:topLinePunct w:val="0"/>
        <w:autoSpaceDE/>
        <w:autoSpaceDN/>
        <w:bidi w:val="0"/>
        <w:adjustRightInd/>
        <w:snapToGrid/>
        <w:spacing w:beforeAutospacing="0" w:after="120" w:afterAutospacing="0"/>
        <w:jc w:val="both"/>
        <w:textAlignment w:val="auto"/>
        <w:rPr>
          <w:rFonts w:hint="default" w:ascii="Arial" w:hAnsi="Arial" w:cs="Arial"/>
          <w:sz w:val="22"/>
          <w:szCs w:val="22"/>
          <w:lang w:val="pt-BR"/>
        </w:rPr>
      </w:pPr>
      <w:r>
        <w:rPr>
          <w:rFonts w:ascii="Arial" w:hAnsi="Arial" w:cs="Arial"/>
          <w:b/>
          <w:sz w:val="22"/>
          <w:szCs w:val="22"/>
        </w:rPr>
        <w:t>28.23.</w:t>
      </w:r>
      <w:r>
        <w:rPr>
          <w:rFonts w:ascii="Arial" w:hAnsi="Arial" w:cs="Arial"/>
          <w:sz w:val="22"/>
          <w:szCs w:val="22"/>
        </w:rPr>
        <w:t xml:space="preserve"> O foro para dirimir questões relativas ao presente Edital será o d</w:t>
      </w:r>
      <w:r>
        <w:rPr>
          <w:rFonts w:hint="default" w:ascii="Arial" w:hAnsi="Arial" w:cs="Arial"/>
          <w:sz w:val="22"/>
          <w:szCs w:val="22"/>
          <w:lang w:val="pt-BR"/>
        </w:rPr>
        <w:t>e</w:t>
      </w:r>
      <w:r>
        <w:rPr>
          <w:rFonts w:ascii="Arial" w:hAnsi="Arial" w:cs="Arial"/>
          <w:sz w:val="22"/>
          <w:szCs w:val="22"/>
        </w:rPr>
        <w:t xml:space="preserve"> </w:t>
      </w:r>
      <w:r>
        <w:rPr>
          <w:rFonts w:ascii="Arial" w:hAnsi="Arial" w:cs="Arial"/>
          <w:bCs/>
          <w:sz w:val="22"/>
          <w:szCs w:val="22"/>
        </w:rPr>
        <w:t>Pri</w:t>
      </w:r>
      <w:r>
        <w:rPr>
          <w:rFonts w:ascii="Arial" w:hAnsi="Arial" w:cs="Arial"/>
          <w:sz w:val="22"/>
          <w:szCs w:val="22"/>
        </w:rPr>
        <w:t>mavera do Leste - MT, com exclusão de qualquer outro</w:t>
      </w:r>
      <w:r>
        <w:rPr>
          <w:rFonts w:hint="default" w:ascii="Arial" w:hAnsi="Arial" w:cs="Arial"/>
          <w:sz w:val="22"/>
          <w:szCs w:val="22"/>
          <w:lang w:val="pt-BR"/>
        </w:rPr>
        <w:t>;</w:t>
      </w:r>
    </w:p>
    <w:p>
      <w:pPr>
        <w:keepNext w:val="0"/>
        <w:keepLines w:val="0"/>
        <w:pageBreakBefore w:val="0"/>
        <w:widowControl w:val="0"/>
        <w:tabs>
          <w:tab w:val="left" w:pos="709"/>
        </w:tabs>
        <w:kinsoku/>
        <w:wordWrap/>
        <w:overflowPunct/>
        <w:topLinePunct w:val="0"/>
        <w:autoSpaceDE/>
        <w:autoSpaceDN/>
        <w:bidi w:val="0"/>
        <w:adjustRightInd/>
        <w:snapToGrid/>
        <w:spacing w:beforeAutospacing="0" w:after="120" w:afterAutospacing="0"/>
        <w:jc w:val="both"/>
        <w:textAlignment w:val="auto"/>
        <w:rPr>
          <w:rFonts w:hint="default" w:ascii="Arial" w:hAnsi="Arial" w:cs="Arial"/>
          <w:b/>
          <w:bCs/>
          <w:sz w:val="22"/>
          <w:szCs w:val="22"/>
          <w:lang w:val="pt-BR"/>
        </w:rPr>
      </w:pPr>
      <w:r>
        <w:rPr>
          <w:rFonts w:hint="default" w:ascii="Arial" w:hAnsi="Arial" w:cs="Arial"/>
          <w:b/>
          <w:bCs/>
          <w:sz w:val="22"/>
          <w:szCs w:val="22"/>
          <w:lang w:val="pt-BR"/>
        </w:rPr>
        <w:t xml:space="preserve">28.24. </w:t>
      </w:r>
      <w:r>
        <w:rPr>
          <w:rFonts w:hint="default" w:ascii="Arial" w:hAnsi="Arial" w:cs="Arial"/>
          <w:b w:val="0"/>
          <w:bCs w:val="0"/>
          <w:sz w:val="22"/>
          <w:szCs w:val="22"/>
          <w:lang w:val="pt-BR"/>
        </w:rPr>
        <w:t>Todos os atos pertinentes ao processo licitatório observarão o horário de expediente do Órgão, qual seja das 07:00 às 13:00 horas (horário local). Desta feita, não será aceito pedidos de esclarecimentos, recursos e impugnações protocolizados no último dia previsto após o horário de expediente;</w:t>
      </w:r>
    </w:p>
    <w:p>
      <w:pPr>
        <w:keepNext w:val="0"/>
        <w:keepLines w:val="0"/>
        <w:pageBreakBefore w:val="0"/>
        <w:widowControl w:val="0"/>
        <w:tabs>
          <w:tab w:val="left" w:pos="709"/>
        </w:tabs>
        <w:kinsoku/>
        <w:wordWrap/>
        <w:overflowPunct/>
        <w:topLinePunct w:val="0"/>
        <w:autoSpaceDE/>
        <w:autoSpaceDN/>
        <w:bidi w:val="0"/>
        <w:adjustRightInd/>
        <w:snapToGrid/>
        <w:spacing w:beforeAutospacing="0" w:after="120" w:afterAutospacing="0"/>
        <w:jc w:val="both"/>
        <w:textAlignment w:val="auto"/>
        <w:rPr>
          <w:rFonts w:ascii="Arial" w:hAnsi="Arial" w:cs="Arial"/>
          <w:color w:val="000000"/>
          <w:sz w:val="22"/>
          <w:szCs w:val="22"/>
        </w:rPr>
      </w:pPr>
      <w:r>
        <w:rPr>
          <w:rFonts w:ascii="Arial" w:hAnsi="Arial" w:cs="Arial"/>
          <w:b/>
          <w:color w:val="000000"/>
          <w:sz w:val="22"/>
          <w:szCs w:val="22"/>
        </w:rPr>
        <w:t>28.2</w:t>
      </w:r>
      <w:r>
        <w:rPr>
          <w:rFonts w:hint="default" w:ascii="Arial" w:hAnsi="Arial" w:cs="Arial"/>
          <w:b/>
          <w:color w:val="000000"/>
          <w:sz w:val="22"/>
          <w:szCs w:val="22"/>
          <w:lang w:val="pt-BR"/>
        </w:rPr>
        <w:t>5</w:t>
      </w:r>
      <w:r>
        <w:rPr>
          <w:rFonts w:ascii="Arial" w:hAnsi="Arial" w:cs="Arial"/>
          <w:b/>
          <w:color w:val="000000"/>
          <w:sz w:val="22"/>
          <w:szCs w:val="22"/>
        </w:rPr>
        <w:t>.</w:t>
      </w:r>
      <w:r>
        <w:rPr>
          <w:rFonts w:ascii="Arial" w:hAnsi="Arial" w:cs="Arial"/>
          <w:color w:val="000000"/>
          <w:sz w:val="22"/>
          <w:szCs w:val="22"/>
        </w:rPr>
        <w:t xml:space="preserve"> Integram este Edital, para todos os fins e efeitos, os seguintes anexos:</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I –</w:t>
      </w:r>
      <w:r>
        <w:rPr>
          <w:rFonts w:ascii="Arial" w:hAnsi="Arial" w:cs="Arial"/>
          <w:sz w:val="22"/>
          <w:szCs w:val="22"/>
        </w:rPr>
        <w:t xml:space="preserve"> </w:t>
      </w:r>
      <w:r>
        <w:rPr>
          <w:rFonts w:hint="default" w:ascii="Arial" w:hAnsi="Arial" w:cs="Arial"/>
          <w:sz w:val="22"/>
          <w:szCs w:val="22"/>
          <w:lang w:val="pt-BR"/>
        </w:rPr>
        <w:t>Termo de Referência</w:t>
      </w:r>
      <w:r>
        <w:rPr>
          <w:rFonts w:ascii="Arial" w:hAnsi="Arial" w:cs="Arial"/>
          <w:sz w:val="22"/>
          <w:szCs w:val="22"/>
        </w:rPr>
        <w:t>;</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highlight w:val="none"/>
        </w:rPr>
      </w:pPr>
      <w:r>
        <w:rPr>
          <w:rFonts w:ascii="Arial" w:hAnsi="Arial" w:cs="Arial"/>
          <w:b/>
          <w:sz w:val="22"/>
          <w:szCs w:val="22"/>
          <w:highlight w:val="none"/>
        </w:rPr>
        <w:t>Anexo II –</w:t>
      </w:r>
      <w:r>
        <w:rPr>
          <w:rFonts w:ascii="Arial" w:hAnsi="Arial" w:cs="Arial"/>
          <w:sz w:val="22"/>
          <w:szCs w:val="22"/>
          <w:highlight w:val="none"/>
        </w:rPr>
        <w:t xml:space="preserve"> </w:t>
      </w:r>
      <w:r>
        <w:rPr>
          <w:rFonts w:hint="default" w:ascii="Arial" w:hAnsi="Arial" w:cs="Arial"/>
          <w:sz w:val="22"/>
          <w:szCs w:val="22"/>
          <w:highlight w:val="none"/>
          <w:lang w:val="pt-BR"/>
        </w:rPr>
        <w:t>Proposta Técnica</w:t>
      </w:r>
      <w:r>
        <w:rPr>
          <w:rFonts w:ascii="Arial" w:hAnsi="Arial" w:cs="Arial"/>
          <w:sz w:val="22"/>
          <w:szCs w:val="22"/>
          <w:highlight w:val="none"/>
        </w:rPr>
        <w:t>;</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III –</w:t>
      </w:r>
      <w:r>
        <w:rPr>
          <w:rFonts w:ascii="Arial" w:hAnsi="Arial" w:cs="Arial"/>
          <w:sz w:val="22"/>
          <w:szCs w:val="22"/>
        </w:rPr>
        <w:t xml:space="preserve"> Modelo de Proposta de Preço;</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IV –</w:t>
      </w:r>
      <w:r>
        <w:rPr>
          <w:rFonts w:ascii="Arial" w:hAnsi="Arial" w:cs="Arial"/>
          <w:sz w:val="22"/>
          <w:szCs w:val="22"/>
        </w:rPr>
        <w:t xml:space="preserve"> Modelo de Carta de Credenciamento;</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V –</w:t>
      </w:r>
      <w:r>
        <w:rPr>
          <w:rFonts w:ascii="Arial" w:hAnsi="Arial" w:cs="Arial"/>
          <w:sz w:val="22"/>
          <w:szCs w:val="22"/>
        </w:rPr>
        <w:t xml:space="preserve"> Modelo de Atestado de Capacidade Técnica;</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VI –</w:t>
      </w:r>
      <w:r>
        <w:rPr>
          <w:rFonts w:ascii="Arial" w:hAnsi="Arial" w:cs="Arial"/>
          <w:sz w:val="22"/>
          <w:szCs w:val="22"/>
        </w:rPr>
        <w:t xml:space="preserve"> Modelo de Declaração de Cumprimento dos Requisitos Legais</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VII -</w:t>
      </w:r>
      <w:r>
        <w:rPr>
          <w:rFonts w:ascii="Arial" w:hAnsi="Arial" w:cs="Arial"/>
          <w:sz w:val="22"/>
          <w:szCs w:val="22"/>
        </w:rPr>
        <w:t xml:space="preserve"> Modelo Declaração que Cumpre Plenamente os Requisitos de Habilitação;</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VIII -</w:t>
      </w:r>
      <w:r>
        <w:rPr>
          <w:rFonts w:ascii="Arial" w:hAnsi="Arial" w:cs="Arial"/>
          <w:sz w:val="22"/>
          <w:szCs w:val="22"/>
        </w:rPr>
        <w:t xml:space="preserve"> Modelo Requerimento de Benefício do Tratamento Diferenciado e Declaração para Microempresas e Empresas de Pequeno Porte;</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IX-</w:t>
      </w:r>
      <w:r>
        <w:rPr>
          <w:rFonts w:ascii="Arial" w:hAnsi="Arial" w:cs="Arial"/>
          <w:sz w:val="22"/>
          <w:szCs w:val="22"/>
        </w:rPr>
        <w:t xml:space="preserve"> Modelo Atestado de Visita Técnica;</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X-</w:t>
      </w:r>
      <w:r>
        <w:rPr>
          <w:rFonts w:ascii="Arial" w:hAnsi="Arial" w:cs="Arial"/>
          <w:sz w:val="22"/>
          <w:szCs w:val="22"/>
        </w:rPr>
        <w:t xml:space="preserve"> Modelo de Declaração de Abstenção de Visita Técnica;</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XI–</w:t>
      </w:r>
      <w:r>
        <w:rPr>
          <w:rFonts w:ascii="Arial" w:hAnsi="Arial" w:cs="Arial"/>
          <w:sz w:val="22"/>
          <w:szCs w:val="22"/>
        </w:rPr>
        <w:t xml:space="preserve"> Modelo de Declaração de Operacionalidade dos Equipamentos;</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XII</w:t>
      </w:r>
      <w:r>
        <w:rPr>
          <w:rFonts w:ascii="Arial" w:hAnsi="Arial" w:cs="Arial"/>
          <w:sz w:val="22"/>
          <w:szCs w:val="22"/>
        </w:rPr>
        <w:t xml:space="preserve"> - Modelo de Declaração de Disponibilidade de Pessoal e Condições de Execução     do Objeto;</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XIII–</w:t>
      </w:r>
      <w:r>
        <w:rPr>
          <w:rFonts w:ascii="Arial" w:hAnsi="Arial" w:cs="Arial"/>
          <w:sz w:val="22"/>
          <w:szCs w:val="22"/>
        </w:rPr>
        <w:t xml:space="preserve"> Modelo de Declaração de Conhecimento Cronograma Financeiro </w:t>
      </w:r>
      <w:r>
        <w:rPr>
          <w:rFonts w:hint="default" w:ascii="Arial" w:hAnsi="Arial" w:cs="Arial"/>
          <w:sz w:val="22"/>
          <w:szCs w:val="22"/>
          <w:lang w:val="pt-BR"/>
        </w:rPr>
        <w:t>do projeto</w:t>
      </w:r>
      <w:r>
        <w:rPr>
          <w:rFonts w:ascii="Arial" w:hAnsi="Arial" w:cs="Arial"/>
          <w:sz w:val="22"/>
          <w:szCs w:val="22"/>
        </w:rPr>
        <w:t>;</w:t>
      </w:r>
    </w:p>
    <w:p>
      <w:pPr>
        <w:keepNext w:val="0"/>
        <w:keepLines w:val="0"/>
        <w:pageBreakBefore w:val="0"/>
        <w:kinsoku/>
        <w:wordWrap/>
        <w:overflowPunct/>
        <w:topLinePunct w:val="0"/>
        <w:autoSpaceDE/>
        <w:autoSpaceDN/>
        <w:bidi w:val="0"/>
        <w:adjustRightInd/>
        <w:snapToGrid/>
        <w:spacing w:beforeAutospacing="0" w:after="120" w:afterAutospacing="0"/>
        <w:ind w:left="284"/>
        <w:jc w:val="both"/>
        <w:textAlignment w:val="auto"/>
        <w:rPr>
          <w:rFonts w:ascii="Arial" w:hAnsi="Arial" w:cs="Arial"/>
          <w:sz w:val="22"/>
          <w:szCs w:val="22"/>
        </w:rPr>
      </w:pPr>
      <w:r>
        <w:rPr>
          <w:rFonts w:ascii="Arial" w:hAnsi="Arial" w:cs="Arial"/>
          <w:b/>
          <w:sz w:val="22"/>
          <w:szCs w:val="22"/>
        </w:rPr>
        <w:t>Anexo XIV –</w:t>
      </w:r>
      <w:r>
        <w:rPr>
          <w:rFonts w:ascii="Arial" w:hAnsi="Arial" w:cs="Arial"/>
          <w:sz w:val="22"/>
          <w:szCs w:val="22"/>
        </w:rPr>
        <w:t xml:space="preserve"> Minuta de Contrato;</w:t>
      </w:r>
    </w:p>
    <w:p>
      <w:pPr>
        <w:tabs>
          <w:tab w:val="left" w:pos="1134"/>
        </w:tabs>
        <w:spacing w:line="276" w:lineRule="auto"/>
        <w:ind w:left="1140"/>
        <w:jc w:val="right"/>
        <w:rPr>
          <w:rFonts w:ascii="Arial" w:hAnsi="Arial" w:cs="Arial"/>
          <w:sz w:val="22"/>
          <w:szCs w:val="22"/>
        </w:rPr>
      </w:pPr>
    </w:p>
    <w:p>
      <w:pPr>
        <w:tabs>
          <w:tab w:val="left" w:pos="1134"/>
        </w:tabs>
        <w:spacing w:line="276" w:lineRule="auto"/>
        <w:ind w:left="1140"/>
        <w:jc w:val="right"/>
        <w:rPr>
          <w:rFonts w:ascii="Arial" w:hAnsi="Arial" w:cs="Arial"/>
          <w:sz w:val="22"/>
          <w:szCs w:val="22"/>
        </w:rPr>
      </w:pPr>
      <w:r>
        <w:rPr>
          <w:rFonts w:ascii="Arial" w:hAnsi="Arial" w:cs="Arial"/>
          <w:sz w:val="22"/>
          <w:szCs w:val="22"/>
        </w:rPr>
        <w:t xml:space="preserve">Primavera do Leste/MT, </w:t>
      </w:r>
      <w:r>
        <w:rPr>
          <w:rFonts w:hint="default" w:ascii="Arial" w:hAnsi="Arial" w:cs="Arial"/>
          <w:sz w:val="22"/>
          <w:szCs w:val="22"/>
          <w:lang w:val="pt-BR"/>
        </w:rPr>
        <w:t xml:space="preserve">10 </w:t>
      </w:r>
      <w:r>
        <w:rPr>
          <w:rFonts w:ascii="Arial" w:hAnsi="Arial" w:cs="Arial"/>
          <w:sz w:val="22"/>
          <w:szCs w:val="22"/>
        </w:rPr>
        <w:t>de</w:t>
      </w:r>
      <w:r>
        <w:rPr>
          <w:rFonts w:hint="default" w:ascii="Arial" w:hAnsi="Arial" w:cs="Arial"/>
          <w:sz w:val="22"/>
          <w:szCs w:val="22"/>
          <w:lang w:val="pt-BR"/>
        </w:rPr>
        <w:t xml:space="preserve"> novembro </w:t>
      </w:r>
      <w:r>
        <w:rPr>
          <w:rFonts w:ascii="Arial" w:hAnsi="Arial" w:cs="Arial"/>
          <w:sz w:val="22"/>
          <w:szCs w:val="22"/>
        </w:rPr>
        <w:t xml:space="preserve">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tabs>
          <w:tab w:val="left" w:pos="1134"/>
        </w:tabs>
        <w:spacing w:line="276" w:lineRule="auto"/>
        <w:ind w:left="1140"/>
        <w:jc w:val="right"/>
        <w:rPr>
          <w:rFonts w:ascii="Arial" w:hAnsi="Arial" w:cs="Arial"/>
          <w:sz w:val="22"/>
          <w:szCs w:val="22"/>
        </w:rPr>
      </w:pPr>
    </w:p>
    <w:p>
      <w:pPr>
        <w:tabs>
          <w:tab w:val="left" w:pos="1134"/>
        </w:tabs>
        <w:spacing w:line="276" w:lineRule="auto"/>
        <w:ind w:left="1140"/>
        <w:jc w:val="right"/>
        <w:rPr>
          <w:rFonts w:ascii="Arial" w:hAnsi="Arial" w:cs="Arial"/>
          <w:sz w:val="22"/>
          <w:szCs w:val="22"/>
        </w:rPr>
      </w:pPr>
    </w:p>
    <w:p>
      <w:pPr>
        <w:tabs>
          <w:tab w:val="left" w:pos="1134"/>
        </w:tabs>
        <w:spacing w:line="276" w:lineRule="auto"/>
        <w:ind w:left="1140"/>
        <w:jc w:val="right"/>
        <w:rPr>
          <w:rFonts w:ascii="Arial" w:hAnsi="Arial" w:cs="Arial"/>
          <w:sz w:val="22"/>
          <w:szCs w:val="22"/>
        </w:rPr>
      </w:pPr>
    </w:p>
    <w:p>
      <w:pPr>
        <w:tabs>
          <w:tab w:val="left" w:pos="1134"/>
        </w:tabs>
        <w:spacing w:line="276" w:lineRule="auto"/>
        <w:ind w:left="1140"/>
        <w:jc w:val="right"/>
        <w:rPr>
          <w:rFonts w:ascii="Arial" w:hAnsi="Arial" w:cs="Arial"/>
          <w:sz w:val="22"/>
          <w:szCs w:val="22"/>
        </w:rPr>
      </w:pPr>
    </w:p>
    <w:p>
      <w:pPr>
        <w:spacing w:line="276" w:lineRule="auto"/>
        <w:jc w:val="center"/>
        <w:rPr>
          <w:rFonts w:hint="default" w:ascii="Arial" w:hAnsi="Arial" w:cs="Arial"/>
          <w:sz w:val="22"/>
          <w:szCs w:val="22"/>
          <w:lang w:val="pt-BR"/>
        </w:rPr>
      </w:pPr>
      <w:r>
        <w:rPr>
          <w:rFonts w:hint="default" w:ascii="Arial" w:hAnsi="Arial" w:cs="Arial"/>
          <w:sz w:val="22"/>
          <w:szCs w:val="22"/>
          <w:lang w:val="pt-BR"/>
        </w:rPr>
        <w:t>Adriano Conceição de Paula</w:t>
      </w:r>
    </w:p>
    <w:p>
      <w:pPr>
        <w:tabs>
          <w:tab w:val="right" w:pos="9072"/>
        </w:tabs>
        <w:jc w:val="center"/>
        <w:rPr>
          <w:rFonts w:ascii="Arial" w:hAnsi="Arial" w:cs="Arial"/>
          <w:b/>
          <w:sz w:val="22"/>
          <w:szCs w:val="22"/>
        </w:rPr>
      </w:pPr>
      <w:r>
        <w:rPr>
          <w:rFonts w:ascii="Arial" w:hAnsi="Arial" w:cs="Arial"/>
          <w:b/>
          <w:sz w:val="22"/>
          <w:szCs w:val="22"/>
        </w:rPr>
        <w:t>Presidente da Comissão Permanente de Licitação</w:t>
      </w:r>
    </w:p>
    <w:p>
      <w:pPr>
        <w:tabs>
          <w:tab w:val="right" w:pos="9072"/>
        </w:tabs>
        <w:jc w:val="center"/>
        <w:rPr>
          <w:rFonts w:ascii="Arial" w:hAnsi="Arial" w:cs="Arial"/>
          <w:b/>
          <w:sz w:val="22"/>
          <w:szCs w:val="22"/>
        </w:rPr>
      </w:pPr>
    </w:p>
    <w:p>
      <w:pPr>
        <w:tabs>
          <w:tab w:val="right" w:pos="9072"/>
        </w:tabs>
        <w:jc w:val="center"/>
        <w:rPr>
          <w:rFonts w:ascii="Arial" w:hAnsi="Arial" w:cs="Arial"/>
          <w:b/>
          <w:sz w:val="22"/>
          <w:szCs w:val="22"/>
        </w:rPr>
      </w:pPr>
    </w:p>
    <w:p>
      <w:pPr>
        <w:tabs>
          <w:tab w:val="right" w:pos="9072"/>
        </w:tabs>
        <w:jc w:val="center"/>
        <w:rPr>
          <w:rFonts w:ascii="Arial" w:hAnsi="Arial" w:cs="Arial"/>
          <w:b/>
          <w:sz w:val="22"/>
          <w:szCs w:val="22"/>
        </w:rPr>
      </w:pPr>
    </w:p>
    <w:p>
      <w:pPr>
        <w:tabs>
          <w:tab w:val="right" w:pos="9072"/>
        </w:tabs>
        <w:jc w:val="center"/>
        <w:rPr>
          <w:rFonts w:ascii="Arial" w:hAnsi="Arial" w:cs="Arial"/>
          <w:b/>
          <w:sz w:val="22"/>
          <w:szCs w:val="22"/>
        </w:rPr>
      </w:pPr>
    </w:p>
    <w:p>
      <w:pPr>
        <w:tabs>
          <w:tab w:val="right" w:pos="9072"/>
        </w:tabs>
        <w:jc w:val="center"/>
        <w:rPr>
          <w:rFonts w:ascii="Arial" w:hAnsi="Arial" w:cs="Arial"/>
          <w:b/>
          <w:sz w:val="22"/>
          <w:szCs w:val="22"/>
        </w:rPr>
      </w:pPr>
    </w:p>
    <w:p/>
    <w:p>
      <w:r>
        <w:br w:type="page"/>
      </w:r>
    </w:p>
    <w:p>
      <w:pPr>
        <w:pStyle w:val="198"/>
        <w:rPr>
          <w:rFonts w:hint="default"/>
          <w:lang w:val="pt-BR"/>
        </w:rPr>
      </w:pPr>
      <w:r>
        <w:t xml:space="preserve">ANEXO I – </w:t>
      </w:r>
      <w:r>
        <w:rPr>
          <w:rFonts w:hint="default"/>
          <w:lang w:val="pt-BR"/>
        </w:rPr>
        <w:t>termo de referência</w:t>
      </w:r>
    </w:p>
    <w:p>
      <w:pPr>
        <w:jc w:val="center"/>
        <w:rPr>
          <w:rFonts w:ascii="Arial" w:hAnsi="Arial" w:cs="Arial"/>
          <w:color w:val="000000"/>
          <w:sz w:val="28"/>
          <w:szCs w:val="28"/>
        </w:rPr>
      </w:pPr>
    </w:p>
    <w:p>
      <w:pPr>
        <w:keepNext w:val="0"/>
        <w:keepLines w:val="0"/>
        <w:pageBreakBefore w:val="0"/>
        <w:kinsoku/>
        <w:wordWrap/>
        <w:overflowPunct/>
        <w:topLinePunct w:val="0"/>
        <w:autoSpaceDE/>
        <w:bidi w:val="0"/>
        <w:adjustRightInd/>
        <w:snapToGrid/>
        <w:spacing w:after="0" w:line="360" w:lineRule="auto"/>
        <w:jc w:val="center"/>
        <w:rPr>
          <w:rFonts w:hint="default" w:ascii="Arial" w:hAnsi="Arial"/>
          <w:b/>
          <w:caps/>
          <w:color w:val="auto"/>
          <w:sz w:val="28"/>
          <w:szCs w:val="24"/>
          <w:u w:val="none"/>
          <w:lang w:val="pt-BR"/>
        </w:rPr>
      </w:pPr>
      <w:r>
        <w:rPr>
          <w:rFonts w:hint="default" w:ascii="Arial" w:hAnsi="Arial"/>
          <w:b/>
          <w:caps/>
          <w:color w:val="auto"/>
          <w:sz w:val="28"/>
          <w:szCs w:val="24"/>
          <w:u w:val="none"/>
        </w:rPr>
        <w:t xml:space="preserve">TERMO DE referência </w:t>
      </w:r>
      <w:r>
        <w:rPr>
          <w:rFonts w:hint="default" w:ascii="Arial" w:hAnsi="Arial"/>
          <w:b/>
          <w:caps/>
          <w:color w:val="auto"/>
          <w:sz w:val="28"/>
          <w:szCs w:val="24"/>
          <w:u w:val="none"/>
          <w:lang w:val="pt-BR"/>
        </w:rPr>
        <w:t>N.</w:t>
      </w:r>
      <w:r>
        <w:rPr>
          <w:rFonts w:hint="default" w:ascii="Arial" w:hAnsi="Arial"/>
          <w:b/>
          <w:caps/>
          <w:color w:val="auto"/>
          <w:sz w:val="32"/>
          <w:szCs w:val="28"/>
          <w:u w:val="none"/>
          <w:lang w:val="pt-BR"/>
        </w:rPr>
        <w:t xml:space="preserve">º </w:t>
      </w:r>
      <w:r>
        <w:rPr>
          <w:rFonts w:hint="default" w:ascii="Arial" w:hAnsi="Arial"/>
          <w:b/>
          <w:caps/>
          <w:color w:val="auto"/>
          <w:sz w:val="28"/>
          <w:szCs w:val="24"/>
          <w:u w:val="none"/>
          <w:lang w:val="pt-BR"/>
        </w:rPr>
        <w:t>134</w:t>
      </w:r>
      <w:r>
        <w:rPr>
          <w:rFonts w:hint="default" w:ascii="Arial" w:hAnsi="Arial"/>
          <w:b/>
          <w:caps/>
          <w:color w:val="auto"/>
          <w:sz w:val="28"/>
          <w:szCs w:val="24"/>
          <w:u w:val="none"/>
        </w:rPr>
        <w:t>/</w:t>
      </w:r>
      <w:r>
        <w:rPr>
          <w:rFonts w:hint="default" w:ascii="Arial" w:hAnsi="Arial"/>
          <w:b/>
          <w:caps/>
          <w:color w:val="auto"/>
          <w:sz w:val="28"/>
          <w:szCs w:val="24"/>
          <w:u w:val="none"/>
          <w:lang w:val="pt-BR"/>
        </w:rPr>
        <w:t>2022</w:t>
      </w:r>
    </w:p>
    <w:p>
      <w:pPr>
        <w:keepNext w:val="0"/>
        <w:keepLines w:val="0"/>
        <w:pageBreakBefore w:val="0"/>
        <w:kinsoku/>
        <w:wordWrap/>
        <w:overflowPunct/>
        <w:topLinePunct w:val="0"/>
        <w:autoSpaceDE/>
        <w:bidi w:val="0"/>
        <w:adjustRightInd/>
        <w:snapToGrid/>
        <w:spacing w:after="0" w:line="360" w:lineRule="auto"/>
        <w:jc w:val="center"/>
        <w:rPr>
          <w:rFonts w:hint="default" w:ascii="Arial" w:hAnsi="Arial"/>
          <w:b/>
          <w:caps/>
          <w:color w:val="auto"/>
          <w:sz w:val="24"/>
          <w:szCs w:val="22"/>
          <w:u w:val="single"/>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1. CLÁUSULA PRIMEIRA - DO OBJETO</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rPr>
      </w:pPr>
      <w:r>
        <w:rPr>
          <w:rFonts w:hint="default" w:ascii="Arial" w:hAnsi="Arial"/>
          <w:color w:val="auto"/>
          <w:sz w:val="22"/>
          <w:szCs w:val="22"/>
          <w:lang w:val="pt-BR"/>
        </w:rPr>
        <w:t xml:space="preserve">1.1. </w:t>
      </w:r>
      <w:r>
        <w:rPr>
          <w:rFonts w:hint="default" w:ascii="Arial" w:hAnsi="Arial"/>
          <w:color w:val="auto"/>
          <w:sz w:val="22"/>
          <w:szCs w:val="22"/>
        </w:rPr>
        <w:t xml:space="preserve">Contratação de pessoa jurídica especializada na elaboração de projeto básico e executivo </w:t>
      </w:r>
      <w:r>
        <w:rPr>
          <w:rFonts w:hint="default" w:ascii="Arial" w:hAnsi="Arial"/>
          <w:color w:val="auto"/>
          <w:sz w:val="22"/>
          <w:szCs w:val="22"/>
          <w:lang w:val="pt-BR"/>
        </w:rPr>
        <w:t>de</w:t>
      </w:r>
      <w:r>
        <w:rPr>
          <w:rFonts w:hint="default" w:ascii="Arial" w:hAnsi="Arial"/>
          <w:color w:val="auto"/>
          <w:sz w:val="22"/>
          <w:szCs w:val="22"/>
        </w:rPr>
        <w:t xml:space="preserve"> </w:t>
      </w:r>
      <w:r>
        <w:rPr>
          <w:rFonts w:hint="default" w:ascii="Arial" w:hAnsi="Arial"/>
          <w:color w:val="auto"/>
          <w:sz w:val="22"/>
          <w:szCs w:val="22"/>
          <w:lang w:val="pt-BR"/>
        </w:rPr>
        <w:t>uma rede de drenagem urbana para o transporte de águas pluviais de uma área localizada no centro do município (Mapa 01) para o destino final localizado na área de mata após, aproximadamente 550 metros, o Prédio que se encontra instalado o Jornal O diário (as margens da rodovia Federal BR 070). O trecho desde do inicio até o ponto final possui  aproximadamente de 2.550 metros de extensão</w:t>
      </w:r>
      <w:r>
        <w:rPr>
          <w:rFonts w:hint="default" w:ascii="Arial" w:hAnsi="Arial"/>
          <w:color w:val="auto"/>
          <w:sz w:val="22"/>
          <w:szCs w:val="22"/>
        </w:rPr>
        <w:t>.</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lang w:val="pt-BR"/>
        </w:rPr>
      </w:pP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lang w:val="pt-BR"/>
        </w:rPr>
      </w:pPr>
      <w:r>
        <w:rPr>
          <w:rFonts w:hint="default" w:ascii="Arial" w:hAnsi="Arial"/>
          <w:color w:val="auto"/>
          <w:sz w:val="22"/>
          <w:szCs w:val="22"/>
          <w:lang w:val="pt-BR"/>
        </w:rPr>
        <w:pict>
          <v:shape id="_x0000_i1025" o:spt="75" alt="MAPA - distância do trecho" type="#_x0000_t75" style="height:275.45pt;width:459pt;" filled="f" o:preferrelative="t" stroked="f" coordsize="21600,21600">
            <v:path/>
            <v:fill on="f" focussize="0,0"/>
            <v:stroke on="f"/>
            <v:imagedata r:id="rId7" o:title="MAPA - distância do trecho"/>
            <o:lock v:ext="edit" aspectratio="t"/>
            <w10:wrap type="none"/>
            <w10:anchorlock/>
          </v:shape>
        </w:pict>
      </w:r>
    </w:p>
    <w:p>
      <w:pPr>
        <w:pStyle w:val="46"/>
        <w:keepNext w:val="0"/>
        <w:keepLines w:val="0"/>
        <w:pageBreakBefore w:val="0"/>
        <w:kinsoku/>
        <w:wordWrap/>
        <w:overflowPunct/>
        <w:topLinePunct w:val="0"/>
        <w:autoSpaceDE/>
        <w:bidi w:val="0"/>
        <w:adjustRightInd/>
        <w:snapToGrid/>
        <w:spacing w:line="360" w:lineRule="auto"/>
        <w:jc w:val="both"/>
        <w:rPr>
          <w:rFonts w:hint="default" w:ascii="Arial" w:hAnsi="Arial"/>
          <w:i/>
          <w:iCs/>
          <w:color w:val="auto"/>
          <w:sz w:val="28"/>
          <w:szCs w:val="28"/>
          <w:lang w:val="pt-BR"/>
        </w:rPr>
      </w:pPr>
      <w:r>
        <w:rPr>
          <w:i/>
          <w:iCs/>
          <w:color w:val="auto"/>
          <w:sz w:val="20"/>
          <w:szCs w:val="20"/>
          <w:lang w:val="pt-BR"/>
        </w:rPr>
        <w:t>Mapa</w:t>
      </w:r>
      <w:r>
        <w:rPr>
          <w:i/>
          <w:iCs/>
          <w:color w:val="auto"/>
          <w:sz w:val="20"/>
          <w:szCs w:val="20"/>
        </w:rPr>
        <w:t xml:space="preserve"> </w:t>
      </w:r>
      <w:r>
        <w:rPr>
          <w:i/>
          <w:iCs/>
          <w:color w:val="auto"/>
          <w:sz w:val="20"/>
          <w:szCs w:val="20"/>
          <w:lang w:val="pt-BR"/>
        </w:rPr>
        <w:t>01: Traçado para possível rede de drenagem</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lang w:val="pt-BR"/>
        </w:rPr>
      </w:pPr>
    </w:p>
    <w:p>
      <w:pPr>
        <w:keepNext w:val="0"/>
        <w:keepLines w:val="0"/>
        <w:pageBreakBefore w:val="0"/>
        <w:numPr>
          <w:ilvl w:val="0"/>
          <w:numId w:val="24"/>
        </w:numPr>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CLÁUSULA SEGUNDA  –  DO OBJETIVO</w:t>
      </w:r>
    </w:p>
    <w:p>
      <w:pPr>
        <w:pStyle w:val="203"/>
        <w:keepNext w:val="0"/>
        <w:keepLines w:val="0"/>
        <w:pageBreakBefore w:val="0"/>
        <w:numPr>
          <w:ilvl w:val="1"/>
          <w:numId w:val="24"/>
        </w:numPr>
        <w:kinsoku/>
        <w:wordWrap/>
        <w:overflowPunct/>
        <w:topLinePunct w:val="0"/>
        <w:autoSpaceDE/>
        <w:bidi w:val="0"/>
        <w:adjustRightInd/>
        <w:snapToGrid/>
        <w:spacing w:line="360" w:lineRule="auto"/>
        <w:ind w:left="0" w:leftChars="0" w:firstLine="0" w:firstLineChars="0"/>
        <w:jc w:val="both"/>
        <w:rPr>
          <w:rFonts w:hint="default" w:ascii="Arial" w:hAnsi="Arial"/>
          <w:color w:val="auto"/>
          <w:sz w:val="22"/>
          <w:szCs w:val="22"/>
          <w:lang w:val="pt-BR"/>
        </w:rPr>
      </w:pPr>
      <w:r>
        <w:rPr>
          <w:rFonts w:hint="default" w:ascii="Arial" w:hAnsi="Arial"/>
          <w:color w:val="auto"/>
          <w:sz w:val="22"/>
          <w:szCs w:val="22"/>
          <w:lang w:val="pt-BR"/>
        </w:rPr>
        <w:t>O projeto da nova rede tem como objetivo dar novo destino a parte das águas pluviais recolhidas no centro do município, (oriundas de rede de drenagem na Av. Porto Alegre, Av. Cuiabá, Rua Piracicaba e Av. São Paulo) que atualmente  possuem como desague a região que se encontra os bairros Jardim Santa Clara e Jardim Progresso II (Mapa 02), para o novo destino após o Prédio do Jornal O Diário.</w:t>
      </w:r>
    </w:p>
    <w:p>
      <w:pPr>
        <w:pStyle w:val="203"/>
        <w:keepNext w:val="0"/>
        <w:keepLines w:val="0"/>
        <w:pageBreakBefore w:val="0"/>
        <w:numPr>
          <w:ilvl w:val="1"/>
          <w:numId w:val="24"/>
        </w:numPr>
        <w:kinsoku/>
        <w:wordWrap/>
        <w:overflowPunct/>
        <w:topLinePunct w:val="0"/>
        <w:autoSpaceDE/>
        <w:bidi w:val="0"/>
        <w:adjustRightInd/>
        <w:snapToGrid/>
        <w:spacing w:line="360" w:lineRule="auto"/>
        <w:ind w:left="0" w:leftChars="0" w:firstLine="0" w:firstLineChars="0"/>
        <w:jc w:val="both"/>
        <w:rPr>
          <w:rFonts w:hint="default" w:ascii="Arial" w:hAnsi="Arial"/>
          <w:color w:val="auto"/>
          <w:sz w:val="22"/>
          <w:szCs w:val="22"/>
          <w:lang w:val="pt-BR"/>
        </w:rPr>
      </w:pPr>
      <w:r>
        <w:rPr>
          <w:rFonts w:hint="default" w:ascii="Arial" w:hAnsi="Arial"/>
          <w:color w:val="auto"/>
          <w:sz w:val="22"/>
          <w:szCs w:val="22"/>
          <w:lang w:val="pt-BR"/>
        </w:rPr>
        <w:t>A concentração de várias redes de drenagem com mesmo destino provocou e tem provocado a erosão do leito do Rio Coité, desde o ponto de inicio do deságue até trecho de locais mais distante como a Ponte que está localizada na Região do novo Poxoréu (distância da origem do deságue aprox. 4.200 metro) Mapa 03.</w:t>
      </w:r>
    </w:p>
    <w:p>
      <w:pPr>
        <w:pStyle w:val="203"/>
        <w:keepNext w:val="0"/>
        <w:keepLines w:val="0"/>
        <w:pageBreakBefore w:val="0"/>
        <w:numPr>
          <w:ilvl w:val="0"/>
          <w:numId w:val="0"/>
        </w:numPr>
        <w:kinsoku/>
        <w:wordWrap/>
        <w:overflowPunct/>
        <w:topLinePunct w:val="0"/>
        <w:autoSpaceDE/>
        <w:bidi w:val="0"/>
        <w:adjustRightInd/>
        <w:snapToGrid/>
        <w:spacing w:line="360" w:lineRule="auto"/>
        <w:ind w:leftChars="0" w:firstLine="700" w:firstLineChars="0"/>
        <w:jc w:val="both"/>
        <w:rPr>
          <w:rFonts w:hint="default" w:ascii="Arial" w:hAnsi="Arial"/>
          <w:b/>
          <w:bCs/>
          <w:i/>
          <w:iCs/>
          <w:color w:val="FF0000"/>
          <w:sz w:val="22"/>
          <w:szCs w:val="22"/>
          <w:lang w:val="pt-BR"/>
        </w:rPr>
      </w:pPr>
    </w:p>
    <w:p>
      <w:pPr>
        <w:pStyle w:val="203"/>
        <w:keepNext w:val="0"/>
        <w:keepLines w:val="0"/>
        <w:pageBreakBefore w:val="0"/>
        <w:numPr>
          <w:ilvl w:val="0"/>
          <w:numId w:val="0"/>
        </w:numPr>
        <w:kinsoku/>
        <w:wordWrap/>
        <w:overflowPunct/>
        <w:topLinePunct w:val="0"/>
        <w:autoSpaceDE/>
        <w:bidi w:val="0"/>
        <w:adjustRightInd/>
        <w:snapToGrid/>
        <w:spacing w:line="360" w:lineRule="auto"/>
        <w:jc w:val="both"/>
        <w:rPr>
          <w:rFonts w:hint="default" w:ascii="Arial" w:hAnsi="Arial"/>
          <w:b/>
          <w:bCs/>
          <w:i/>
          <w:iCs/>
          <w:color w:val="FF0000"/>
          <w:sz w:val="22"/>
          <w:szCs w:val="22"/>
          <w:lang w:val="pt-BR"/>
        </w:rPr>
      </w:pPr>
      <w:r>
        <w:rPr>
          <w:rFonts w:hint="default" w:ascii="Arial" w:hAnsi="Arial"/>
          <w:b/>
          <w:bCs/>
          <w:i/>
          <w:iCs/>
          <w:color w:val="FF0000"/>
          <w:sz w:val="22"/>
          <w:szCs w:val="22"/>
          <w:lang w:val="pt-BR"/>
        </w:rPr>
        <w:pict>
          <v:shape id="_x0000_i1026" o:spt="75" alt="Mapa 03 - Redes existentes" type="#_x0000_t75" style="height:286.4pt;width:456.8pt;" filled="f" o:preferrelative="t" stroked="f" coordsize="21600,21600">
            <v:path/>
            <v:fill on="f" focussize="0,0"/>
            <v:stroke on="f"/>
            <v:imagedata r:id="rId8" o:title="Mapa 03 - Redes existentes"/>
            <o:lock v:ext="edit" aspectratio="t"/>
            <w10:wrap type="none"/>
            <w10:anchorlock/>
          </v:shape>
        </w:pict>
      </w:r>
    </w:p>
    <w:p>
      <w:pPr>
        <w:pStyle w:val="46"/>
        <w:keepNext w:val="0"/>
        <w:keepLines w:val="0"/>
        <w:pageBreakBefore w:val="0"/>
        <w:kinsoku/>
        <w:wordWrap/>
        <w:overflowPunct/>
        <w:topLinePunct w:val="0"/>
        <w:autoSpaceDE/>
        <w:bidi w:val="0"/>
        <w:adjustRightInd/>
        <w:snapToGrid/>
        <w:spacing w:line="360" w:lineRule="auto"/>
        <w:jc w:val="both"/>
        <w:rPr>
          <w:rFonts w:hint="default"/>
          <w:i/>
          <w:iCs/>
          <w:color w:val="auto"/>
          <w:sz w:val="20"/>
          <w:szCs w:val="20"/>
          <w:lang w:val="pt-BR"/>
        </w:rPr>
      </w:pPr>
      <w:r>
        <w:rPr>
          <w:i/>
          <w:iCs/>
          <w:color w:val="auto"/>
          <w:sz w:val="20"/>
          <w:szCs w:val="20"/>
          <w:lang w:val="pt-BR"/>
        </w:rPr>
        <w:t>Mapa  02: Redes Existentes e seu ponto de destino</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bCs/>
          <w:i/>
          <w:iCs/>
          <w:color w:val="auto"/>
          <w:sz w:val="22"/>
          <w:szCs w:val="22"/>
          <w:lang w:val="pt-BR"/>
        </w:rPr>
      </w:pPr>
      <w:r>
        <w:rPr>
          <w:rFonts w:hint="default" w:ascii="Arial" w:hAnsi="Arial"/>
          <w:b/>
          <w:bCs/>
          <w:i/>
          <w:iCs/>
          <w:color w:val="auto"/>
          <w:sz w:val="22"/>
          <w:szCs w:val="22"/>
          <w:lang w:val="pt-BR"/>
        </w:rPr>
        <w:t>LEGENDA (Mapa 02):</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lang w:val="pt-BR"/>
        </w:rPr>
      </w:pPr>
      <w:r>
        <w:rPr>
          <w:rFonts w:hint="default" w:ascii="Arial" w:hAnsi="Arial"/>
          <w:b/>
          <w:bCs/>
          <w:color w:val="FFFF00"/>
          <w:sz w:val="22"/>
          <w:szCs w:val="22"/>
          <w:lang w:val="pt-BR"/>
        </w:rPr>
        <w:t>-------</w:t>
      </w:r>
      <w:r>
        <w:rPr>
          <w:rFonts w:hint="default" w:ascii="Arial" w:hAnsi="Arial"/>
          <w:color w:val="FFFF00"/>
          <w:sz w:val="22"/>
          <w:szCs w:val="22"/>
          <w:lang w:val="pt-BR"/>
        </w:rPr>
        <w:t>-</w:t>
      </w:r>
      <w:r>
        <w:rPr>
          <w:rFonts w:hint="default" w:ascii="Arial" w:hAnsi="Arial"/>
          <w:color w:val="auto"/>
          <w:sz w:val="22"/>
          <w:szCs w:val="22"/>
          <w:lang w:val="pt-BR"/>
        </w:rPr>
        <w:t xml:space="preserve"> Rede de drenagem localizada na Av. São Paulo</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lang w:val="pt-BR"/>
        </w:rPr>
      </w:pPr>
      <w:r>
        <w:rPr>
          <w:rFonts w:hint="default" w:ascii="Arial" w:hAnsi="Arial"/>
          <w:b/>
          <w:bCs/>
          <w:color w:val="FF0000"/>
          <w:sz w:val="22"/>
          <w:szCs w:val="22"/>
          <w:lang w:val="pt-BR"/>
        </w:rPr>
        <w:t>-------</w:t>
      </w:r>
      <w:r>
        <w:rPr>
          <w:rFonts w:hint="default" w:ascii="Arial" w:hAnsi="Arial"/>
          <w:color w:val="FFFF00"/>
          <w:sz w:val="22"/>
          <w:szCs w:val="22"/>
          <w:lang w:val="pt-BR"/>
        </w:rPr>
        <w:t>-</w:t>
      </w:r>
      <w:r>
        <w:rPr>
          <w:rFonts w:hint="default" w:ascii="Arial" w:hAnsi="Arial"/>
          <w:color w:val="auto"/>
          <w:sz w:val="22"/>
          <w:szCs w:val="22"/>
          <w:lang w:val="pt-BR"/>
        </w:rPr>
        <w:t xml:space="preserve"> Rede de drenagem localizada na Av. Cuiabá</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lang w:val="pt-BR"/>
        </w:rPr>
      </w:pPr>
      <w:r>
        <w:rPr>
          <w:rFonts w:hint="default" w:ascii="Arial" w:hAnsi="Arial"/>
          <w:b/>
          <w:bCs/>
          <w:color w:val="92D050"/>
          <w:sz w:val="22"/>
          <w:szCs w:val="22"/>
          <w:lang w:val="pt-BR"/>
        </w:rPr>
        <w:t>-------</w:t>
      </w:r>
      <w:r>
        <w:rPr>
          <w:rFonts w:hint="default" w:ascii="Arial" w:hAnsi="Arial"/>
          <w:color w:val="FFFF00"/>
          <w:sz w:val="22"/>
          <w:szCs w:val="22"/>
          <w:lang w:val="pt-BR"/>
        </w:rPr>
        <w:t>-</w:t>
      </w:r>
      <w:r>
        <w:rPr>
          <w:rFonts w:hint="default" w:ascii="Arial" w:hAnsi="Arial"/>
          <w:color w:val="auto"/>
          <w:sz w:val="22"/>
          <w:szCs w:val="22"/>
          <w:lang w:val="pt-BR"/>
        </w:rPr>
        <w:t xml:space="preserve"> Rede de drenagem localizada na Rua Piracicaba</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lang w:val="pt-BR"/>
        </w:rPr>
      </w:pPr>
      <w:r>
        <w:rPr>
          <w:rFonts w:hint="default" w:ascii="Arial" w:hAnsi="Arial"/>
          <w:b/>
          <w:bCs/>
          <w:color w:val="0070C0"/>
          <w:sz w:val="22"/>
          <w:szCs w:val="22"/>
          <w:lang w:val="pt-BR"/>
        </w:rPr>
        <w:t>-------</w:t>
      </w:r>
      <w:r>
        <w:rPr>
          <w:rFonts w:hint="default" w:ascii="Arial" w:hAnsi="Arial"/>
          <w:color w:val="FFFF00"/>
          <w:sz w:val="22"/>
          <w:szCs w:val="22"/>
          <w:lang w:val="pt-BR"/>
        </w:rPr>
        <w:t>-</w:t>
      </w:r>
      <w:r>
        <w:rPr>
          <w:rFonts w:hint="default" w:ascii="Arial" w:hAnsi="Arial"/>
          <w:color w:val="auto"/>
          <w:sz w:val="22"/>
          <w:szCs w:val="22"/>
          <w:lang w:val="pt-BR"/>
        </w:rPr>
        <w:t xml:space="preserve"> Rede de drenagem localizada na Av. Porto Alegre</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lang w:val="pt-BR"/>
        </w:rPr>
      </w:pPr>
      <w:r>
        <w:rPr>
          <w:rFonts w:hint="default" w:ascii="Arial" w:hAnsi="Arial"/>
          <w:b/>
          <w:bCs/>
          <w:color w:val="auto"/>
          <w:sz w:val="22"/>
          <w:szCs w:val="22"/>
          <w:lang w:val="pt-BR"/>
        </w:rPr>
        <w:t>-------</w:t>
      </w:r>
      <w:r>
        <w:rPr>
          <w:rFonts w:hint="default" w:ascii="Arial" w:hAnsi="Arial"/>
          <w:color w:val="FFFF00"/>
          <w:sz w:val="22"/>
          <w:szCs w:val="22"/>
          <w:lang w:val="pt-BR"/>
        </w:rPr>
        <w:t>-</w:t>
      </w:r>
      <w:r>
        <w:rPr>
          <w:rFonts w:hint="default" w:ascii="Arial" w:hAnsi="Arial"/>
          <w:color w:val="auto"/>
          <w:sz w:val="22"/>
          <w:szCs w:val="22"/>
          <w:lang w:val="pt-BR"/>
        </w:rPr>
        <w:t xml:space="preserve"> Rede - Emissário - une as rede ao destino final</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lang w:val="pt-BR"/>
        </w:rPr>
      </w:pPr>
    </w:p>
    <w:p>
      <w:pPr>
        <w:pStyle w:val="203"/>
        <w:keepNext w:val="0"/>
        <w:keepLines w:val="0"/>
        <w:pageBreakBefore w:val="0"/>
        <w:numPr>
          <w:ilvl w:val="0"/>
          <w:numId w:val="0"/>
        </w:numPr>
        <w:kinsoku/>
        <w:wordWrap/>
        <w:overflowPunct/>
        <w:topLinePunct w:val="0"/>
        <w:autoSpaceDE/>
        <w:bidi w:val="0"/>
        <w:adjustRightInd/>
        <w:snapToGrid/>
        <w:spacing w:line="360" w:lineRule="auto"/>
        <w:ind w:leftChars="0"/>
        <w:jc w:val="both"/>
        <w:rPr>
          <w:rFonts w:hint="default" w:ascii="Arial" w:hAnsi="Arial"/>
          <w:color w:val="auto"/>
          <w:sz w:val="22"/>
          <w:szCs w:val="22"/>
          <w:lang w:val="pt-BR"/>
        </w:rPr>
      </w:pPr>
      <w:r>
        <w:rPr>
          <w:rFonts w:hint="default" w:ascii="Arial" w:hAnsi="Arial"/>
          <w:color w:val="auto"/>
          <w:sz w:val="22"/>
          <w:szCs w:val="22"/>
          <w:lang w:val="pt-BR"/>
        </w:rPr>
        <w:pict>
          <v:shape id="_x0000_i1027" o:spt="75" alt="Mapa - Trecho Rio Coité" type="#_x0000_t75" style="height:274pt;width:450.75pt;" filled="f" o:preferrelative="t" stroked="f" coordsize="21600,21600">
            <v:path/>
            <v:fill on="f" focussize="0,0"/>
            <v:stroke on="f"/>
            <v:imagedata r:id="rId9" o:title="Mapa - Trecho Rio Coité"/>
            <o:lock v:ext="edit" aspectratio="t"/>
            <w10:wrap type="none"/>
            <w10:anchorlock/>
          </v:shape>
        </w:pict>
      </w:r>
    </w:p>
    <w:p>
      <w:pPr>
        <w:pStyle w:val="46"/>
        <w:keepNext w:val="0"/>
        <w:keepLines w:val="0"/>
        <w:pageBreakBefore w:val="0"/>
        <w:kinsoku/>
        <w:wordWrap/>
        <w:overflowPunct/>
        <w:topLinePunct w:val="0"/>
        <w:autoSpaceDE/>
        <w:bidi w:val="0"/>
        <w:adjustRightInd/>
        <w:snapToGrid/>
        <w:spacing w:line="360" w:lineRule="auto"/>
        <w:jc w:val="both"/>
        <w:rPr>
          <w:rFonts w:hint="default"/>
          <w:i/>
          <w:iCs/>
          <w:color w:val="auto"/>
          <w:sz w:val="20"/>
          <w:szCs w:val="20"/>
          <w:lang w:val="pt-BR"/>
        </w:rPr>
      </w:pPr>
      <w:r>
        <w:rPr>
          <w:i/>
          <w:iCs/>
          <w:color w:val="auto"/>
          <w:sz w:val="20"/>
          <w:szCs w:val="20"/>
          <w:lang w:val="pt-BR"/>
        </w:rPr>
        <w:t>Mapa 03: Trecho do Rio Coité - Local de destino das Águas Pluviais</w:t>
      </w:r>
    </w:p>
    <w:p>
      <w:pPr>
        <w:pStyle w:val="203"/>
        <w:keepNext w:val="0"/>
        <w:keepLines w:val="0"/>
        <w:pageBreakBefore w:val="0"/>
        <w:numPr>
          <w:ilvl w:val="0"/>
          <w:numId w:val="0"/>
        </w:numPr>
        <w:kinsoku/>
        <w:wordWrap/>
        <w:overflowPunct/>
        <w:topLinePunct w:val="0"/>
        <w:autoSpaceDE/>
        <w:bidi w:val="0"/>
        <w:adjustRightInd/>
        <w:snapToGrid/>
        <w:spacing w:line="360" w:lineRule="auto"/>
        <w:ind w:leftChars="0"/>
        <w:jc w:val="both"/>
        <w:rPr>
          <w:rFonts w:hint="default" w:ascii="Arial" w:hAnsi="Arial"/>
          <w:b/>
          <w:bCs/>
          <w:i/>
          <w:iCs/>
          <w:color w:val="FF0000"/>
          <w:sz w:val="22"/>
          <w:szCs w:val="22"/>
          <w:lang w:val="pt-BR"/>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3</w:t>
      </w:r>
      <w:r>
        <w:rPr>
          <w:rFonts w:hint="default" w:ascii="Arial" w:hAnsi="Arial"/>
          <w:b/>
          <w:color w:val="auto"/>
          <w:sz w:val="22"/>
          <w:szCs w:val="22"/>
          <w:lang w:val="pt-BR"/>
        </w:rPr>
        <w:t>.</w:t>
      </w:r>
      <w:r>
        <w:rPr>
          <w:rFonts w:hint="default" w:ascii="Arial" w:hAnsi="Arial"/>
          <w:b/>
          <w:color w:val="auto"/>
          <w:sz w:val="22"/>
          <w:szCs w:val="22"/>
        </w:rPr>
        <w:t xml:space="preserve"> CLÁUSULA TERCEIRA - DA JUSTIFICATIVA</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color w:val="auto"/>
          <w:sz w:val="22"/>
          <w:szCs w:val="22"/>
        </w:rPr>
      </w:pPr>
      <w:r>
        <w:rPr>
          <w:rFonts w:hint="default" w:ascii="Arial" w:hAnsi="Arial"/>
          <w:color w:val="auto"/>
          <w:sz w:val="22"/>
          <w:szCs w:val="22"/>
          <w:lang w:val="pt-BR"/>
        </w:rPr>
        <w:t xml:space="preserve">3.1. </w:t>
      </w:r>
      <w:r>
        <w:rPr>
          <w:rFonts w:hint="default" w:ascii="Arial" w:hAnsi="Arial"/>
          <w:color w:val="auto"/>
          <w:sz w:val="22"/>
          <w:szCs w:val="22"/>
        </w:rPr>
        <w:t>Considerando que o Setor de Engenharia da Prefeitura não possui mão de obra suficiente para atender a demanda de projetos do Município</w:t>
      </w:r>
      <w:r>
        <w:rPr>
          <w:rFonts w:hint="default" w:ascii="Arial" w:hAnsi="Arial"/>
          <w:color w:val="auto"/>
          <w:sz w:val="22"/>
          <w:szCs w:val="22"/>
          <w:lang w:val="pt-BR"/>
        </w:rPr>
        <w:t xml:space="preserve">, </w:t>
      </w:r>
      <w:r>
        <w:rPr>
          <w:rFonts w:hint="default" w:ascii="Arial" w:hAnsi="Arial" w:eastAsia="Calibri" w:cs="Times New Roman"/>
          <w:color w:val="auto"/>
          <w:sz w:val="22"/>
          <w:szCs w:val="22"/>
          <w:lang w:val="pt-BR" w:eastAsia="en-US" w:bidi="en-US"/>
        </w:rPr>
        <w:t xml:space="preserve">bem como por se tratar de obra que exige mais conhecimento técnico sobre o assunto para não só realizar os projetos, mas também propor uma solução viável ao município, faz-se necessária a contratação de pessoa jurídica especializada em engenharia civil na área de drenagem urbana </w:t>
      </w:r>
      <w:r>
        <w:rPr>
          <w:rFonts w:hint="default" w:ascii="Arial" w:hAnsi="Arial"/>
          <w:color w:val="auto"/>
          <w:sz w:val="22"/>
          <w:szCs w:val="22"/>
        </w:rPr>
        <w:t xml:space="preserve">para a elaboração do Projeto básico e executivo </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4</w:t>
      </w:r>
      <w:r>
        <w:rPr>
          <w:rFonts w:hint="default" w:ascii="Arial" w:hAnsi="Arial"/>
          <w:b/>
          <w:color w:val="auto"/>
          <w:sz w:val="22"/>
          <w:szCs w:val="22"/>
          <w:lang w:val="pt-BR"/>
        </w:rPr>
        <w:t>.</w:t>
      </w:r>
      <w:r>
        <w:rPr>
          <w:rFonts w:hint="default" w:ascii="Arial" w:hAnsi="Arial"/>
          <w:b/>
          <w:color w:val="auto"/>
          <w:sz w:val="22"/>
          <w:szCs w:val="22"/>
        </w:rPr>
        <w:t xml:space="preserve"> CLÁUSULA QUARTA - DA TERMINOLOGIA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Para os estritos efeitos deste Termo de Referência, são adotadas as seguintes definições: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4.1</w:t>
      </w:r>
      <w:r>
        <w:rPr>
          <w:rFonts w:hint="default" w:ascii="Arial" w:hAnsi="Arial"/>
          <w:b/>
          <w:color w:val="auto"/>
          <w:sz w:val="22"/>
          <w:szCs w:val="22"/>
          <w:lang w:val="pt-BR"/>
        </w:rPr>
        <w:t>.</w:t>
      </w:r>
      <w:r>
        <w:rPr>
          <w:rFonts w:hint="default" w:ascii="Arial" w:hAnsi="Arial"/>
          <w:b/>
          <w:color w:val="auto"/>
          <w:sz w:val="22"/>
          <w:szCs w:val="22"/>
        </w:rPr>
        <w:t xml:space="preserve"> Contratante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Órgão que contrata a elaboração do Projeto Executivo.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4.2</w:t>
      </w:r>
      <w:r>
        <w:rPr>
          <w:rFonts w:hint="default" w:ascii="Arial" w:hAnsi="Arial"/>
          <w:b/>
          <w:color w:val="auto"/>
          <w:sz w:val="22"/>
          <w:szCs w:val="22"/>
          <w:lang w:val="pt-BR"/>
        </w:rPr>
        <w:t>.</w:t>
      </w:r>
      <w:r>
        <w:rPr>
          <w:rFonts w:hint="default" w:ascii="Arial" w:hAnsi="Arial"/>
          <w:b/>
          <w:color w:val="auto"/>
          <w:sz w:val="22"/>
          <w:szCs w:val="22"/>
        </w:rPr>
        <w:t xml:space="preserve"> Contratada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Empresa contratada para a elaboração dos Projetos Básicos e executivos.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4.3</w:t>
      </w:r>
      <w:r>
        <w:rPr>
          <w:rFonts w:hint="default" w:ascii="Arial" w:hAnsi="Arial"/>
          <w:b/>
          <w:color w:val="auto"/>
          <w:sz w:val="22"/>
          <w:szCs w:val="22"/>
          <w:lang w:val="pt-BR"/>
        </w:rPr>
        <w:t>.</w:t>
      </w:r>
      <w:r>
        <w:rPr>
          <w:rFonts w:hint="default" w:ascii="Arial" w:hAnsi="Arial"/>
          <w:b/>
          <w:color w:val="auto"/>
          <w:sz w:val="22"/>
          <w:szCs w:val="22"/>
        </w:rPr>
        <w:t xml:space="preserve"> Fiscalização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Atividade exercida de modo sistemático pelo Contratante e seus prepostos, objetivando a verificação do cumprimento das disposições contratuais, técnicas e administrativas, em todos os seus aspectos.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4.4</w:t>
      </w:r>
      <w:r>
        <w:rPr>
          <w:rFonts w:hint="default" w:ascii="Arial" w:hAnsi="Arial"/>
          <w:b/>
          <w:color w:val="auto"/>
          <w:sz w:val="22"/>
          <w:szCs w:val="22"/>
          <w:lang w:val="pt-BR"/>
        </w:rPr>
        <w:t>.</w:t>
      </w:r>
      <w:r>
        <w:rPr>
          <w:rFonts w:hint="default" w:ascii="Arial" w:hAnsi="Arial"/>
          <w:b/>
          <w:color w:val="auto"/>
          <w:sz w:val="22"/>
          <w:szCs w:val="22"/>
        </w:rPr>
        <w:t xml:space="preserve"> Programas de Necessidades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Conjunto de características e condições necessárias ao desenvolvimento das atividades dos usuários da edificação que, adequadamente consideradas, definem e originam a proposição para o empreendimento a ser realizado.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4.5</w:t>
      </w:r>
      <w:r>
        <w:rPr>
          <w:rFonts w:hint="default" w:ascii="Arial" w:hAnsi="Arial"/>
          <w:b/>
          <w:color w:val="auto"/>
          <w:sz w:val="22"/>
          <w:szCs w:val="22"/>
          <w:lang w:val="pt-BR"/>
        </w:rPr>
        <w:t>.</w:t>
      </w:r>
      <w:r>
        <w:rPr>
          <w:rFonts w:hint="default" w:ascii="Arial" w:hAnsi="Arial"/>
          <w:b/>
          <w:color w:val="auto"/>
          <w:sz w:val="22"/>
          <w:szCs w:val="22"/>
        </w:rPr>
        <w:t xml:space="preserve"> Estudo Preliminar</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Estudo efetuado para assegurar a viabilidade técnica e o adequado tratamento do impacto ambiental do empreendimento, a partir dos dados levantados no Programa de Necessidades, bem como das condicionantes estabelecidas neste Termo de Referência e pelo Contratante.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4.6</w:t>
      </w:r>
      <w:r>
        <w:rPr>
          <w:rFonts w:hint="default" w:ascii="Arial" w:hAnsi="Arial"/>
          <w:b/>
          <w:color w:val="auto"/>
          <w:sz w:val="22"/>
          <w:szCs w:val="22"/>
          <w:lang w:val="pt-BR"/>
        </w:rPr>
        <w:t>.</w:t>
      </w:r>
      <w:r>
        <w:rPr>
          <w:rFonts w:hint="default" w:ascii="Arial" w:hAnsi="Arial"/>
          <w:b/>
          <w:color w:val="auto"/>
          <w:sz w:val="22"/>
          <w:szCs w:val="22"/>
        </w:rPr>
        <w:t xml:space="preserve"> Projeto Básico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Conjunto de informações técnicas necessárias e suficientes para caracterizar a obra, elaborado com base no Estudo Preliminar, e que apresente o detalhamento necessário para a perfeita definição e quantificação dos materiais, equipamentos e serviços relativos ao empreendimento.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4.7</w:t>
      </w:r>
      <w:r>
        <w:rPr>
          <w:rFonts w:hint="default" w:ascii="Arial" w:hAnsi="Arial"/>
          <w:b/>
          <w:color w:val="auto"/>
          <w:sz w:val="22"/>
          <w:szCs w:val="22"/>
          <w:lang w:val="pt-BR"/>
        </w:rPr>
        <w:t>.</w:t>
      </w:r>
      <w:r>
        <w:rPr>
          <w:rFonts w:hint="default" w:ascii="Arial" w:hAnsi="Arial"/>
          <w:b/>
          <w:color w:val="auto"/>
          <w:sz w:val="22"/>
          <w:szCs w:val="22"/>
        </w:rPr>
        <w:t xml:space="preserve"> Projeto Executivo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Conjunto de informações técnicas necessárias e suficientes para a realização do empreendimento, contendo de forma clara, precisa e completa todas as indicações e detalhes construtivos para a perfeita instalação, montagem e execução da obra.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4.</w:t>
      </w:r>
      <w:r>
        <w:rPr>
          <w:rFonts w:hint="default" w:ascii="Arial" w:hAnsi="Arial"/>
          <w:b/>
          <w:color w:val="auto"/>
          <w:sz w:val="22"/>
          <w:szCs w:val="22"/>
          <w:lang w:val="pt-BR"/>
        </w:rPr>
        <w:t>8.</w:t>
      </w:r>
      <w:r>
        <w:rPr>
          <w:rFonts w:hint="default" w:ascii="Arial" w:hAnsi="Arial"/>
          <w:b/>
          <w:color w:val="auto"/>
          <w:sz w:val="22"/>
          <w:szCs w:val="22"/>
        </w:rPr>
        <w:t xml:space="preserve"> Orçamento Detalhado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Documento técnico com indicação de serviços necessário à execução de um objeto, e informação de unidade de medida, quantitativos, custos unitários, e custos parciais por serviço, subtotais e total final, e de códigos de composição de serviços, fontes e data base de referências adotadas e índice de BDI detalhado.</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22"/>
          <w:szCs w:val="22"/>
        </w:rPr>
      </w:pP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22"/>
          <w:szCs w:val="22"/>
        </w:rPr>
      </w:pPr>
      <w:r>
        <w:rPr>
          <w:rFonts w:hint="default" w:ascii="Arial" w:hAnsi="Arial"/>
          <w:b/>
          <w:color w:val="auto"/>
          <w:sz w:val="22"/>
          <w:szCs w:val="22"/>
        </w:rPr>
        <w:t>5</w:t>
      </w:r>
      <w:r>
        <w:rPr>
          <w:rFonts w:hint="default" w:ascii="Arial" w:hAnsi="Arial"/>
          <w:b/>
          <w:color w:val="auto"/>
          <w:sz w:val="22"/>
          <w:szCs w:val="22"/>
          <w:lang w:val="pt-BR"/>
        </w:rPr>
        <w:t>.</w:t>
      </w:r>
      <w:r>
        <w:rPr>
          <w:rFonts w:hint="default" w:ascii="Arial" w:hAnsi="Arial"/>
          <w:b/>
          <w:color w:val="auto"/>
          <w:sz w:val="22"/>
          <w:szCs w:val="22"/>
        </w:rPr>
        <w:t xml:space="preserve"> CLÁUSULA QUINTA</w:t>
      </w:r>
      <w:r>
        <w:rPr>
          <w:rFonts w:hint="default" w:ascii="Arial" w:hAnsi="Arial"/>
          <w:b/>
          <w:color w:val="auto"/>
          <w:sz w:val="22"/>
          <w:szCs w:val="22"/>
          <w:lang w:val="pt-BR"/>
        </w:rPr>
        <w:t xml:space="preserve"> -</w:t>
      </w:r>
      <w:r>
        <w:rPr>
          <w:rFonts w:hint="default" w:ascii="Arial" w:hAnsi="Arial"/>
          <w:b/>
          <w:color w:val="auto"/>
          <w:sz w:val="22"/>
          <w:szCs w:val="22"/>
        </w:rPr>
        <w:t xml:space="preserve"> DA LEGISLAÇÃO, NORMAS E REGULAMENTOS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A Contratada será responsável pela observância das leis, decretos, regulamentos, portarias e normas federais, estaduais e municipais direta e indiretamente aplicáveis ao objeto do contrato, inclusive por suas subcontratadas.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Na elaboração do objeto contratado deverão ser observados os documentos abaixo, assim como toda a legislação municipal, estadual e federal pertinente, independente de citação: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5.1</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Resolução Normativa nº 39/2016 TP do Tribunal de Contas do Estado de Mato Grosso</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5.2</w:t>
      </w:r>
      <w:r>
        <w:rPr>
          <w:rFonts w:hint="default" w:ascii="Arial" w:hAnsi="Arial"/>
          <w:b/>
          <w:bCs/>
          <w:color w:val="auto"/>
          <w:sz w:val="22"/>
          <w:szCs w:val="22"/>
          <w:lang w:val="pt-BR"/>
        </w:rPr>
        <w:t>.</w:t>
      </w:r>
      <w:r>
        <w:rPr>
          <w:rFonts w:hint="default" w:ascii="Arial" w:hAnsi="Arial"/>
          <w:color w:val="auto"/>
          <w:sz w:val="22"/>
          <w:szCs w:val="22"/>
        </w:rPr>
        <w:t xml:space="preserve"> Código de Obras e Lei de Uso e Ocupação do Solo;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5.3</w:t>
      </w:r>
      <w:r>
        <w:rPr>
          <w:rFonts w:hint="default" w:ascii="Arial" w:hAnsi="Arial"/>
          <w:b/>
          <w:bCs/>
          <w:color w:val="auto"/>
          <w:sz w:val="22"/>
          <w:szCs w:val="22"/>
          <w:lang w:val="pt-BR"/>
        </w:rPr>
        <w:t>.</w:t>
      </w:r>
      <w:r>
        <w:rPr>
          <w:rFonts w:hint="default" w:ascii="Arial" w:hAnsi="Arial"/>
          <w:color w:val="auto"/>
          <w:sz w:val="22"/>
          <w:szCs w:val="22"/>
        </w:rPr>
        <w:t xml:space="preserve"> Códigos, Leis, Decretos, Portarias e Normas Federais, Estaduais e Municipais;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5.4</w:t>
      </w:r>
      <w:r>
        <w:rPr>
          <w:rFonts w:hint="default" w:ascii="Arial" w:hAnsi="Arial"/>
          <w:b/>
          <w:bCs/>
          <w:color w:val="auto"/>
          <w:sz w:val="22"/>
          <w:szCs w:val="22"/>
          <w:lang w:val="pt-BR"/>
        </w:rPr>
        <w:t>.</w:t>
      </w:r>
      <w:r>
        <w:rPr>
          <w:rFonts w:hint="default" w:ascii="Arial" w:hAnsi="Arial"/>
          <w:color w:val="auto"/>
          <w:sz w:val="22"/>
          <w:szCs w:val="22"/>
        </w:rPr>
        <w:t xml:space="preserve"> Normas das concessionárias locais de serviços, Corpo de Bombeiros, Vigilância Sanitária, Secretaria de Meio Ambiente, entre outros;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5.5</w:t>
      </w:r>
      <w:r>
        <w:rPr>
          <w:rFonts w:hint="default" w:ascii="Arial" w:hAnsi="Arial"/>
          <w:b/>
          <w:bCs/>
          <w:color w:val="auto"/>
          <w:sz w:val="22"/>
          <w:szCs w:val="22"/>
          <w:lang w:val="pt-BR"/>
        </w:rPr>
        <w:t>.</w:t>
      </w:r>
      <w:r>
        <w:rPr>
          <w:rFonts w:hint="default" w:ascii="Arial" w:hAnsi="Arial"/>
          <w:color w:val="auto"/>
          <w:sz w:val="22"/>
          <w:szCs w:val="22"/>
        </w:rPr>
        <w:t xml:space="preserve"> Normas brasileiras elaboradas pela ABNT (Associação Brasileira de Normas Técnicas), regulamentadas pelo INMETRO (Instituto Nacional de Metrologia);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5.6</w:t>
      </w:r>
      <w:r>
        <w:rPr>
          <w:rFonts w:hint="default" w:ascii="Arial" w:hAnsi="Arial"/>
          <w:b/>
          <w:bCs/>
          <w:color w:val="auto"/>
          <w:sz w:val="22"/>
          <w:szCs w:val="22"/>
          <w:lang w:val="pt-BR"/>
        </w:rPr>
        <w:t>.</w:t>
      </w:r>
      <w:r>
        <w:rPr>
          <w:rFonts w:hint="default" w:ascii="Arial" w:hAnsi="Arial"/>
          <w:color w:val="auto"/>
          <w:sz w:val="22"/>
          <w:szCs w:val="22"/>
        </w:rPr>
        <w:t xml:space="preserve"> Sistema Nacional de Pesquisa de Custos e Índices da Construção Civil – SINAPI;</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5.7</w:t>
      </w:r>
      <w:r>
        <w:rPr>
          <w:rFonts w:hint="default" w:ascii="Arial" w:hAnsi="Arial"/>
          <w:b/>
          <w:bCs/>
          <w:color w:val="auto"/>
          <w:sz w:val="22"/>
          <w:szCs w:val="22"/>
          <w:lang w:val="pt-BR"/>
        </w:rPr>
        <w:t>.</w:t>
      </w:r>
      <w:r>
        <w:rPr>
          <w:rFonts w:hint="default" w:ascii="Arial" w:hAnsi="Arial"/>
          <w:color w:val="auto"/>
          <w:sz w:val="22"/>
          <w:szCs w:val="22"/>
        </w:rPr>
        <w:t xml:space="preserve"> Instruções e resoluções dos órgãos do sistema CREA / CONFEA / CAU;</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5.8</w:t>
      </w:r>
      <w:r>
        <w:rPr>
          <w:rFonts w:hint="default" w:ascii="Arial" w:hAnsi="Arial"/>
          <w:b/>
          <w:bCs/>
          <w:color w:val="auto"/>
          <w:sz w:val="22"/>
          <w:szCs w:val="22"/>
          <w:lang w:val="pt-BR"/>
        </w:rPr>
        <w:t>.</w:t>
      </w:r>
      <w:r>
        <w:rPr>
          <w:rFonts w:hint="default" w:ascii="Arial" w:hAnsi="Arial"/>
          <w:color w:val="auto"/>
          <w:sz w:val="22"/>
          <w:szCs w:val="22"/>
        </w:rPr>
        <w:t xml:space="preserve"> Adotar soluções técnicas que considerem a acessibilidade de portadores de necessidades especiais, obedecendo ao que determina o Decreto Federal nº 5296/2004, a NBR 9050/2004 e demais normas da ABNT;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5.9</w:t>
      </w:r>
      <w:r>
        <w:rPr>
          <w:rFonts w:hint="default" w:ascii="Arial" w:hAnsi="Arial"/>
          <w:b/>
          <w:bCs/>
          <w:color w:val="auto"/>
          <w:sz w:val="22"/>
          <w:szCs w:val="22"/>
          <w:lang w:val="pt-BR"/>
        </w:rPr>
        <w:t>.</w:t>
      </w:r>
      <w:r>
        <w:rPr>
          <w:rFonts w:hint="default" w:ascii="Arial" w:hAnsi="Arial"/>
          <w:color w:val="auto"/>
          <w:sz w:val="22"/>
          <w:szCs w:val="22"/>
        </w:rPr>
        <w:t xml:space="preserve"> Manuais de Identidade Visual;</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5.10</w:t>
      </w:r>
      <w:r>
        <w:rPr>
          <w:rFonts w:hint="default" w:ascii="Arial" w:hAnsi="Arial"/>
          <w:b/>
          <w:bCs/>
          <w:color w:val="auto"/>
          <w:sz w:val="22"/>
          <w:szCs w:val="22"/>
          <w:lang w:val="pt-BR"/>
        </w:rPr>
        <w:t>.</w:t>
      </w:r>
      <w:r>
        <w:rPr>
          <w:rFonts w:hint="default" w:ascii="Arial" w:hAnsi="Arial"/>
          <w:color w:val="auto"/>
          <w:sz w:val="22"/>
          <w:szCs w:val="22"/>
        </w:rPr>
        <w:t xml:space="preserve"> Normas regulamentadoras do Ministério do Trabalho e Emprego – MTE;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5.11</w:t>
      </w:r>
      <w:r>
        <w:rPr>
          <w:rFonts w:hint="default" w:ascii="Arial" w:hAnsi="Arial"/>
          <w:color w:val="auto"/>
          <w:sz w:val="22"/>
          <w:szCs w:val="22"/>
          <w:lang w:val="pt-BR"/>
        </w:rPr>
        <w:t>.</w:t>
      </w:r>
      <w:r>
        <w:rPr>
          <w:rFonts w:hint="default" w:ascii="Arial" w:hAnsi="Arial"/>
          <w:color w:val="auto"/>
          <w:sz w:val="22"/>
          <w:szCs w:val="22"/>
        </w:rPr>
        <w:t xml:space="preserve"> Outras normas aplicáveis ao objeto do Contrato.</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rPr>
      </w:pP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22"/>
          <w:szCs w:val="22"/>
        </w:rPr>
      </w:pPr>
      <w:r>
        <w:rPr>
          <w:rFonts w:hint="default" w:ascii="Arial" w:hAnsi="Arial"/>
          <w:b/>
          <w:color w:val="auto"/>
          <w:sz w:val="22"/>
          <w:szCs w:val="22"/>
        </w:rPr>
        <w:t>6</w:t>
      </w:r>
      <w:r>
        <w:rPr>
          <w:rFonts w:hint="default" w:ascii="Arial" w:hAnsi="Arial"/>
          <w:b/>
          <w:color w:val="auto"/>
          <w:sz w:val="22"/>
          <w:szCs w:val="22"/>
          <w:lang w:val="pt-BR"/>
        </w:rPr>
        <w:t>.</w:t>
      </w:r>
      <w:r>
        <w:rPr>
          <w:rFonts w:hint="default" w:ascii="Arial" w:hAnsi="Arial"/>
          <w:b/>
          <w:color w:val="auto"/>
          <w:sz w:val="22"/>
          <w:szCs w:val="22"/>
        </w:rPr>
        <w:t xml:space="preserve"> CLÁUSULA SEXTA - DAS CONDIÇÕES GERAIS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6.1</w:t>
      </w:r>
      <w:r>
        <w:rPr>
          <w:rFonts w:hint="default" w:ascii="Arial" w:hAnsi="Arial"/>
          <w:b/>
          <w:color w:val="auto"/>
          <w:sz w:val="22"/>
          <w:szCs w:val="22"/>
          <w:lang w:val="pt-BR"/>
        </w:rPr>
        <w:t>.</w:t>
      </w:r>
      <w:r>
        <w:rPr>
          <w:rFonts w:hint="default" w:ascii="Arial" w:hAnsi="Arial"/>
          <w:b/>
          <w:color w:val="auto"/>
          <w:sz w:val="22"/>
          <w:szCs w:val="22"/>
        </w:rPr>
        <w:t xml:space="preserve"> Diretrizes Gerais de Projeto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Todos os Estudos e Projetos deverão ser desenvolvidos de forma harmônica e consistente, observando a compatibilização entre as diversas disciplinas envolvidas no projeto de infraestrutura, e atendendo às seguintes diretrizes gerais de projeto: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6.1.1</w:t>
      </w:r>
      <w:r>
        <w:rPr>
          <w:rFonts w:hint="default" w:ascii="Arial" w:hAnsi="Arial"/>
          <w:color w:val="auto"/>
          <w:sz w:val="22"/>
          <w:szCs w:val="22"/>
          <w:lang w:val="pt-BR"/>
        </w:rPr>
        <w:t>.</w:t>
      </w:r>
      <w:r>
        <w:rPr>
          <w:rFonts w:hint="default" w:ascii="Arial" w:hAnsi="Arial"/>
          <w:color w:val="auto"/>
          <w:sz w:val="22"/>
          <w:szCs w:val="22"/>
        </w:rPr>
        <w:t xml:space="preserve"> Apreender as aspirações do Contratante em relação ao empreendimento, o plano de desenvolvimento em que o mesmo se insere, os incentivos e as restrições a ele pertinentes;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6.1.2</w:t>
      </w:r>
      <w:r>
        <w:rPr>
          <w:rFonts w:hint="default" w:ascii="Arial" w:hAnsi="Arial"/>
          <w:b/>
          <w:bCs/>
          <w:color w:val="auto"/>
          <w:sz w:val="22"/>
          <w:szCs w:val="22"/>
          <w:lang w:val="pt-BR"/>
        </w:rPr>
        <w:t>.</w:t>
      </w:r>
      <w:r>
        <w:rPr>
          <w:rFonts w:hint="default" w:ascii="Arial" w:hAnsi="Arial"/>
          <w:color w:val="auto"/>
          <w:sz w:val="22"/>
          <w:szCs w:val="22"/>
        </w:rPr>
        <w:t xml:space="preserve"> Considerar o clima regional e o microclima da área de influência do empreendimento, assim como a população e a região a serem beneficiadas;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6.1.3</w:t>
      </w:r>
      <w:r>
        <w:rPr>
          <w:rFonts w:hint="default" w:ascii="Arial" w:hAnsi="Arial"/>
          <w:b/>
          <w:bCs/>
          <w:color w:val="auto"/>
          <w:sz w:val="22"/>
          <w:szCs w:val="22"/>
          <w:lang w:val="pt-BR"/>
        </w:rPr>
        <w:t>.</w:t>
      </w:r>
      <w:r>
        <w:rPr>
          <w:rFonts w:hint="default" w:ascii="Arial" w:hAnsi="Arial"/>
          <w:color w:val="auto"/>
          <w:sz w:val="22"/>
          <w:szCs w:val="22"/>
        </w:rPr>
        <w:t xml:space="preserve"> Definir materiais e métodos construtivos adequados aos objetivos do empreendimento e às condições do local de implantação, adotando estratégias como o uso de materiais com certificação ambiental e de equipamentos com alta eficiência energética, a redução do desperdício de materiais e a reciclagem de resíduos sólidos;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6.1.4</w:t>
      </w:r>
      <w:r>
        <w:rPr>
          <w:rFonts w:hint="default" w:ascii="Arial" w:hAnsi="Arial"/>
          <w:b/>
          <w:bCs/>
          <w:color w:val="auto"/>
          <w:sz w:val="22"/>
          <w:szCs w:val="22"/>
          <w:lang w:val="pt-BR"/>
        </w:rPr>
        <w:t>.</w:t>
      </w:r>
      <w:r>
        <w:rPr>
          <w:rFonts w:hint="default" w:ascii="Arial" w:hAnsi="Arial"/>
          <w:color w:val="auto"/>
          <w:sz w:val="22"/>
          <w:szCs w:val="22"/>
        </w:rPr>
        <w:t xml:space="preserve"> Adotar soluções que ofereçam facilidade de operação e manutenção dos diversos componentes e sistemas da infraestrutura;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6.1.5</w:t>
      </w:r>
      <w:r>
        <w:rPr>
          <w:rFonts w:hint="default" w:ascii="Arial" w:hAnsi="Arial"/>
          <w:color w:val="auto"/>
          <w:sz w:val="22"/>
          <w:szCs w:val="22"/>
          <w:lang w:val="pt-BR"/>
        </w:rPr>
        <w:t>.</w:t>
      </w:r>
      <w:r>
        <w:rPr>
          <w:rFonts w:hint="default" w:ascii="Arial" w:hAnsi="Arial"/>
          <w:color w:val="auto"/>
          <w:sz w:val="22"/>
          <w:szCs w:val="22"/>
        </w:rPr>
        <w:t xml:space="preserve"> Adotar soluções técnicas que considerem as disponibilidades econômicas e financeiras para a implantação do empreendimento;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6.1.6</w:t>
      </w:r>
      <w:r>
        <w:rPr>
          <w:rFonts w:hint="default" w:ascii="Arial" w:hAnsi="Arial"/>
          <w:b/>
          <w:bCs/>
          <w:color w:val="auto"/>
          <w:sz w:val="22"/>
          <w:szCs w:val="22"/>
          <w:lang w:val="pt-BR"/>
        </w:rPr>
        <w:t>.</w:t>
      </w:r>
      <w:r>
        <w:rPr>
          <w:rFonts w:hint="default" w:ascii="Arial" w:hAnsi="Arial"/>
          <w:color w:val="auto"/>
          <w:sz w:val="22"/>
          <w:szCs w:val="22"/>
        </w:rPr>
        <w:t xml:space="preserve"> Adotar soluções técnicas que considerem a acessibilidade de portadores de necessidades especiais, obedecendo ao que determina o Decreto Federal nº 5296/2004, a NBR 9050/2004 e demais normas da ABNT;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6.1.7</w:t>
      </w:r>
      <w:r>
        <w:rPr>
          <w:rFonts w:hint="default" w:ascii="Arial" w:hAnsi="Arial"/>
          <w:b/>
          <w:bCs/>
          <w:color w:val="auto"/>
          <w:sz w:val="22"/>
          <w:szCs w:val="22"/>
          <w:lang w:val="pt-BR"/>
        </w:rPr>
        <w:t>.</w:t>
      </w:r>
      <w:r>
        <w:rPr>
          <w:rFonts w:hint="default" w:ascii="Arial" w:hAnsi="Arial"/>
          <w:color w:val="auto"/>
          <w:sz w:val="22"/>
          <w:szCs w:val="22"/>
        </w:rPr>
        <w:t xml:space="preserve"> Adotar soluções técnicas que ofereçam segurança aos usuários da via;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6.1.8</w:t>
      </w:r>
      <w:r>
        <w:rPr>
          <w:rFonts w:hint="default" w:ascii="Arial" w:hAnsi="Arial"/>
          <w:b/>
          <w:bCs/>
          <w:color w:val="auto"/>
          <w:sz w:val="22"/>
          <w:szCs w:val="22"/>
          <w:lang w:val="pt-BR"/>
        </w:rPr>
        <w:t>.</w:t>
      </w:r>
      <w:r>
        <w:rPr>
          <w:rFonts w:hint="default" w:ascii="Arial" w:hAnsi="Arial"/>
          <w:color w:val="auto"/>
          <w:sz w:val="22"/>
          <w:szCs w:val="22"/>
        </w:rPr>
        <w:t xml:space="preserve"> Adotar soluções técnicas que minimizem os custos de operação, conservação e de manutenção das instalações;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6.1.9</w:t>
      </w:r>
      <w:r>
        <w:rPr>
          <w:rFonts w:hint="default" w:ascii="Arial" w:hAnsi="Arial"/>
          <w:b/>
          <w:bCs/>
          <w:color w:val="auto"/>
          <w:sz w:val="22"/>
          <w:szCs w:val="22"/>
          <w:lang w:val="pt-BR"/>
        </w:rPr>
        <w:t>.</w:t>
      </w:r>
      <w:r>
        <w:rPr>
          <w:rFonts w:hint="default" w:ascii="Arial" w:hAnsi="Arial"/>
          <w:color w:val="auto"/>
          <w:sz w:val="22"/>
          <w:szCs w:val="22"/>
        </w:rPr>
        <w:t xml:space="preserve"> Adotar soluções (espaço físico, dimensionamento da rede elétrica, elementos de drenagem, dimensionamento do pavimento e etc) adequadas a estrutura da via.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6.2</w:t>
      </w:r>
      <w:r>
        <w:rPr>
          <w:rFonts w:hint="default" w:ascii="Arial" w:hAnsi="Arial"/>
          <w:b/>
          <w:color w:val="auto"/>
          <w:sz w:val="22"/>
          <w:szCs w:val="22"/>
          <w:lang w:val="pt-BR"/>
        </w:rPr>
        <w:t>.</w:t>
      </w:r>
      <w:r>
        <w:rPr>
          <w:rFonts w:hint="default" w:ascii="Arial" w:hAnsi="Arial"/>
          <w:b/>
          <w:color w:val="auto"/>
          <w:sz w:val="22"/>
          <w:szCs w:val="22"/>
        </w:rPr>
        <w:t xml:space="preserve"> Área de Intervenção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6.2.1</w:t>
      </w:r>
      <w:r>
        <w:rPr>
          <w:rFonts w:hint="default" w:ascii="Arial" w:hAnsi="Arial"/>
          <w:b/>
          <w:bCs/>
          <w:color w:val="auto"/>
          <w:sz w:val="22"/>
          <w:szCs w:val="22"/>
          <w:lang w:val="pt-BR"/>
        </w:rPr>
        <w:t>.</w:t>
      </w:r>
      <w:r>
        <w:rPr>
          <w:rFonts w:hint="default" w:ascii="Arial" w:hAnsi="Arial"/>
          <w:color w:val="auto"/>
          <w:sz w:val="22"/>
          <w:szCs w:val="22"/>
        </w:rPr>
        <w:t xml:space="preserve"> Deverá constar neste item planta da intervenção com coordenadas geográficas, representar em forma de mapa, com a descrição da situação atual da área de intervenção, contemplando principalmente aspectos relacionados à infraestrutura básica existente na localidade com coordenadas geográficas, inclusive do início e final do trecho, (fornecimento de água tratada, energia elétrica, iluminação pública, esgotamento sanitário, drenagem pluvial, pavimentação, etc.), à topografia do terreno (características do solo como inclinação, existência de grotas, elevações, etc.) e ao entorno imediato</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6.2.2</w:t>
      </w:r>
      <w:r>
        <w:rPr>
          <w:rFonts w:hint="default" w:ascii="Arial" w:hAnsi="Arial"/>
          <w:b/>
          <w:bCs/>
          <w:color w:val="auto"/>
          <w:sz w:val="22"/>
          <w:szCs w:val="22"/>
          <w:lang w:val="pt-BR"/>
        </w:rPr>
        <w:t>.</w:t>
      </w:r>
      <w:r>
        <w:rPr>
          <w:rFonts w:hint="default" w:ascii="Arial" w:hAnsi="Arial"/>
          <w:color w:val="auto"/>
          <w:sz w:val="22"/>
          <w:szCs w:val="22"/>
        </w:rPr>
        <w:t xml:space="preserve"> Estudos geotécnicos deverão apresentar os ensaios de caracterização relativos aos materiais de subleito das vias objeto da operação e também do material da área de jazida, caracterizando o material a ser utilizado e laudo de sondagem indicando que os resultados dos ensaios são compatíveis com os requisitos de projeto.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6.3</w:t>
      </w:r>
      <w:r>
        <w:rPr>
          <w:rFonts w:hint="default" w:ascii="Arial" w:hAnsi="Arial"/>
          <w:b/>
          <w:color w:val="auto"/>
          <w:sz w:val="22"/>
          <w:szCs w:val="22"/>
          <w:lang w:val="pt-BR"/>
        </w:rPr>
        <w:t>.</w:t>
      </w:r>
      <w:r>
        <w:rPr>
          <w:rFonts w:hint="default" w:ascii="Arial" w:hAnsi="Arial"/>
          <w:b/>
          <w:color w:val="auto"/>
          <w:sz w:val="22"/>
          <w:szCs w:val="22"/>
        </w:rPr>
        <w:t xml:space="preserve"> Material Técnico Disponível</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6.3.1.</w:t>
      </w:r>
      <w:r>
        <w:rPr>
          <w:rFonts w:hint="default" w:ascii="Arial" w:hAnsi="Arial"/>
          <w:color w:val="auto"/>
          <w:sz w:val="22"/>
          <w:szCs w:val="22"/>
          <w:lang w:val="pt-BR"/>
        </w:rPr>
        <w:t xml:space="preserve"> </w:t>
      </w:r>
      <w:r>
        <w:rPr>
          <w:rFonts w:hint="default" w:ascii="Arial" w:hAnsi="Arial"/>
          <w:color w:val="auto"/>
          <w:sz w:val="22"/>
          <w:szCs w:val="22"/>
        </w:rPr>
        <w:t>Os Projetos e demais documentos existentes nas dependências do Contratante, referentes à área objeto de intervenção, serão colocados à disposição da Contratada, que se incumbirá de executar quaisquer conferências e/ou levantamentos que se fizerem necessários para o desenvolvimento do trabalho.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6.4</w:t>
      </w:r>
      <w:r>
        <w:rPr>
          <w:rFonts w:hint="default" w:ascii="Arial" w:hAnsi="Arial"/>
          <w:b/>
          <w:color w:val="auto"/>
          <w:sz w:val="22"/>
          <w:szCs w:val="22"/>
          <w:lang w:val="pt-BR"/>
        </w:rPr>
        <w:t>.</w:t>
      </w:r>
      <w:r>
        <w:rPr>
          <w:rFonts w:hint="default" w:ascii="Arial" w:hAnsi="Arial"/>
          <w:b/>
          <w:color w:val="auto"/>
          <w:sz w:val="22"/>
          <w:szCs w:val="22"/>
        </w:rPr>
        <w:t xml:space="preserve"> Coordenação e Responsabilidade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6.4.</w:t>
      </w:r>
      <w:r>
        <w:rPr>
          <w:rFonts w:hint="default" w:ascii="Arial" w:hAnsi="Arial"/>
          <w:b/>
          <w:bCs/>
          <w:color w:val="auto"/>
          <w:sz w:val="22"/>
          <w:szCs w:val="22"/>
          <w:lang w:val="pt-BR"/>
        </w:rPr>
        <w:t>1</w:t>
      </w:r>
      <w:r>
        <w:rPr>
          <w:rFonts w:hint="default" w:ascii="Arial" w:hAnsi="Arial"/>
          <w:color w:val="auto"/>
          <w:sz w:val="22"/>
          <w:szCs w:val="22"/>
          <w:lang w:val="pt-BR"/>
        </w:rPr>
        <w:t>.</w:t>
      </w:r>
      <w:r>
        <w:rPr>
          <w:rFonts w:hint="default" w:ascii="Arial" w:hAnsi="Arial"/>
          <w:color w:val="auto"/>
          <w:sz w:val="22"/>
          <w:szCs w:val="22"/>
        </w:rPr>
        <w:t xml:space="preserve"> A Contratada indicará um Coordenador para o desenvolvimento do Projeto como um todo, assim como os responsáveis técnicos para cada atividade técnica específica, fornecendo ao Contratante os nomes e registros profissionais de toda a equipe técnica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6.4.2</w:t>
      </w:r>
      <w:r>
        <w:rPr>
          <w:rFonts w:hint="default" w:ascii="Arial" w:hAnsi="Arial"/>
          <w:b/>
          <w:bCs/>
          <w:color w:val="auto"/>
          <w:sz w:val="22"/>
          <w:szCs w:val="22"/>
          <w:lang w:val="pt-BR"/>
        </w:rPr>
        <w:t>.</w:t>
      </w:r>
      <w:r>
        <w:rPr>
          <w:rFonts w:hint="default" w:ascii="Arial" w:hAnsi="Arial"/>
          <w:color w:val="auto"/>
          <w:sz w:val="22"/>
          <w:szCs w:val="22"/>
        </w:rPr>
        <w:t xml:space="preserve"> O Projeto completo, constituído por todos os Projetos específicos devidamente harmonizados entre si, de modo a compatibilizar os Projetos e demais atividades técnicas, promover ou facilitar as consultas e informações entre os autores dos Projetos específicos e solucionar as interferências entre os elementos dos diversos sistemas da edificação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6.4.3</w:t>
      </w:r>
      <w:r>
        <w:rPr>
          <w:rFonts w:hint="default" w:ascii="Arial" w:hAnsi="Arial"/>
          <w:b/>
          <w:bCs/>
          <w:color w:val="auto"/>
          <w:sz w:val="22"/>
          <w:szCs w:val="22"/>
          <w:lang w:val="pt-BR"/>
        </w:rPr>
        <w:t>.</w:t>
      </w:r>
      <w:r>
        <w:rPr>
          <w:rFonts w:hint="default" w:ascii="Arial" w:hAnsi="Arial"/>
          <w:color w:val="auto"/>
          <w:sz w:val="22"/>
          <w:szCs w:val="22"/>
        </w:rPr>
        <w:t xml:space="preserve"> A Contratada deverá contar com equipe de profissionais habilitados à elaboração do Projeto em questão, nas várias modalidades envolvidas, com registro no Conselho Regional de Engenharia e Agronomia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6.4.4</w:t>
      </w:r>
      <w:r>
        <w:rPr>
          <w:rFonts w:hint="default" w:ascii="Arial" w:hAnsi="Arial"/>
          <w:b/>
          <w:bCs/>
          <w:color w:val="auto"/>
          <w:sz w:val="22"/>
          <w:szCs w:val="22"/>
          <w:lang w:val="pt-BR"/>
        </w:rPr>
        <w:t>.</w:t>
      </w:r>
      <w:r>
        <w:rPr>
          <w:rFonts w:hint="default" w:ascii="Arial" w:hAnsi="Arial"/>
          <w:color w:val="auto"/>
          <w:sz w:val="22"/>
          <w:szCs w:val="22"/>
        </w:rPr>
        <w:t xml:space="preserve"> A Contratada deverá responsabilizar-se pelo fiel cumprimento de todas as disposições e acordos relativos à legislação social e trabalhista em vigor, particularmente no que se refere ao pessoal alocado nos serviços objeto do contrato.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6.5</w:t>
      </w:r>
      <w:r>
        <w:rPr>
          <w:rFonts w:hint="default" w:ascii="Arial" w:hAnsi="Arial"/>
          <w:b/>
          <w:color w:val="auto"/>
          <w:sz w:val="22"/>
          <w:szCs w:val="22"/>
          <w:lang w:val="pt-BR"/>
        </w:rPr>
        <w:t>.</w:t>
      </w:r>
      <w:r>
        <w:rPr>
          <w:rFonts w:hint="default" w:ascii="Arial" w:hAnsi="Arial"/>
          <w:b/>
          <w:color w:val="auto"/>
          <w:sz w:val="22"/>
          <w:szCs w:val="22"/>
        </w:rPr>
        <w:t xml:space="preserve"> Subcontratação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6.5.1</w:t>
      </w:r>
      <w:r>
        <w:rPr>
          <w:rFonts w:hint="default" w:ascii="Arial" w:hAnsi="Arial"/>
          <w:b/>
          <w:bCs/>
          <w:color w:val="auto"/>
          <w:sz w:val="22"/>
          <w:szCs w:val="22"/>
          <w:lang w:val="pt-BR"/>
        </w:rPr>
        <w:t>.</w:t>
      </w:r>
      <w:r>
        <w:rPr>
          <w:rFonts w:hint="default" w:ascii="Arial" w:hAnsi="Arial"/>
          <w:color w:val="auto"/>
          <w:sz w:val="22"/>
          <w:szCs w:val="22"/>
        </w:rPr>
        <w:t xml:space="preserve"> A Contratada não poderá, sob nenhum pretexto ou hipótese, subcontratar todos os serviços objeto do contrato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6.5.2</w:t>
      </w:r>
      <w:r>
        <w:rPr>
          <w:rFonts w:hint="default" w:ascii="Arial" w:hAnsi="Arial"/>
          <w:b/>
          <w:bCs/>
          <w:color w:val="auto"/>
          <w:sz w:val="22"/>
          <w:szCs w:val="22"/>
          <w:lang w:val="pt-BR"/>
        </w:rPr>
        <w:t>.</w:t>
      </w:r>
      <w:r>
        <w:rPr>
          <w:rFonts w:hint="default" w:ascii="Arial" w:hAnsi="Arial"/>
          <w:color w:val="auto"/>
          <w:sz w:val="22"/>
          <w:szCs w:val="22"/>
        </w:rPr>
        <w:t xml:space="preserve"> A Contratada somente poderá subcontratar parte dos serviços caso a subcontratação seja aprovada prévia e expressamente pelo Contratante. Serão atividades técnicas passíveis de subcontratação: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6.5.2.1</w:t>
      </w:r>
      <w:r>
        <w:rPr>
          <w:rFonts w:hint="default" w:ascii="Arial" w:hAnsi="Arial"/>
          <w:b/>
          <w:bCs/>
          <w:color w:val="auto"/>
          <w:sz w:val="22"/>
          <w:szCs w:val="22"/>
          <w:lang w:val="pt-BR"/>
        </w:rPr>
        <w:t>.</w:t>
      </w:r>
      <w:r>
        <w:rPr>
          <w:rFonts w:hint="default" w:ascii="Arial" w:hAnsi="Arial"/>
          <w:color w:val="auto"/>
          <w:sz w:val="22"/>
          <w:szCs w:val="22"/>
          <w:lang w:val="pt-BR"/>
        </w:rPr>
        <w:t xml:space="preserve"> </w:t>
      </w:r>
      <w:r>
        <w:rPr>
          <w:rFonts w:hint="default" w:ascii="Arial" w:hAnsi="Arial"/>
          <w:color w:val="auto"/>
          <w:sz w:val="22"/>
          <w:szCs w:val="22"/>
        </w:rPr>
        <w:t xml:space="preserve"> Levantamento Topográfico;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6.5.2.2</w:t>
      </w:r>
      <w:r>
        <w:rPr>
          <w:rFonts w:hint="default" w:ascii="Arial" w:hAnsi="Arial"/>
          <w:color w:val="auto"/>
          <w:sz w:val="22"/>
          <w:szCs w:val="22"/>
          <w:lang w:val="pt-BR"/>
        </w:rPr>
        <w:t>.</w:t>
      </w:r>
      <w:r>
        <w:rPr>
          <w:rFonts w:hint="default" w:ascii="Arial" w:hAnsi="Arial"/>
          <w:color w:val="auto"/>
          <w:sz w:val="22"/>
          <w:szCs w:val="22"/>
        </w:rPr>
        <w:t xml:space="preserve"> Estudos geotécnicos e hidrológicos;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6.5.2.3</w:t>
      </w:r>
      <w:r>
        <w:rPr>
          <w:rFonts w:hint="default" w:ascii="Arial" w:hAnsi="Arial"/>
          <w:b/>
          <w:bCs/>
          <w:color w:val="auto"/>
          <w:sz w:val="22"/>
          <w:szCs w:val="22"/>
          <w:lang w:val="pt-BR"/>
        </w:rPr>
        <w:t>.</w:t>
      </w:r>
      <w:r>
        <w:rPr>
          <w:rFonts w:hint="default" w:ascii="Arial" w:hAnsi="Arial"/>
          <w:color w:val="auto"/>
          <w:sz w:val="22"/>
          <w:szCs w:val="22"/>
        </w:rPr>
        <w:t xml:space="preserve"> Projeto Executivo de Captação e Distribuição de Águas Pluviais.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6.5.3</w:t>
      </w:r>
      <w:r>
        <w:rPr>
          <w:rFonts w:hint="default" w:ascii="Arial" w:hAnsi="Arial"/>
          <w:b/>
          <w:bCs/>
          <w:color w:val="auto"/>
          <w:sz w:val="22"/>
          <w:szCs w:val="22"/>
          <w:lang w:val="pt-BR"/>
        </w:rPr>
        <w:t>.</w:t>
      </w:r>
      <w:r>
        <w:rPr>
          <w:rFonts w:hint="default" w:ascii="Arial" w:hAnsi="Arial"/>
          <w:color w:val="auto"/>
          <w:sz w:val="22"/>
          <w:szCs w:val="22"/>
        </w:rPr>
        <w:t xml:space="preserve"> Se autorizada a efetuar a subcontratação de parte dos serviços, a Contratada realizará a supervisão e coordenação das atividades da subcontratada, bem como responderá perante o Contratante pelo rigoroso cumprimento das obrigações contratuais correspondentes ao objeto da subcontratação.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6.6</w:t>
      </w:r>
      <w:r>
        <w:rPr>
          <w:rFonts w:hint="default" w:ascii="Arial" w:hAnsi="Arial"/>
          <w:b/>
          <w:color w:val="auto"/>
          <w:sz w:val="22"/>
          <w:szCs w:val="22"/>
          <w:lang w:val="pt-BR"/>
        </w:rPr>
        <w:t>.</w:t>
      </w:r>
      <w:r>
        <w:rPr>
          <w:rFonts w:hint="default" w:ascii="Arial" w:hAnsi="Arial"/>
          <w:b/>
          <w:color w:val="auto"/>
          <w:sz w:val="22"/>
          <w:szCs w:val="22"/>
        </w:rPr>
        <w:t xml:space="preserve"> Apresentação de Desenhos e Documentos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w:t>
      </w:r>
      <w:r>
        <w:rPr>
          <w:rFonts w:hint="default" w:ascii="Arial" w:hAnsi="Arial"/>
          <w:b/>
          <w:bCs/>
          <w:color w:val="auto"/>
          <w:sz w:val="22"/>
          <w:szCs w:val="22"/>
          <w:lang w:val="pt-BR"/>
        </w:rPr>
        <w:t>.</w:t>
      </w:r>
      <w:r>
        <w:rPr>
          <w:rFonts w:hint="default" w:ascii="Arial" w:hAnsi="Arial"/>
          <w:color w:val="auto"/>
          <w:sz w:val="22"/>
          <w:szCs w:val="22"/>
        </w:rPr>
        <w:t xml:space="preserve"> A documentação técnica que representa o Projeto como um todo é composta de elementos gráficos (desenhos em escala com cotas), e de elementos textuais (memoriais, declarações, planilhas, cronogramas, etc.), que deverão ser produzidos e apresentados, de acordo com a sua especificidade, conforme as normas técnicas estabelecidas e as disposições do Contratante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6.6.2</w:t>
      </w:r>
      <w:r>
        <w:rPr>
          <w:rFonts w:hint="default" w:ascii="Arial" w:hAnsi="Arial"/>
          <w:b/>
          <w:bCs/>
          <w:color w:val="auto"/>
          <w:sz w:val="22"/>
          <w:szCs w:val="22"/>
          <w:lang w:val="pt-BR"/>
        </w:rPr>
        <w:t>.</w:t>
      </w:r>
      <w:r>
        <w:rPr>
          <w:rFonts w:hint="default" w:ascii="Arial" w:hAnsi="Arial"/>
          <w:color w:val="auto"/>
          <w:sz w:val="22"/>
          <w:szCs w:val="22"/>
        </w:rPr>
        <w:t xml:space="preserve"> Os desenhos, textos e demais documentos conterão na parte inferior ou superior, no mínimo, as seguintes informações:</w:t>
      </w:r>
    </w:p>
    <w:p>
      <w:pPr>
        <w:keepNext w:val="0"/>
        <w:keepLines w:val="0"/>
        <w:pageBreakBefore w:val="0"/>
        <w:kinsoku/>
        <w:wordWrap/>
        <w:overflowPunct/>
        <w:topLinePunct w:val="0"/>
        <w:autoSpaceDE/>
        <w:bidi w:val="0"/>
        <w:adjustRightInd/>
        <w:snapToGrid/>
        <w:spacing w:after="0" w:line="360" w:lineRule="auto"/>
        <w:ind w:left="218" w:leftChars="91" w:firstLine="20" w:firstLineChars="9"/>
        <w:jc w:val="both"/>
        <w:rPr>
          <w:rFonts w:hint="default" w:ascii="Arial" w:hAnsi="Arial"/>
          <w:color w:val="auto"/>
          <w:sz w:val="22"/>
          <w:szCs w:val="22"/>
        </w:rPr>
      </w:pPr>
      <w:r>
        <w:rPr>
          <w:rFonts w:hint="default" w:ascii="Arial" w:hAnsi="Arial"/>
          <w:b/>
          <w:bCs/>
          <w:color w:val="auto"/>
          <w:sz w:val="22"/>
          <w:szCs w:val="22"/>
        </w:rPr>
        <w:t xml:space="preserve">a) </w:t>
      </w:r>
      <w:r>
        <w:rPr>
          <w:rFonts w:hint="default" w:ascii="Arial" w:hAnsi="Arial"/>
          <w:color w:val="auto"/>
          <w:sz w:val="22"/>
          <w:szCs w:val="22"/>
        </w:rPr>
        <w:t>Identificação do Contratante;</w:t>
      </w:r>
    </w:p>
    <w:p>
      <w:pPr>
        <w:keepNext w:val="0"/>
        <w:keepLines w:val="0"/>
        <w:pageBreakBefore w:val="0"/>
        <w:kinsoku/>
        <w:wordWrap/>
        <w:overflowPunct/>
        <w:topLinePunct w:val="0"/>
        <w:autoSpaceDE/>
        <w:bidi w:val="0"/>
        <w:adjustRightInd/>
        <w:snapToGrid/>
        <w:spacing w:after="0" w:line="360" w:lineRule="auto"/>
        <w:ind w:left="218" w:leftChars="91" w:firstLine="20" w:firstLineChars="9"/>
        <w:jc w:val="both"/>
        <w:rPr>
          <w:rFonts w:hint="default" w:ascii="Arial" w:hAnsi="Arial"/>
          <w:color w:val="auto"/>
          <w:sz w:val="22"/>
          <w:szCs w:val="22"/>
        </w:rPr>
      </w:pPr>
      <w:r>
        <w:rPr>
          <w:rFonts w:hint="default" w:ascii="Arial" w:hAnsi="Arial"/>
          <w:b/>
          <w:bCs/>
          <w:color w:val="auto"/>
          <w:sz w:val="22"/>
          <w:szCs w:val="22"/>
        </w:rPr>
        <w:t xml:space="preserve">b) </w:t>
      </w:r>
      <w:r>
        <w:rPr>
          <w:rFonts w:hint="default" w:ascii="Arial" w:hAnsi="Arial"/>
          <w:color w:val="auto"/>
          <w:sz w:val="22"/>
          <w:szCs w:val="22"/>
        </w:rPr>
        <w:t>Identificação da Contratada (nome da empresa e CNPJ) e dos autores dos c) Projetos (nome, habilitação e registro profissional, número da ART/RRT e assinatura);</w:t>
      </w:r>
    </w:p>
    <w:p>
      <w:pPr>
        <w:keepNext w:val="0"/>
        <w:keepLines w:val="0"/>
        <w:pageBreakBefore w:val="0"/>
        <w:kinsoku/>
        <w:wordWrap/>
        <w:overflowPunct/>
        <w:topLinePunct w:val="0"/>
        <w:autoSpaceDE/>
        <w:bidi w:val="0"/>
        <w:adjustRightInd/>
        <w:snapToGrid/>
        <w:spacing w:after="0" w:line="360" w:lineRule="auto"/>
        <w:ind w:left="218" w:leftChars="91" w:firstLine="20" w:firstLineChars="9"/>
        <w:jc w:val="both"/>
        <w:rPr>
          <w:rFonts w:hint="default" w:ascii="Arial" w:hAnsi="Arial"/>
          <w:color w:val="auto"/>
          <w:sz w:val="22"/>
          <w:szCs w:val="22"/>
        </w:rPr>
      </w:pPr>
      <w:r>
        <w:rPr>
          <w:rFonts w:hint="default" w:ascii="Arial" w:hAnsi="Arial"/>
          <w:b/>
          <w:bCs/>
          <w:color w:val="auto"/>
          <w:sz w:val="22"/>
          <w:szCs w:val="22"/>
        </w:rPr>
        <w:t xml:space="preserve">d) </w:t>
      </w:r>
      <w:r>
        <w:rPr>
          <w:rFonts w:hint="default" w:ascii="Arial" w:hAnsi="Arial"/>
          <w:color w:val="auto"/>
          <w:sz w:val="22"/>
          <w:szCs w:val="22"/>
        </w:rPr>
        <w:t>Identificação da edificação (nome e endereço completo);</w:t>
      </w:r>
    </w:p>
    <w:p>
      <w:pPr>
        <w:keepNext w:val="0"/>
        <w:keepLines w:val="0"/>
        <w:pageBreakBefore w:val="0"/>
        <w:kinsoku/>
        <w:wordWrap/>
        <w:overflowPunct/>
        <w:topLinePunct w:val="0"/>
        <w:autoSpaceDE/>
        <w:bidi w:val="0"/>
        <w:adjustRightInd/>
        <w:snapToGrid/>
        <w:spacing w:after="0" w:line="360" w:lineRule="auto"/>
        <w:ind w:left="218" w:leftChars="91" w:firstLine="20" w:firstLineChars="9"/>
        <w:jc w:val="both"/>
        <w:rPr>
          <w:rFonts w:hint="default" w:ascii="Arial" w:hAnsi="Arial"/>
          <w:color w:val="auto"/>
          <w:sz w:val="22"/>
          <w:szCs w:val="22"/>
        </w:rPr>
      </w:pPr>
      <w:r>
        <w:rPr>
          <w:rFonts w:hint="default" w:ascii="Arial" w:hAnsi="Arial"/>
          <w:b/>
          <w:bCs/>
          <w:color w:val="auto"/>
          <w:sz w:val="22"/>
          <w:szCs w:val="22"/>
        </w:rPr>
        <w:t>e)</w:t>
      </w:r>
      <w:r>
        <w:rPr>
          <w:rFonts w:hint="default" w:ascii="Arial" w:hAnsi="Arial"/>
          <w:color w:val="auto"/>
          <w:sz w:val="22"/>
          <w:szCs w:val="22"/>
        </w:rPr>
        <w:t xml:space="preserve"> Identificação do Projeto (etapa de execução, atividade técnica e codificação);</w:t>
      </w:r>
    </w:p>
    <w:p>
      <w:pPr>
        <w:keepNext w:val="0"/>
        <w:keepLines w:val="0"/>
        <w:pageBreakBefore w:val="0"/>
        <w:kinsoku/>
        <w:wordWrap/>
        <w:overflowPunct/>
        <w:topLinePunct w:val="0"/>
        <w:autoSpaceDE/>
        <w:bidi w:val="0"/>
        <w:adjustRightInd/>
        <w:snapToGrid/>
        <w:spacing w:after="0" w:line="360" w:lineRule="auto"/>
        <w:ind w:left="218" w:leftChars="91" w:firstLine="20" w:firstLineChars="9"/>
        <w:jc w:val="both"/>
        <w:rPr>
          <w:rFonts w:hint="default" w:ascii="Arial" w:hAnsi="Arial"/>
          <w:color w:val="auto"/>
          <w:sz w:val="22"/>
          <w:szCs w:val="22"/>
        </w:rPr>
      </w:pPr>
      <w:r>
        <w:rPr>
          <w:rFonts w:hint="default" w:ascii="Arial" w:hAnsi="Arial"/>
          <w:b/>
          <w:bCs/>
          <w:color w:val="auto"/>
          <w:sz w:val="22"/>
          <w:szCs w:val="22"/>
        </w:rPr>
        <w:t>f)</w:t>
      </w:r>
      <w:r>
        <w:rPr>
          <w:rFonts w:hint="default" w:ascii="Arial" w:hAnsi="Arial"/>
          <w:color w:val="auto"/>
          <w:sz w:val="22"/>
          <w:szCs w:val="22"/>
        </w:rPr>
        <w:t xml:space="preserve"> Identificação do documento (título, data da emissão, data e número de revisão);</w:t>
      </w:r>
    </w:p>
    <w:p>
      <w:pPr>
        <w:keepNext w:val="0"/>
        <w:keepLines w:val="0"/>
        <w:pageBreakBefore w:val="0"/>
        <w:kinsoku/>
        <w:wordWrap/>
        <w:overflowPunct/>
        <w:topLinePunct w:val="0"/>
        <w:autoSpaceDE/>
        <w:bidi w:val="0"/>
        <w:adjustRightInd/>
        <w:snapToGrid/>
        <w:spacing w:after="0" w:line="360" w:lineRule="auto"/>
        <w:ind w:left="218" w:leftChars="91" w:firstLine="20" w:firstLineChars="9"/>
        <w:jc w:val="both"/>
        <w:rPr>
          <w:rFonts w:hint="default" w:ascii="Arial" w:hAnsi="Arial"/>
          <w:color w:val="auto"/>
          <w:sz w:val="22"/>
          <w:szCs w:val="22"/>
        </w:rPr>
      </w:pPr>
      <w:r>
        <w:rPr>
          <w:rFonts w:hint="default" w:ascii="Arial" w:hAnsi="Arial"/>
          <w:b/>
          <w:bCs/>
          <w:color w:val="auto"/>
          <w:sz w:val="22"/>
          <w:szCs w:val="22"/>
        </w:rPr>
        <w:t>g)</w:t>
      </w:r>
      <w:r>
        <w:rPr>
          <w:rFonts w:hint="default" w:ascii="Arial" w:hAnsi="Arial"/>
          <w:color w:val="auto"/>
          <w:sz w:val="22"/>
          <w:szCs w:val="22"/>
        </w:rPr>
        <w:t xml:space="preserve"> Demais dados pertinentes.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6.6.3</w:t>
      </w:r>
      <w:r>
        <w:rPr>
          <w:rFonts w:hint="default" w:ascii="Arial" w:hAnsi="Arial"/>
          <w:b/>
          <w:bCs/>
          <w:color w:val="auto"/>
          <w:sz w:val="22"/>
          <w:szCs w:val="22"/>
          <w:lang w:val="pt-BR"/>
        </w:rPr>
        <w:t>.</w:t>
      </w:r>
      <w:r>
        <w:rPr>
          <w:rFonts w:hint="default" w:ascii="Arial" w:hAnsi="Arial"/>
          <w:color w:val="auto"/>
          <w:sz w:val="22"/>
          <w:szCs w:val="22"/>
        </w:rPr>
        <w:t xml:space="preserve"> A Contratada deverá emitir os desenhos e documentos de Projeto em obediência aos padrões previamente definidos pelo Contratante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6.6.4</w:t>
      </w:r>
      <w:r>
        <w:rPr>
          <w:rFonts w:hint="default" w:ascii="Arial" w:hAnsi="Arial"/>
          <w:b/>
          <w:bCs/>
          <w:color w:val="auto"/>
          <w:sz w:val="22"/>
          <w:szCs w:val="22"/>
          <w:lang w:val="pt-BR"/>
        </w:rPr>
        <w:t>.</w:t>
      </w:r>
      <w:r>
        <w:rPr>
          <w:rFonts w:hint="default" w:ascii="Arial" w:hAnsi="Arial"/>
          <w:color w:val="auto"/>
          <w:sz w:val="22"/>
          <w:szCs w:val="22"/>
        </w:rPr>
        <w:t xml:space="preserve"> Todos os documentos técnicos (desenhos, textos, etc.) deverão ser entregues ao Contratante em duas vias impressas, sendo que os desenhos deverão ser plotados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6.6.5</w:t>
      </w:r>
      <w:r>
        <w:rPr>
          <w:rFonts w:hint="default" w:ascii="Arial" w:hAnsi="Arial"/>
          <w:b/>
          <w:bCs/>
          <w:color w:val="auto"/>
          <w:sz w:val="22"/>
          <w:szCs w:val="22"/>
          <w:lang w:val="pt-BR"/>
        </w:rPr>
        <w:t>.</w:t>
      </w:r>
      <w:r>
        <w:rPr>
          <w:rFonts w:hint="default" w:ascii="Arial" w:hAnsi="Arial"/>
          <w:color w:val="auto"/>
          <w:sz w:val="22"/>
          <w:szCs w:val="22"/>
        </w:rPr>
        <w:t xml:space="preserve"> A Contratada deverá apresentar, quadro de composição de investimento.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w:t>
      </w:r>
      <w:r>
        <w:rPr>
          <w:rFonts w:hint="default" w:ascii="Arial" w:hAnsi="Arial"/>
          <w:b/>
          <w:bCs/>
          <w:color w:val="auto"/>
          <w:sz w:val="22"/>
          <w:szCs w:val="22"/>
          <w:lang w:val="pt-BR"/>
        </w:rPr>
        <w:t>6.</w:t>
      </w:r>
      <w:r>
        <w:rPr>
          <w:rFonts w:hint="default" w:ascii="Arial" w:hAnsi="Arial"/>
          <w:b/>
          <w:bCs/>
          <w:color w:val="auto"/>
          <w:sz w:val="22"/>
          <w:szCs w:val="22"/>
        </w:rPr>
        <w:t xml:space="preserve"> </w:t>
      </w:r>
      <w:r>
        <w:rPr>
          <w:rFonts w:hint="default" w:ascii="Arial" w:hAnsi="Arial"/>
          <w:color w:val="auto"/>
          <w:sz w:val="22"/>
          <w:szCs w:val="22"/>
        </w:rPr>
        <w:t>ART de estudos Geotécnicos e hidrológicos, ART/RRT de orçamento e complementar</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6.6.7</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ART emitida acrescentando a responsabilidade técnica pelos serviços de Pavimentação, Drenagem Passeio e Acessibilidade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6.6.8</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ART/RRT de elaboração de termo de referência para estudos ou projetos.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6.6.9</w:t>
      </w:r>
      <w:r>
        <w:rPr>
          <w:rFonts w:hint="default" w:ascii="Arial" w:hAnsi="Arial"/>
          <w:b/>
          <w:bCs/>
          <w:color w:val="auto"/>
          <w:sz w:val="22"/>
          <w:szCs w:val="22"/>
          <w:lang w:val="pt-BR"/>
        </w:rPr>
        <w:t>.</w:t>
      </w:r>
      <w:r>
        <w:rPr>
          <w:rFonts w:hint="default" w:ascii="Arial" w:hAnsi="Arial"/>
          <w:color w:val="auto"/>
          <w:sz w:val="22"/>
          <w:szCs w:val="22"/>
        </w:rPr>
        <w:t xml:space="preserve"> Planilha orçamentária detalhada ATUALIZADA (sugere-se utilizar o último SINAP disponível), impressa e em arquivo editável, indicando índice de BDI, fontes e códigos de composição de serviços, responsável técnico, data base, encargos sociais e manifestação quanto a desoneração, indicando a alternativa adotada e a mais adequada para a administração pública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6.6.10</w:t>
      </w:r>
      <w:r>
        <w:rPr>
          <w:rFonts w:hint="default" w:ascii="Arial" w:hAnsi="Arial"/>
          <w:b/>
          <w:bCs/>
          <w:color w:val="auto"/>
          <w:sz w:val="22"/>
          <w:szCs w:val="22"/>
          <w:lang w:val="pt-BR"/>
        </w:rPr>
        <w:t>.</w:t>
      </w:r>
      <w:r>
        <w:rPr>
          <w:rFonts w:hint="default" w:ascii="Arial" w:hAnsi="Arial"/>
          <w:color w:val="auto"/>
          <w:sz w:val="22"/>
          <w:szCs w:val="22"/>
        </w:rPr>
        <w:t xml:space="preserve"> Representar a planilha orçamentária com preços de serviços atualizados, de preferência para o último SINAP disponível. Apresentar composição analítica do BDI, indicar se o orçamento e com desoneração ou sem desoneração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6.6.11</w:t>
      </w:r>
      <w:r>
        <w:rPr>
          <w:rFonts w:hint="default" w:ascii="Arial" w:hAnsi="Arial"/>
          <w:b/>
          <w:bCs/>
          <w:color w:val="auto"/>
          <w:sz w:val="22"/>
          <w:szCs w:val="22"/>
          <w:lang w:val="pt-BR"/>
        </w:rPr>
        <w:t>.</w:t>
      </w:r>
      <w:r>
        <w:rPr>
          <w:rFonts w:hint="default" w:ascii="Arial" w:hAnsi="Arial"/>
          <w:color w:val="auto"/>
          <w:sz w:val="22"/>
          <w:szCs w:val="22"/>
        </w:rPr>
        <w:t xml:space="preserve"> Composição de preços unitários para composição de custos não disponíveis no sistema SINAP/SICRO, quadro resumo de cotações apresentando no mínimo 03 (três) cotações para cada item e indicando nome da empresa CNPJ, telefone do contato e data assinado pelo responsável técnico pela planilha orçamentária. Obs.: adotar como referência valor igual ou inferior à mediana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6.6.12</w:t>
      </w:r>
      <w:r>
        <w:rPr>
          <w:rFonts w:hint="default" w:ascii="Arial" w:hAnsi="Arial"/>
          <w:b/>
          <w:bCs/>
          <w:color w:val="auto"/>
          <w:sz w:val="22"/>
          <w:szCs w:val="22"/>
          <w:lang w:val="pt-BR"/>
        </w:rPr>
        <w:t>.</w:t>
      </w:r>
      <w:r>
        <w:rPr>
          <w:rFonts w:hint="default" w:ascii="Arial" w:hAnsi="Arial"/>
          <w:color w:val="auto"/>
          <w:sz w:val="22"/>
          <w:szCs w:val="22"/>
        </w:rPr>
        <w:t xml:space="preserve">  Cronograma físico financeiro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6.6.13</w:t>
      </w:r>
      <w:r>
        <w:rPr>
          <w:rFonts w:hint="default" w:ascii="Arial" w:hAnsi="Arial"/>
          <w:b/>
          <w:bCs/>
          <w:color w:val="auto"/>
          <w:sz w:val="22"/>
          <w:szCs w:val="22"/>
          <w:lang w:val="pt-BR"/>
        </w:rPr>
        <w:t>.</w:t>
      </w:r>
      <w:r>
        <w:rPr>
          <w:rFonts w:hint="default" w:ascii="Arial" w:hAnsi="Arial"/>
          <w:color w:val="auto"/>
          <w:sz w:val="22"/>
          <w:szCs w:val="22"/>
        </w:rPr>
        <w:t xml:space="preserve">  Memória de cálculo de quantidades dos serviços indicados na planilha orçamentária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6.6.14</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 xml:space="preserve"> Memorial descritivo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6.6.15</w:t>
      </w:r>
      <w:r>
        <w:rPr>
          <w:rFonts w:hint="default" w:ascii="Arial" w:hAnsi="Arial"/>
          <w:b/>
          <w:bCs/>
          <w:color w:val="auto"/>
          <w:sz w:val="22"/>
          <w:szCs w:val="22"/>
          <w:lang w:val="pt-BR"/>
        </w:rPr>
        <w:t>.</w:t>
      </w:r>
      <w:r>
        <w:rPr>
          <w:rFonts w:hint="default" w:ascii="Arial" w:hAnsi="Arial"/>
          <w:color w:val="auto"/>
          <w:sz w:val="22"/>
          <w:szCs w:val="22"/>
        </w:rPr>
        <w:t xml:space="preserve">  Especificação técnica dos bens, equipamentos ou insumos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6.6.16</w:t>
      </w:r>
      <w:r>
        <w:rPr>
          <w:rFonts w:hint="default" w:ascii="Arial" w:hAnsi="Arial"/>
          <w:b/>
          <w:bCs/>
          <w:color w:val="auto"/>
          <w:sz w:val="22"/>
          <w:szCs w:val="22"/>
          <w:lang w:val="pt-BR"/>
        </w:rPr>
        <w:t>.</w:t>
      </w:r>
      <w:r>
        <w:rPr>
          <w:rFonts w:hint="default" w:ascii="Arial" w:hAnsi="Arial"/>
          <w:color w:val="auto"/>
          <w:sz w:val="22"/>
          <w:szCs w:val="22"/>
        </w:rPr>
        <w:t xml:space="preserve"> Declaração de existência, viabilidade de fornecimento ou capacidade de atendimento de água potável, energia elétrica, coleta de esgoto e resíduos emitidas pelas concessionárias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6.6.17</w:t>
      </w:r>
      <w:r>
        <w:rPr>
          <w:rFonts w:hint="default" w:ascii="Arial" w:hAnsi="Arial"/>
          <w:b/>
          <w:bCs/>
          <w:color w:val="auto"/>
          <w:sz w:val="22"/>
          <w:szCs w:val="22"/>
          <w:lang w:val="pt-BR"/>
        </w:rPr>
        <w:t>.</w:t>
      </w:r>
      <w:r>
        <w:rPr>
          <w:rFonts w:hint="default" w:ascii="Arial" w:hAnsi="Arial"/>
          <w:color w:val="auto"/>
          <w:sz w:val="22"/>
          <w:szCs w:val="22"/>
        </w:rPr>
        <w:t xml:space="preserve"> Planilha de levantamento de eventos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6.6.18</w:t>
      </w:r>
      <w:r>
        <w:rPr>
          <w:rFonts w:hint="default" w:ascii="Arial" w:hAnsi="Arial"/>
          <w:b/>
          <w:bCs/>
          <w:color w:val="auto"/>
          <w:sz w:val="22"/>
          <w:szCs w:val="22"/>
          <w:lang w:val="pt-BR"/>
        </w:rPr>
        <w:t>.</w:t>
      </w:r>
      <w:r>
        <w:rPr>
          <w:rFonts w:hint="default" w:ascii="Arial" w:hAnsi="Arial"/>
          <w:color w:val="auto"/>
          <w:sz w:val="22"/>
          <w:szCs w:val="22"/>
        </w:rPr>
        <w:t xml:space="preserve"> Outras licenças outorgas, autorizações e declarações do tomador e demais órgãos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6.6.19</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Estudos Geotécnicos e Hidrológicos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6.6.20</w:t>
      </w:r>
      <w:r>
        <w:rPr>
          <w:rFonts w:hint="default" w:ascii="Arial" w:hAnsi="Arial"/>
          <w:b/>
          <w:bCs/>
          <w:color w:val="auto"/>
          <w:sz w:val="22"/>
          <w:szCs w:val="22"/>
          <w:lang w:val="pt-BR"/>
        </w:rPr>
        <w:t>.</w:t>
      </w:r>
      <w:r>
        <w:rPr>
          <w:rFonts w:hint="default" w:ascii="Arial" w:hAnsi="Arial"/>
          <w:color w:val="auto"/>
          <w:sz w:val="22"/>
          <w:szCs w:val="22"/>
        </w:rPr>
        <w:t xml:space="preserve"> Levantamento Topográfico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6.6.2</w:t>
      </w:r>
      <w:r>
        <w:rPr>
          <w:rFonts w:hint="default" w:ascii="Arial" w:hAnsi="Arial"/>
          <w:b/>
          <w:bCs/>
          <w:color w:val="auto"/>
          <w:sz w:val="22"/>
          <w:szCs w:val="22"/>
          <w:lang w:val="pt-BR"/>
        </w:rPr>
        <w:t>1.</w:t>
      </w:r>
      <w:r>
        <w:rPr>
          <w:rFonts w:hint="default" w:ascii="Arial" w:hAnsi="Arial"/>
          <w:color w:val="auto"/>
          <w:sz w:val="22"/>
          <w:szCs w:val="22"/>
        </w:rPr>
        <w:t xml:space="preserve"> Projeto de Pavimentaçã</w:t>
      </w:r>
      <w:r>
        <w:rPr>
          <w:rFonts w:hint="default" w:ascii="Arial" w:hAnsi="Arial" w:eastAsia="Calibri" w:cs="Times New Roman"/>
          <w:color w:val="auto"/>
          <w:sz w:val="22"/>
          <w:szCs w:val="22"/>
          <w:lang w:val="pt-BR" w:eastAsia="en-US" w:bidi="en-US"/>
        </w:rPr>
        <w:t>o (recuperação da pavimentação asfáltica);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6.6.2</w:t>
      </w:r>
      <w:r>
        <w:rPr>
          <w:rFonts w:hint="default" w:ascii="Arial" w:hAnsi="Arial"/>
          <w:b/>
          <w:bCs/>
          <w:color w:val="auto"/>
          <w:sz w:val="22"/>
          <w:szCs w:val="22"/>
          <w:lang w:val="pt-BR"/>
        </w:rPr>
        <w:t>2.</w:t>
      </w:r>
      <w:r>
        <w:rPr>
          <w:rFonts w:hint="default" w:ascii="Arial" w:hAnsi="Arial"/>
          <w:color w:val="auto"/>
          <w:sz w:val="22"/>
          <w:szCs w:val="22"/>
        </w:rPr>
        <w:t xml:space="preserve"> Projeto de Drenagem</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6.6.2</w:t>
      </w:r>
      <w:r>
        <w:rPr>
          <w:rFonts w:hint="default" w:ascii="Arial" w:hAnsi="Arial"/>
          <w:b/>
          <w:bCs/>
          <w:color w:val="auto"/>
          <w:sz w:val="22"/>
          <w:szCs w:val="22"/>
          <w:lang w:val="pt-BR"/>
        </w:rPr>
        <w:t>3.</w:t>
      </w:r>
      <w:r>
        <w:rPr>
          <w:rFonts w:hint="default" w:ascii="Arial" w:hAnsi="Arial"/>
          <w:color w:val="auto"/>
          <w:sz w:val="22"/>
          <w:szCs w:val="22"/>
        </w:rPr>
        <w:t xml:space="preserve"> Projeto de remanejamento de interferências (rede de energia elétrica, rede e adutora de água, rede, interceptores, emissário de esgoto, rede de dados e de edificações)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w:t>
      </w:r>
      <w:r>
        <w:rPr>
          <w:rFonts w:hint="default" w:ascii="Arial" w:hAnsi="Arial"/>
          <w:b/>
          <w:bCs/>
          <w:color w:val="auto"/>
          <w:sz w:val="22"/>
          <w:szCs w:val="22"/>
          <w:lang w:val="pt-BR"/>
        </w:rPr>
        <w:t>24.</w:t>
      </w:r>
      <w:r>
        <w:rPr>
          <w:rFonts w:hint="default" w:ascii="Arial" w:hAnsi="Arial"/>
          <w:color w:val="auto"/>
          <w:sz w:val="22"/>
          <w:szCs w:val="22"/>
        </w:rPr>
        <w:t xml:space="preserve"> Apresentar declaração informativa relativa a opção mais adequada para o Município no que tange aos encargos sociais, se com desoneração ou sem desoneração sobre a planilha orçamentária da obra.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w:t>
      </w:r>
      <w:r>
        <w:rPr>
          <w:rFonts w:hint="default" w:ascii="Arial" w:hAnsi="Arial"/>
          <w:b/>
          <w:bCs/>
          <w:color w:val="auto"/>
          <w:sz w:val="22"/>
          <w:szCs w:val="22"/>
          <w:lang w:val="pt-BR"/>
        </w:rPr>
        <w:t>25.</w:t>
      </w:r>
      <w:r>
        <w:rPr>
          <w:rFonts w:hint="default" w:ascii="Arial" w:hAnsi="Arial"/>
          <w:color w:val="auto"/>
          <w:sz w:val="22"/>
          <w:szCs w:val="22"/>
        </w:rPr>
        <w:t xml:space="preserve"> Em caso de intervenção em vias cuja a administração e conservação estejam a cargo de órgão estadual e/ou federal, apresentar a manifestação do órgão acerca das intervenções propostas.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w:t>
      </w:r>
      <w:r>
        <w:rPr>
          <w:rFonts w:hint="default" w:ascii="Arial" w:hAnsi="Arial"/>
          <w:b/>
          <w:bCs/>
          <w:color w:val="auto"/>
          <w:sz w:val="22"/>
          <w:szCs w:val="22"/>
          <w:lang w:val="pt-BR"/>
        </w:rPr>
        <w:t>26.</w:t>
      </w:r>
      <w:r>
        <w:rPr>
          <w:rFonts w:hint="default" w:ascii="Arial" w:hAnsi="Arial"/>
          <w:color w:val="auto"/>
          <w:sz w:val="22"/>
          <w:szCs w:val="22"/>
        </w:rPr>
        <w:t xml:space="preserve"> A Contratada deverá fornecer ao Contratante cópia em Pen drive dos arquivos correspondentes a todos os documentos técnicos produzidos nas diversas fases do Projeto, devidamente relacionados e identificados. Os elementos gráficos deverão ser disponibilizados em formato .dwg, e os elementos textuais em formato .doc ou .xls.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w:t>
      </w:r>
      <w:r>
        <w:rPr>
          <w:rFonts w:hint="default" w:ascii="Arial" w:hAnsi="Arial"/>
          <w:b/>
          <w:bCs/>
          <w:color w:val="auto"/>
          <w:sz w:val="22"/>
          <w:szCs w:val="22"/>
          <w:lang w:val="pt-BR"/>
        </w:rPr>
        <w:t>27.</w:t>
      </w:r>
      <w:r>
        <w:rPr>
          <w:rFonts w:hint="default" w:ascii="Arial" w:hAnsi="Arial"/>
          <w:color w:val="auto"/>
          <w:sz w:val="22"/>
          <w:szCs w:val="22"/>
        </w:rPr>
        <w:t xml:space="preserve"> Os desenhos que comporão o Estudo Preliminar poderão ser produzidos à mão livre ou com o programa AutoCAD, versão 2007 ou superior, da Autodesk. A escala a utilizar, em cada caso, deve ser indicada e ser suficiente à representação dos elementos construtivos e referenciais.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w:t>
      </w:r>
      <w:r>
        <w:rPr>
          <w:rFonts w:hint="default" w:ascii="Arial" w:hAnsi="Arial"/>
          <w:b/>
          <w:bCs/>
          <w:color w:val="auto"/>
          <w:sz w:val="22"/>
          <w:szCs w:val="22"/>
          <w:lang w:val="pt-BR"/>
        </w:rPr>
        <w:t>28.</w:t>
      </w:r>
      <w:r>
        <w:rPr>
          <w:rFonts w:hint="default" w:ascii="Arial" w:hAnsi="Arial"/>
          <w:color w:val="auto"/>
          <w:sz w:val="22"/>
          <w:szCs w:val="22"/>
        </w:rPr>
        <w:t xml:space="preserve"> Os desenhos que comporão o Projeto Básico deverão ser produzidos com o programa AutoCAD, versão 2007 ou superior, da Autodesk. A representação geral indicações terão as escalas de representação adequadas ao seu objetivo, proporcionando boa legibilidade.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w:t>
      </w:r>
      <w:r>
        <w:rPr>
          <w:rFonts w:hint="default" w:ascii="Arial" w:hAnsi="Arial"/>
          <w:b/>
          <w:bCs/>
          <w:color w:val="auto"/>
          <w:sz w:val="22"/>
          <w:szCs w:val="22"/>
          <w:lang w:val="pt-BR"/>
        </w:rPr>
        <w:t>29.</w:t>
      </w:r>
      <w:r>
        <w:rPr>
          <w:rFonts w:hint="default" w:ascii="Arial" w:hAnsi="Arial"/>
          <w:color w:val="auto"/>
          <w:sz w:val="22"/>
          <w:szCs w:val="22"/>
        </w:rPr>
        <w:t xml:space="preserve"> Os desenhos que comporão o Projeto Executivo deverão ser produzidos com o programa AutoCAD, versão 2007 ou superior, da Autodesk. A representação geral, os detalhes executivos e demais indicações terão as escalas de representação adequadas ao seu objetivo, proporcionando boa legibilidade.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6.6.3</w:t>
      </w:r>
      <w:r>
        <w:rPr>
          <w:rFonts w:hint="default" w:ascii="Arial" w:hAnsi="Arial"/>
          <w:b/>
          <w:bCs/>
          <w:color w:val="auto"/>
          <w:sz w:val="22"/>
          <w:szCs w:val="22"/>
          <w:lang w:val="pt-BR"/>
        </w:rPr>
        <w:t>0.</w:t>
      </w:r>
      <w:r>
        <w:rPr>
          <w:rFonts w:hint="default" w:ascii="Arial" w:hAnsi="Arial"/>
          <w:color w:val="auto"/>
          <w:sz w:val="22"/>
          <w:szCs w:val="22"/>
        </w:rPr>
        <w:t xml:space="preserve"> Os documentos técnicos de cada um dos Projetos deverão ser agrupados em jogos separados e independentes, em correspondência a cada atividade técnica envolvida.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6.6.3</w:t>
      </w:r>
      <w:r>
        <w:rPr>
          <w:rFonts w:hint="default" w:ascii="Arial" w:hAnsi="Arial"/>
          <w:b/>
          <w:bCs/>
          <w:color w:val="auto"/>
          <w:sz w:val="22"/>
          <w:szCs w:val="22"/>
          <w:lang w:val="pt-BR"/>
        </w:rPr>
        <w:t>1.</w:t>
      </w:r>
      <w:r>
        <w:rPr>
          <w:rFonts w:hint="default" w:ascii="Arial" w:hAnsi="Arial"/>
          <w:color w:val="auto"/>
          <w:sz w:val="22"/>
          <w:szCs w:val="22"/>
        </w:rPr>
        <w:t xml:space="preserve">  Os desenhos de cada Projeto deverão ser numerados sequencialmente e conter indicação do número total de pranchas que compõem o conjunto.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Os desenhos e demais documentos técnicos deverão obedecer aos formatos e normas de representação previstas na ABNT e deverá ser indicada, para cada Projeto, a simbologia utilizada.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6.6.3</w:t>
      </w:r>
      <w:r>
        <w:rPr>
          <w:rFonts w:hint="default" w:ascii="Arial" w:hAnsi="Arial"/>
          <w:b/>
          <w:bCs/>
          <w:color w:val="auto"/>
          <w:sz w:val="22"/>
          <w:szCs w:val="22"/>
          <w:lang w:val="pt-BR"/>
        </w:rPr>
        <w:t>2.</w:t>
      </w:r>
      <w:r>
        <w:rPr>
          <w:rFonts w:hint="default" w:ascii="Arial" w:hAnsi="Arial"/>
          <w:color w:val="auto"/>
          <w:sz w:val="22"/>
          <w:szCs w:val="22"/>
        </w:rPr>
        <w:t xml:space="preserve"> O Contratante e a CAIXA poderão exigir a apresentação e/ou o desenvolvimento de todos os detalhes e documentos que julgarem convenientes para a perfeita caracterização do Projeto; como por exemplo, as Memórias de Cálculo que determinaram a Planilha Orçamentária, sem que tal procedimento represente a necessidade de aditivo contratual.</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7</w:t>
      </w:r>
      <w:r>
        <w:rPr>
          <w:rFonts w:hint="default" w:ascii="Arial" w:hAnsi="Arial"/>
          <w:b/>
          <w:color w:val="auto"/>
          <w:sz w:val="22"/>
          <w:szCs w:val="22"/>
          <w:lang w:val="pt-BR"/>
        </w:rPr>
        <w:t>.</w:t>
      </w:r>
      <w:r>
        <w:rPr>
          <w:rFonts w:hint="default" w:ascii="Arial" w:hAnsi="Arial"/>
          <w:b/>
          <w:color w:val="auto"/>
          <w:sz w:val="22"/>
          <w:szCs w:val="22"/>
        </w:rPr>
        <w:t xml:space="preserve"> CLÁ</w:t>
      </w:r>
      <w:r>
        <w:rPr>
          <w:rFonts w:hint="default" w:ascii="Arial" w:hAnsi="Arial"/>
          <w:b/>
          <w:color w:val="auto"/>
          <w:sz w:val="22"/>
          <w:szCs w:val="22"/>
          <w:lang w:val="pt-BR"/>
        </w:rPr>
        <w:t>U</w:t>
      </w:r>
      <w:r>
        <w:rPr>
          <w:rFonts w:hint="default" w:ascii="Arial" w:hAnsi="Arial"/>
          <w:b/>
          <w:color w:val="auto"/>
          <w:sz w:val="22"/>
          <w:szCs w:val="22"/>
        </w:rPr>
        <w:t>SULA SÉTIMA - DAS ETAPAS DO PROJETO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7.1.</w:t>
      </w:r>
      <w:r>
        <w:rPr>
          <w:rFonts w:hint="default" w:ascii="Arial" w:hAnsi="Arial"/>
          <w:color w:val="auto"/>
          <w:sz w:val="22"/>
          <w:szCs w:val="22"/>
          <w:lang w:val="pt-BR"/>
        </w:rPr>
        <w:t xml:space="preserve"> </w:t>
      </w:r>
      <w:r>
        <w:rPr>
          <w:rFonts w:hint="default" w:ascii="Arial" w:hAnsi="Arial"/>
          <w:color w:val="auto"/>
          <w:sz w:val="22"/>
          <w:szCs w:val="22"/>
        </w:rPr>
        <w:t>A contratada deverá elaborar projetos executivos observando o Termo de Referência e deverão ser aprovados em todos os órgãos competentes. Deverá ser englobado minimamente os seguintes itens:</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7.1.1.</w:t>
      </w:r>
      <w:r>
        <w:rPr>
          <w:rFonts w:hint="default" w:ascii="Arial" w:hAnsi="Arial"/>
          <w:color w:val="auto"/>
          <w:sz w:val="22"/>
          <w:szCs w:val="22"/>
          <w:lang w:val="pt-BR"/>
        </w:rPr>
        <w:t xml:space="preserve"> </w:t>
      </w:r>
      <w:r>
        <w:rPr>
          <w:rFonts w:hint="default" w:ascii="Arial" w:hAnsi="Arial"/>
          <w:color w:val="auto"/>
          <w:sz w:val="22"/>
          <w:szCs w:val="22"/>
        </w:rPr>
        <w:t>Visita técnica ao local das obras</w:t>
      </w:r>
      <w:r>
        <w:rPr>
          <w:rFonts w:hint="default" w:ascii="Arial" w:hAnsi="Arial"/>
          <w:color w:val="auto"/>
          <w:sz w:val="22"/>
          <w:szCs w:val="22"/>
          <w:lang w:val="pt-BR"/>
        </w:rPr>
        <w:t xml:space="preserve"> ou envio de declaração de conhecimento da área a ser trabalhada</w:t>
      </w:r>
      <w:r>
        <w:rPr>
          <w:rFonts w:hint="default" w:ascii="Arial" w:hAnsi="Arial"/>
          <w:color w:val="auto"/>
          <w:sz w:val="22"/>
          <w:szCs w:val="22"/>
        </w:rPr>
        <w:t>;</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7.1.2.</w:t>
      </w:r>
      <w:r>
        <w:rPr>
          <w:rFonts w:hint="default" w:ascii="Arial" w:hAnsi="Arial"/>
          <w:color w:val="auto"/>
          <w:sz w:val="22"/>
          <w:szCs w:val="22"/>
          <w:lang w:val="pt-BR"/>
        </w:rPr>
        <w:t xml:space="preserve"> </w:t>
      </w:r>
      <w:r>
        <w:rPr>
          <w:rFonts w:hint="default" w:ascii="Arial" w:hAnsi="Arial"/>
          <w:color w:val="auto"/>
          <w:sz w:val="22"/>
          <w:szCs w:val="22"/>
        </w:rPr>
        <w:t>Estudos geotécnicos e hidrológicos;</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lang w:val="pt-BR"/>
        </w:rPr>
        <w:t xml:space="preserve">7.1.3. </w:t>
      </w:r>
      <w:r>
        <w:rPr>
          <w:rFonts w:hint="default" w:ascii="Arial" w:hAnsi="Arial"/>
          <w:color w:val="auto"/>
          <w:sz w:val="22"/>
          <w:szCs w:val="22"/>
        </w:rPr>
        <w:t>Levantamento topográfico para projeto executivo de engenharia;</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lang w:val="pt-BR"/>
        </w:rPr>
        <w:t xml:space="preserve">7.1.4. </w:t>
      </w:r>
      <w:r>
        <w:rPr>
          <w:rFonts w:hint="default" w:ascii="Arial" w:hAnsi="Arial"/>
          <w:color w:val="auto"/>
          <w:sz w:val="22"/>
          <w:szCs w:val="22"/>
        </w:rPr>
        <w:t>Elaboração do projeto de drenagem;</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lang w:val="pt-BR"/>
        </w:rPr>
        <w:t xml:space="preserve">7.1.5. </w:t>
      </w:r>
      <w:r>
        <w:rPr>
          <w:rFonts w:hint="default" w:ascii="Arial" w:hAnsi="Arial"/>
          <w:color w:val="auto"/>
          <w:sz w:val="22"/>
          <w:szCs w:val="22"/>
        </w:rPr>
        <w:t>Projeto de Remanejamento de Interferências (rede de energia elétrica, rede e adutora de água, rede, interceptores e emissário de esgoto, rede de dados e de edificações);</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lang w:val="pt-BR"/>
        </w:rPr>
        <w:t xml:space="preserve">7.1.6. </w:t>
      </w:r>
      <w:r>
        <w:rPr>
          <w:rFonts w:hint="default" w:ascii="Arial" w:hAnsi="Arial"/>
          <w:color w:val="auto"/>
          <w:sz w:val="22"/>
          <w:szCs w:val="22"/>
        </w:rPr>
        <w:t>Levantamento topográfico com curvas de níveis de meio em meio metro e estacas de vinte em vinte metros com largura de sessenta metros a partir do eixo da rodovia para execução de um prolongamento de via urbana com aproximadamente 3.550m (três mil quinhentos e cinquenta metros);</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lang w:val="pt-BR"/>
        </w:rPr>
        <w:t xml:space="preserve">7.1.7. </w:t>
      </w:r>
      <w:r>
        <w:rPr>
          <w:rFonts w:hint="default" w:ascii="Arial" w:hAnsi="Arial"/>
          <w:color w:val="auto"/>
          <w:sz w:val="22"/>
          <w:szCs w:val="22"/>
        </w:rPr>
        <w:t>Cadastramento de redes de drenagem existente para dimensionamento de melhorias no sistema pluvial em pontos de alagamento</w:t>
      </w:r>
      <w:r>
        <w:rPr>
          <w:rFonts w:hint="default" w:ascii="Arial" w:hAnsi="Arial"/>
          <w:color w:val="auto"/>
          <w:sz w:val="22"/>
          <w:szCs w:val="22"/>
          <w:lang w:val="pt-BR"/>
        </w:rPr>
        <w:t>;</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color w:val="auto"/>
          <w:sz w:val="22"/>
          <w:szCs w:val="22"/>
          <w:lang w:val="pt-BR"/>
        </w:rPr>
        <w:t xml:space="preserve">7.1.8. </w:t>
      </w:r>
      <w:r>
        <w:rPr>
          <w:rFonts w:hint="default" w:ascii="Arial" w:hAnsi="Arial"/>
          <w:color w:val="auto"/>
          <w:sz w:val="22"/>
          <w:szCs w:val="22"/>
        </w:rPr>
        <w:t>Memoriais descritivos, planilhas quantitativas planilha orçamentária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Obs.: A elaboração dos projetos deverá obedecer a RESOLUÇÃO NORMATIVA Nº 39/2016 – TCE –MT, que estabelece parâmetros técnicos mínimos para projetos básicos de obras públicas.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7.</w:t>
      </w:r>
      <w:r>
        <w:rPr>
          <w:rFonts w:hint="default" w:ascii="Arial" w:hAnsi="Arial"/>
          <w:b/>
          <w:color w:val="auto"/>
          <w:sz w:val="22"/>
          <w:szCs w:val="22"/>
          <w:lang w:val="pt-BR"/>
        </w:rPr>
        <w:t>2.</w:t>
      </w:r>
      <w:r>
        <w:rPr>
          <w:rFonts w:hint="default" w:ascii="Arial" w:hAnsi="Arial"/>
          <w:b/>
          <w:color w:val="auto"/>
          <w:sz w:val="22"/>
          <w:szCs w:val="22"/>
        </w:rPr>
        <w:t xml:space="preserve"> Estudos geotécnicos e hidrológicos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7.</w:t>
      </w:r>
      <w:r>
        <w:rPr>
          <w:rFonts w:hint="default" w:ascii="Arial" w:hAnsi="Arial"/>
          <w:b/>
          <w:bCs/>
          <w:color w:val="auto"/>
          <w:sz w:val="22"/>
          <w:szCs w:val="22"/>
          <w:lang w:val="pt-BR"/>
        </w:rPr>
        <w:t>2</w:t>
      </w:r>
      <w:r>
        <w:rPr>
          <w:rFonts w:hint="default" w:ascii="Arial" w:hAnsi="Arial"/>
          <w:b/>
          <w:bCs/>
          <w:color w:val="auto"/>
          <w:sz w:val="22"/>
          <w:szCs w:val="22"/>
        </w:rPr>
        <w:t>.1</w:t>
      </w:r>
      <w:r>
        <w:rPr>
          <w:rFonts w:hint="default" w:ascii="Arial" w:hAnsi="Arial"/>
          <w:b/>
          <w:bCs/>
          <w:color w:val="auto"/>
          <w:sz w:val="22"/>
          <w:szCs w:val="22"/>
          <w:lang w:val="pt-BR"/>
        </w:rPr>
        <w:t>.</w:t>
      </w:r>
      <w:r>
        <w:rPr>
          <w:rFonts w:hint="default" w:ascii="Arial" w:hAnsi="Arial"/>
          <w:color w:val="auto"/>
          <w:sz w:val="22"/>
          <w:szCs w:val="22"/>
        </w:rPr>
        <w:t xml:space="preserve"> Os estudos geotécnicos terão como objetivo a identificação, caracterização e determinação da capacidade de suporte dos solos, dos subleitos, das vias, dos empréstimos, das jazidas e das cotas de fundações das estruturas para drenagem das águas pluviais, para estabelecer parâmetros e definir soluções.</w:t>
      </w:r>
      <w:r>
        <w:rPr>
          <w:rFonts w:hint="default" w:ascii="Arial" w:hAnsi="Arial"/>
          <w:color w:val="auto"/>
          <w:sz w:val="22"/>
          <w:szCs w:val="22"/>
          <w:lang w:val="pt-BR"/>
        </w:rPr>
        <w:t xml:space="preserve"> </w:t>
      </w:r>
      <w:r>
        <w:rPr>
          <w:rFonts w:hint="default" w:ascii="Arial" w:hAnsi="Arial"/>
          <w:color w:val="auto"/>
          <w:sz w:val="22"/>
          <w:szCs w:val="22"/>
        </w:rPr>
        <w:t>Em cada área julgada como provável ocorrência de material deverão ser executados os seguintes serviços: sondagens, coleta de materiais de cada furo sondado e ensaios de caracterização, compactação e ISC, sobre as amostras coletadas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7.</w:t>
      </w:r>
      <w:r>
        <w:rPr>
          <w:rFonts w:hint="default" w:ascii="Arial" w:hAnsi="Arial"/>
          <w:b/>
          <w:bCs/>
          <w:color w:val="auto"/>
          <w:sz w:val="22"/>
          <w:szCs w:val="22"/>
          <w:lang w:val="pt-BR"/>
        </w:rPr>
        <w:t>2</w:t>
      </w:r>
      <w:r>
        <w:rPr>
          <w:rFonts w:hint="default" w:ascii="Arial" w:hAnsi="Arial"/>
          <w:b/>
          <w:bCs/>
          <w:color w:val="auto"/>
          <w:sz w:val="22"/>
          <w:szCs w:val="22"/>
        </w:rPr>
        <w:t>.2.</w:t>
      </w:r>
      <w:r>
        <w:rPr>
          <w:rFonts w:hint="default" w:ascii="Arial" w:hAnsi="Arial"/>
          <w:color w:val="auto"/>
          <w:sz w:val="22"/>
          <w:szCs w:val="22"/>
          <w:lang w:val="pt-BR"/>
        </w:rPr>
        <w:t xml:space="preserve"> </w:t>
      </w:r>
      <w:r>
        <w:rPr>
          <w:rFonts w:hint="default" w:ascii="Arial" w:hAnsi="Arial"/>
          <w:color w:val="auto"/>
          <w:sz w:val="22"/>
          <w:szCs w:val="22"/>
        </w:rPr>
        <w:t>Os estudos hidrológicos contribuem com subsídios que permitem o desenvolvimento dos projetos de drenagem superficial e profunda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7.</w:t>
      </w:r>
      <w:r>
        <w:rPr>
          <w:rFonts w:hint="default" w:ascii="Arial" w:hAnsi="Arial"/>
          <w:b/>
          <w:bCs/>
          <w:color w:val="auto"/>
          <w:sz w:val="22"/>
          <w:szCs w:val="22"/>
          <w:lang w:val="pt-BR"/>
        </w:rPr>
        <w:t>2</w:t>
      </w:r>
      <w:r>
        <w:rPr>
          <w:rFonts w:hint="default" w:ascii="Arial" w:hAnsi="Arial"/>
          <w:b/>
          <w:bCs/>
          <w:color w:val="auto"/>
          <w:sz w:val="22"/>
          <w:szCs w:val="22"/>
        </w:rPr>
        <w:t>.3</w:t>
      </w:r>
      <w:r>
        <w:rPr>
          <w:rFonts w:hint="default" w:ascii="Arial" w:hAnsi="Arial"/>
          <w:b/>
          <w:bCs/>
          <w:color w:val="auto"/>
          <w:sz w:val="22"/>
          <w:szCs w:val="22"/>
          <w:lang w:val="pt-BR"/>
        </w:rPr>
        <w:t>.</w:t>
      </w:r>
      <w:r>
        <w:rPr>
          <w:rFonts w:hint="default" w:ascii="Arial" w:hAnsi="Arial"/>
          <w:color w:val="auto"/>
          <w:sz w:val="22"/>
          <w:szCs w:val="22"/>
        </w:rPr>
        <w:t xml:space="preserve"> Todos os estudos devem ser elaborados conforme as “DIRETRIZES BÁSICAS PARA ELABORAÇÃO DE ESTUDOS E PROJETOS RODOVIÁRIOS ESCOPOS BÁSICOS/INSTRUÇÕES DE SERVIÇO –DNIT”.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7.</w:t>
      </w:r>
      <w:r>
        <w:rPr>
          <w:rFonts w:hint="default" w:ascii="Arial" w:hAnsi="Arial"/>
          <w:b/>
          <w:color w:val="auto"/>
          <w:sz w:val="22"/>
          <w:szCs w:val="22"/>
          <w:lang w:val="pt-BR"/>
        </w:rPr>
        <w:t>3.</w:t>
      </w:r>
      <w:r>
        <w:rPr>
          <w:rFonts w:hint="default" w:ascii="Arial" w:hAnsi="Arial"/>
          <w:b/>
          <w:color w:val="auto"/>
          <w:sz w:val="22"/>
          <w:szCs w:val="22"/>
        </w:rPr>
        <w:t xml:space="preserve">  Estudos e levantamentos topográficos</w:t>
      </w:r>
    </w:p>
    <w:p>
      <w:pPr>
        <w:pStyle w:val="531"/>
        <w:keepNext w:val="0"/>
        <w:keepLines w:val="0"/>
        <w:pageBreakBefore w:val="0"/>
        <w:tabs>
          <w:tab w:val="left" w:pos="567"/>
          <w:tab w:val="left" w:pos="709"/>
          <w:tab w:val="left" w:pos="1134"/>
        </w:tabs>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7.3.1</w:t>
      </w:r>
      <w:r>
        <w:rPr>
          <w:rFonts w:hint="default" w:ascii="Arial" w:hAnsi="Arial" w:eastAsia="SimSun"/>
          <w:color w:val="auto"/>
          <w:kern w:val="0"/>
          <w:sz w:val="22"/>
          <w:szCs w:val="22"/>
          <w:lang w:val="en-US" w:eastAsia="pt-BR"/>
        </w:rPr>
        <w:t xml:space="preserve">. </w:t>
      </w:r>
      <w:r>
        <w:rPr>
          <w:rFonts w:hint="default" w:ascii="Arial" w:hAnsi="Arial" w:eastAsia="SimSun"/>
          <w:color w:val="auto"/>
          <w:kern w:val="0"/>
          <w:sz w:val="22"/>
          <w:szCs w:val="22"/>
          <w:lang w:val="pt-BR" w:eastAsia="pt-BR"/>
        </w:rPr>
        <w:t>Levantamento topográfico planialtimétrico cadastral da área de interesse, conforme indicado na imagem 01:</w:t>
      </w:r>
    </w:p>
    <w:p>
      <w:pPr>
        <w:pStyle w:val="531"/>
        <w:keepNext w:val="0"/>
        <w:keepLines w:val="0"/>
        <w:pageBreakBefore w:val="0"/>
        <w:numPr>
          <w:ilvl w:val="0"/>
          <w:numId w:val="0"/>
        </w:numPr>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7.3.1.1.</w:t>
      </w:r>
      <w:r>
        <w:rPr>
          <w:rFonts w:hint="default" w:ascii="Arial" w:hAnsi="Arial" w:eastAsia="SimSun"/>
          <w:color w:val="auto"/>
          <w:kern w:val="0"/>
          <w:sz w:val="22"/>
          <w:szCs w:val="22"/>
          <w:lang w:val="en-US" w:eastAsia="pt-BR"/>
        </w:rPr>
        <w:t xml:space="preserve"> </w:t>
      </w:r>
      <w:r>
        <w:rPr>
          <w:rFonts w:hint="default" w:ascii="Arial" w:hAnsi="Arial" w:eastAsia="SimSun"/>
          <w:color w:val="auto"/>
          <w:kern w:val="0"/>
          <w:sz w:val="22"/>
          <w:szCs w:val="22"/>
          <w:lang w:val="pt-BR" w:eastAsia="pt-BR"/>
        </w:rPr>
        <w:t>O levantamento topográfico deverá ser realizado de acordo com as normas ABNT 13.133/94 e 14.166/1998;</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7.3.1.2.</w:t>
      </w:r>
      <w:r>
        <w:rPr>
          <w:rFonts w:hint="default" w:ascii="Arial" w:hAnsi="Arial"/>
          <w:color w:val="auto"/>
          <w:sz w:val="22"/>
          <w:szCs w:val="22"/>
          <w:lang w:val="pt-BR"/>
        </w:rPr>
        <w:t xml:space="preserve"> </w:t>
      </w:r>
      <w:r>
        <w:rPr>
          <w:rFonts w:hint="default" w:ascii="Arial" w:hAnsi="Arial"/>
          <w:color w:val="auto"/>
          <w:sz w:val="22"/>
          <w:szCs w:val="22"/>
        </w:rPr>
        <w:t>Os estudos topográficos englobam:</w:t>
      </w:r>
    </w:p>
    <w:p>
      <w:pPr>
        <w:pStyle w:val="531"/>
        <w:keepNext w:val="0"/>
        <w:keepLines w:val="0"/>
        <w:pageBreakBefore w:val="0"/>
        <w:numPr>
          <w:ilvl w:val="0"/>
          <w:numId w:val="0"/>
        </w:numPr>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7.3.1.2.1.</w:t>
      </w:r>
      <w:r>
        <w:rPr>
          <w:rFonts w:hint="default" w:ascii="Arial" w:hAnsi="Arial" w:eastAsia="SimSun"/>
          <w:color w:val="auto"/>
          <w:kern w:val="0"/>
          <w:sz w:val="22"/>
          <w:szCs w:val="22"/>
          <w:lang w:val="pt-BR" w:eastAsia="pt-BR"/>
        </w:rPr>
        <w:t>Locação da linha selecionada dos projetos geométricos;</w:t>
      </w:r>
    </w:p>
    <w:p>
      <w:pPr>
        <w:pStyle w:val="531"/>
        <w:keepNext w:val="0"/>
        <w:keepLines w:val="0"/>
        <w:pageBreakBefore w:val="0"/>
        <w:numPr>
          <w:ilvl w:val="0"/>
          <w:numId w:val="0"/>
        </w:numPr>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7.3.1.2.2</w:t>
      </w:r>
      <w:r>
        <w:rPr>
          <w:rFonts w:hint="default" w:ascii="Arial" w:hAnsi="Arial" w:eastAsia="SimSun"/>
          <w:color w:val="auto"/>
          <w:kern w:val="0"/>
          <w:sz w:val="22"/>
          <w:szCs w:val="22"/>
          <w:lang w:val="en-US" w:eastAsia="pt-BR"/>
        </w:rPr>
        <w:t>.</w:t>
      </w:r>
      <w:r>
        <w:rPr>
          <w:rFonts w:hint="default" w:ascii="Arial" w:hAnsi="Arial" w:eastAsia="SimSun"/>
          <w:color w:val="auto"/>
          <w:kern w:val="0"/>
          <w:sz w:val="22"/>
          <w:szCs w:val="22"/>
          <w:lang w:val="pt-BR" w:eastAsia="pt-BR"/>
        </w:rPr>
        <w:t>Nivelamento e contranivelamento do eixo de locação;</w:t>
      </w:r>
    </w:p>
    <w:p>
      <w:pPr>
        <w:pStyle w:val="531"/>
        <w:keepNext w:val="0"/>
        <w:keepLines w:val="0"/>
        <w:pageBreakBefore w:val="0"/>
        <w:numPr>
          <w:ilvl w:val="0"/>
          <w:numId w:val="0"/>
        </w:numPr>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7.3.1.2.3</w:t>
      </w:r>
      <w:r>
        <w:rPr>
          <w:rFonts w:hint="default" w:ascii="Arial" w:hAnsi="Arial" w:eastAsia="SimSun"/>
          <w:color w:val="auto"/>
          <w:kern w:val="0"/>
          <w:sz w:val="22"/>
          <w:szCs w:val="22"/>
          <w:lang w:val="en-US" w:eastAsia="pt-BR"/>
        </w:rPr>
        <w:t>.</w:t>
      </w:r>
      <w:r>
        <w:rPr>
          <w:rFonts w:hint="default" w:ascii="Arial" w:hAnsi="Arial" w:eastAsia="SimSun"/>
          <w:color w:val="auto"/>
          <w:kern w:val="0"/>
          <w:sz w:val="22"/>
          <w:szCs w:val="22"/>
          <w:lang w:val="pt-BR" w:eastAsia="pt-BR"/>
        </w:rPr>
        <w:t>Seções transversais;</w:t>
      </w:r>
    </w:p>
    <w:p>
      <w:pPr>
        <w:pStyle w:val="531"/>
        <w:keepNext w:val="0"/>
        <w:keepLines w:val="0"/>
        <w:pageBreakBefore w:val="0"/>
        <w:numPr>
          <w:ilvl w:val="0"/>
          <w:numId w:val="0"/>
        </w:numPr>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7.3.1.2.4.</w:t>
      </w:r>
      <w:r>
        <w:rPr>
          <w:rFonts w:hint="default" w:ascii="Arial" w:hAnsi="Arial" w:eastAsia="SimSun"/>
          <w:color w:val="auto"/>
          <w:kern w:val="0"/>
          <w:sz w:val="22"/>
          <w:szCs w:val="22"/>
          <w:lang w:val="en-US" w:eastAsia="pt-BR"/>
        </w:rPr>
        <w:t xml:space="preserve"> </w:t>
      </w:r>
      <w:r>
        <w:rPr>
          <w:rFonts w:hint="default" w:ascii="Arial" w:hAnsi="Arial" w:eastAsia="SimSun"/>
          <w:color w:val="auto"/>
          <w:kern w:val="0"/>
          <w:sz w:val="22"/>
          <w:szCs w:val="22"/>
          <w:lang w:val="pt-BR" w:eastAsia="pt-BR"/>
        </w:rPr>
        <w:t>Amarrações dos pontos notáveis;</w:t>
      </w:r>
    </w:p>
    <w:p>
      <w:pPr>
        <w:pStyle w:val="531"/>
        <w:keepNext w:val="0"/>
        <w:keepLines w:val="0"/>
        <w:pageBreakBefore w:val="0"/>
        <w:numPr>
          <w:ilvl w:val="0"/>
          <w:numId w:val="0"/>
        </w:numPr>
        <w:kinsoku/>
        <w:wordWrap/>
        <w:overflowPunct/>
        <w:topLinePunct w:val="0"/>
        <w:autoSpaceDE/>
        <w:bidi w:val="0"/>
        <w:adjustRightInd/>
        <w:snapToGrid/>
        <w:spacing w:beforeLines="0" w:afterLines="0" w:line="360" w:lineRule="auto"/>
        <w:jc w:val="both"/>
        <w:rPr>
          <w:rFonts w:hint="eastAsia"/>
          <w:color w:val="auto"/>
          <w:sz w:val="22"/>
          <w:szCs w:val="22"/>
          <w:lang w:val="pt-BR"/>
        </w:rPr>
      </w:pPr>
      <w:r>
        <w:rPr>
          <w:rFonts w:hint="default" w:ascii="Arial" w:hAnsi="Arial" w:eastAsia="SimSun"/>
          <w:b/>
          <w:bCs/>
          <w:color w:val="auto"/>
          <w:kern w:val="0"/>
          <w:sz w:val="22"/>
          <w:szCs w:val="22"/>
          <w:lang w:val="en-US" w:eastAsia="pt-BR"/>
        </w:rPr>
        <w:t>7.3.1.2.5.</w:t>
      </w:r>
      <w:r>
        <w:rPr>
          <w:rFonts w:hint="default" w:ascii="Arial" w:hAnsi="Arial" w:eastAsia="SimSun"/>
          <w:color w:val="auto"/>
          <w:kern w:val="0"/>
          <w:sz w:val="22"/>
          <w:szCs w:val="22"/>
          <w:lang w:val="en-US" w:eastAsia="pt-BR"/>
        </w:rPr>
        <w:t xml:space="preserve"> </w:t>
      </w:r>
      <w:r>
        <w:rPr>
          <w:rFonts w:hint="default" w:ascii="Arial" w:hAnsi="Arial" w:eastAsia="SimSun"/>
          <w:color w:val="auto"/>
          <w:kern w:val="0"/>
          <w:sz w:val="22"/>
          <w:szCs w:val="22"/>
          <w:lang w:val="pt-BR" w:eastAsia="pt-BR"/>
        </w:rPr>
        <w:t>Levantamento de ocorrências de materiais;</w:t>
      </w:r>
    </w:p>
    <w:p>
      <w:pPr>
        <w:pStyle w:val="531"/>
        <w:keepNext w:val="0"/>
        <w:keepLines w:val="0"/>
        <w:pageBreakBefore w:val="0"/>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7.3</w:t>
      </w:r>
      <w:r>
        <w:rPr>
          <w:rFonts w:hint="default" w:ascii="Arial" w:hAnsi="Arial" w:eastAsia="SimSun"/>
          <w:b/>
          <w:bCs/>
          <w:color w:val="auto"/>
          <w:kern w:val="0"/>
          <w:sz w:val="22"/>
          <w:szCs w:val="22"/>
          <w:lang w:val="pt-BR" w:eastAsia="pt-BR"/>
        </w:rPr>
        <w:t>.2</w:t>
      </w:r>
      <w:r>
        <w:rPr>
          <w:rFonts w:hint="default" w:ascii="Arial" w:hAnsi="Arial" w:eastAsia="SimSun"/>
          <w:color w:val="auto"/>
          <w:kern w:val="0"/>
          <w:sz w:val="22"/>
          <w:szCs w:val="22"/>
          <w:lang w:val="en-US" w:eastAsia="pt-BR"/>
        </w:rPr>
        <w:t>.</w:t>
      </w:r>
      <w:r>
        <w:rPr>
          <w:rFonts w:hint="default" w:ascii="Arial" w:hAnsi="Arial" w:eastAsia="SimSun"/>
          <w:color w:val="auto"/>
          <w:kern w:val="0"/>
          <w:sz w:val="22"/>
          <w:szCs w:val="22"/>
          <w:lang w:val="pt-BR" w:eastAsia="pt-BR"/>
        </w:rPr>
        <w:t xml:space="preserve"> Todo o levantamento deverá ser apoiado em marcos topográficos, implantados pela contratada, no local de execução da obra no Município de Primavera do Leste – MT, com suas coordenadas definidas no sistema de projeção UTM (coordenadas planas), tendo como referência o SIRGAS 2000 (Sistema de Referência Geocêntrico para as Américas) e as bases pertencentes à RBMC (Rede </w:t>
      </w:r>
      <w:r>
        <w:rPr>
          <w:rFonts w:hint="default" w:ascii="Arial" w:hAnsi="Arial" w:eastAsia="SimSun"/>
          <w:color w:val="auto"/>
          <w:kern w:val="0"/>
          <w:sz w:val="22"/>
          <w:szCs w:val="22"/>
          <w:lang w:val="en-US" w:eastAsia="pt-BR"/>
        </w:rPr>
        <w:t>B</w:t>
      </w:r>
      <w:r>
        <w:rPr>
          <w:rFonts w:hint="default" w:ascii="Arial" w:hAnsi="Arial" w:eastAsia="SimSun"/>
          <w:color w:val="auto"/>
          <w:kern w:val="0"/>
          <w:sz w:val="22"/>
          <w:szCs w:val="22"/>
          <w:lang w:val="pt-BR" w:eastAsia="pt-BR"/>
        </w:rPr>
        <w:t>rasileira de Monitoramento Contínuo). Para tanto, deverá ser realizado o rastreio com receptores GNSS em cada um dos marcos topográficos de refer</w:t>
      </w:r>
      <w:r>
        <w:rPr>
          <w:rFonts w:hint="default" w:ascii="Arial" w:hAnsi="Arial" w:eastAsia="SimSun"/>
          <w:color w:val="auto"/>
          <w:kern w:val="0"/>
          <w:sz w:val="22"/>
          <w:szCs w:val="22"/>
          <w:lang w:val="en-US" w:eastAsia="pt-BR"/>
        </w:rPr>
        <w:t>ê</w:t>
      </w:r>
      <w:r>
        <w:rPr>
          <w:rFonts w:hint="default" w:ascii="Arial" w:hAnsi="Arial" w:eastAsia="SimSun"/>
          <w:color w:val="auto"/>
          <w:kern w:val="0"/>
          <w:sz w:val="22"/>
          <w:szCs w:val="22"/>
          <w:lang w:val="pt-BR" w:eastAsia="pt-BR"/>
        </w:rPr>
        <w:t>ncia, e o processamento para correção das coordenadas, deverá obter solução fixa para os vetores observados, para a correta determinação de suas coordenadas planimétricas e altimétricas. Para a determinação das altitudes ortométricas, deverá ser utilizado o software Mapgeo, em sua última versão, disponibilizado gratuitamente pelo IBGE (Instituto Brasileiro de Geografia e Estatística);</w:t>
      </w:r>
    </w:p>
    <w:p>
      <w:pPr>
        <w:pStyle w:val="531"/>
        <w:keepNext w:val="0"/>
        <w:keepLines w:val="0"/>
        <w:pageBreakBefore w:val="0"/>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7.3.3.</w:t>
      </w:r>
      <w:r>
        <w:rPr>
          <w:rFonts w:hint="default" w:ascii="Arial" w:hAnsi="Arial" w:eastAsia="SimSun"/>
          <w:color w:val="auto"/>
          <w:kern w:val="0"/>
          <w:sz w:val="22"/>
          <w:szCs w:val="22"/>
          <w:lang w:val="en-US" w:eastAsia="pt-BR"/>
        </w:rPr>
        <w:t xml:space="preserve"> </w:t>
      </w:r>
      <w:r>
        <w:rPr>
          <w:rFonts w:hint="default" w:ascii="Arial" w:hAnsi="Arial" w:eastAsia="SimSun"/>
          <w:color w:val="auto"/>
          <w:kern w:val="0"/>
          <w:sz w:val="22"/>
          <w:szCs w:val="22"/>
          <w:lang w:val="pt-BR" w:eastAsia="pt-BR"/>
        </w:rPr>
        <w:t>Os levantamentos topográficos devem ser realizados através de poligonais principais, poligonais secundárias e auxiliares, e pontos de detalhes, devendo atender as normas técnicas.</w:t>
      </w:r>
    </w:p>
    <w:p>
      <w:pPr>
        <w:pStyle w:val="531"/>
        <w:keepNext w:val="0"/>
        <w:keepLines w:val="0"/>
        <w:pageBreakBefore w:val="0"/>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7.3.4.</w:t>
      </w:r>
      <w:r>
        <w:rPr>
          <w:rFonts w:hint="default" w:ascii="Arial" w:hAnsi="Arial" w:eastAsia="SimSun"/>
          <w:color w:val="auto"/>
          <w:kern w:val="0"/>
          <w:sz w:val="22"/>
          <w:szCs w:val="22"/>
          <w:lang w:val="en-US" w:eastAsia="pt-BR"/>
        </w:rPr>
        <w:t xml:space="preserve"> </w:t>
      </w:r>
      <w:r>
        <w:rPr>
          <w:rFonts w:hint="default" w:ascii="Arial" w:hAnsi="Arial" w:eastAsia="SimSun"/>
          <w:color w:val="auto"/>
          <w:kern w:val="0"/>
          <w:sz w:val="22"/>
          <w:szCs w:val="22"/>
          <w:lang w:val="pt-BR" w:eastAsia="pt-BR"/>
        </w:rPr>
        <w:t>Não serão admitidos levantamentos topográficos conduzidos com poligonais do tipo aberta, sem amarrações, uma vez que nesse caso não é possível avaliar sua qualidade.</w:t>
      </w:r>
    </w:p>
    <w:p>
      <w:pPr>
        <w:pStyle w:val="531"/>
        <w:keepNext w:val="0"/>
        <w:keepLines w:val="0"/>
        <w:pageBreakBefore w:val="0"/>
        <w:numPr>
          <w:ilvl w:val="0"/>
          <w:numId w:val="0"/>
        </w:numPr>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7.3.5</w:t>
      </w:r>
      <w:r>
        <w:rPr>
          <w:rFonts w:hint="default" w:ascii="Arial" w:hAnsi="Arial" w:eastAsia="SimSun"/>
          <w:color w:val="auto"/>
          <w:kern w:val="0"/>
          <w:sz w:val="22"/>
          <w:szCs w:val="22"/>
          <w:lang w:val="en-US" w:eastAsia="pt-BR"/>
        </w:rPr>
        <w:t xml:space="preserve">. </w:t>
      </w:r>
      <w:r>
        <w:rPr>
          <w:rFonts w:hint="default" w:ascii="Arial" w:hAnsi="Arial" w:eastAsia="SimSun"/>
          <w:color w:val="auto"/>
          <w:kern w:val="0"/>
          <w:sz w:val="22"/>
          <w:szCs w:val="22"/>
          <w:lang w:val="pt-BR" w:eastAsia="pt-BR"/>
        </w:rPr>
        <w:t>Deverão ser cadastrados todos os acidentes naturais e artificiais presentes na área de interesse, tais como:</w:t>
      </w:r>
    </w:p>
    <w:p>
      <w:pPr>
        <w:pStyle w:val="531"/>
        <w:keepNext w:val="0"/>
        <w:keepLines w:val="0"/>
        <w:pageBreakBefore w:val="0"/>
        <w:numPr>
          <w:ilvl w:val="0"/>
          <w:numId w:val="25"/>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Pontos de mudança da declividade do terreno;</w:t>
      </w:r>
    </w:p>
    <w:p>
      <w:pPr>
        <w:pStyle w:val="531"/>
        <w:keepNext w:val="0"/>
        <w:keepLines w:val="0"/>
        <w:pageBreakBefore w:val="0"/>
        <w:numPr>
          <w:ilvl w:val="0"/>
          <w:numId w:val="25"/>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Bordos de vias;</w:t>
      </w:r>
    </w:p>
    <w:p>
      <w:pPr>
        <w:pStyle w:val="531"/>
        <w:keepNext w:val="0"/>
        <w:keepLines w:val="0"/>
        <w:pageBreakBefore w:val="0"/>
        <w:numPr>
          <w:ilvl w:val="0"/>
          <w:numId w:val="25"/>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Eixos de via;</w:t>
      </w:r>
    </w:p>
    <w:p>
      <w:pPr>
        <w:pStyle w:val="531"/>
        <w:keepNext w:val="0"/>
        <w:keepLines w:val="0"/>
        <w:pageBreakBefore w:val="0"/>
        <w:numPr>
          <w:ilvl w:val="0"/>
          <w:numId w:val="25"/>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Rotatórias;</w:t>
      </w:r>
    </w:p>
    <w:p>
      <w:pPr>
        <w:pStyle w:val="531"/>
        <w:keepNext w:val="0"/>
        <w:keepLines w:val="0"/>
        <w:pageBreakBefore w:val="0"/>
        <w:numPr>
          <w:ilvl w:val="0"/>
          <w:numId w:val="25"/>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Dispositivos de drenagem;</w:t>
      </w:r>
    </w:p>
    <w:p>
      <w:pPr>
        <w:pStyle w:val="531"/>
        <w:keepNext w:val="0"/>
        <w:keepLines w:val="0"/>
        <w:pageBreakBefore w:val="0"/>
        <w:numPr>
          <w:ilvl w:val="0"/>
          <w:numId w:val="25"/>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Postes;</w:t>
      </w:r>
    </w:p>
    <w:p>
      <w:pPr>
        <w:pStyle w:val="531"/>
        <w:keepNext w:val="0"/>
        <w:keepLines w:val="0"/>
        <w:pageBreakBefore w:val="0"/>
        <w:numPr>
          <w:ilvl w:val="0"/>
          <w:numId w:val="25"/>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Torres;</w:t>
      </w:r>
    </w:p>
    <w:p>
      <w:pPr>
        <w:pStyle w:val="531"/>
        <w:keepNext w:val="0"/>
        <w:keepLines w:val="0"/>
        <w:pageBreakBefore w:val="0"/>
        <w:numPr>
          <w:ilvl w:val="0"/>
          <w:numId w:val="25"/>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Cercas;</w:t>
      </w:r>
    </w:p>
    <w:p>
      <w:pPr>
        <w:pStyle w:val="531"/>
        <w:keepNext w:val="0"/>
        <w:keepLines w:val="0"/>
        <w:pageBreakBefore w:val="0"/>
        <w:numPr>
          <w:ilvl w:val="0"/>
          <w:numId w:val="25"/>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Muros;</w:t>
      </w:r>
    </w:p>
    <w:p>
      <w:pPr>
        <w:pStyle w:val="531"/>
        <w:keepNext w:val="0"/>
        <w:keepLines w:val="0"/>
        <w:pageBreakBefore w:val="0"/>
        <w:numPr>
          <w:ilvl w:val="0"/>
          <w:numId w:val="26"/>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Meio-fio;</w:t>
      </w:r>
    </w:p>
    <w:p>
      <w:pPr>
        <w:pStyle w:val="531"/>
        <w:keepNext w:val="0"/>
        <w:keepLines w:val="0"/>
        <w:pageBreakBefore w:val="0"/>
        <w:numPr>
          <w:ilvl w:val="0"/>
          <w:numId w:val="26"/>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Edificações;</w:t>
      </w:r>
    </w:p>
    <w:p>
      <w:pPr>
        <w:pStyle w:val="531"/>
        <w:keepNext w:val="0"/>
        <w:keepLines w:val="0"/>
        <w:pageBreakBefore w:val="0"/>
        <w:numPr>
          <w:ilvl w:val="0"/>
          <w:numId w:val="26"/>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Cristas de aterro e corte;</w:t>
      </w:r>
    </w:p>
    <w:p>
      <w:pPr>
        <w:pStyle w:val="531"/>
        <w:keepNext w:val="0"/>
        <w:keepLines w:val="0"/>
        <w:pageBreakBefore w:val="0"/>
        <w:numPr>
          <w:ilvl w:val="0"/>
          <w:numId w:val="26"/>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Pés de aterro e corte;</w:t>
      </w:r>
    </w:p>
    <w:p>
      <w:pPr>
        <w:pStyle w:val="531"/>
        <w:keepNext w:val="0"/>
        <w:keepLines w:val="0"/>
        <w:pageBreakBefore w:val="0"/>
        <w:numPr>
          <w:ilvl w:val="0"/>
          <w:numId w:val="26"/>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Placas;</w:t>
      </w:r>
    </w:p>
    <w:p>
      <w:pPr>
        <w:pStyle w:val="531"/>
        <w:keepNext w:val="0"/>
        <w:keepLines w:val="0"/>
        <w:pageBreakBefore w:val="0"/>
        <w:numPr>
          <w:ilvl w:val="0"/>
          <w:numId w:val="26"/>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Árvores com DAP &gt; 15cm;</w:t>
      </w:r>
    </w:p>
    <w:p>
      <w:pPr>
        <w:pStyle w:val="531"/>
        <w:keepNext w:val="0"/>
        <w:keepLines w:val="0"/>
        <w:pageBreakBefore w:val="0"/>
        <w:numPr>
          <w:ilvl w:val="0"/>
          <w:numId w:val="26"/>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Guias rebaixadas;</w:t>
      </w:r>
    </w:p>
    <w:p>
      <w:pPr>
        <w:pStyle w:val="531"/>
        <w:keepNext w:val="0"/>
        <w:keepLines w:val="0"/>
        <w:pageBreakBefore w:val="0"/>
        <w:numPr>
          <w:ilvl w:val="0"/>
          <w:numId w:val="26"/>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Acessos;</w:t>
      </w:r>
    </w:p>
    <w:p>
      <w:pPr>
        <w:pStyle w:val="531"/>
        <w:keepNext w:val="0"/>
        <w:keepLines w:val="0"/>
        <w:pageBreakBefore w:val="0"/>
        <w:numPr>
          <w:ilvl w:val="0"/>
          <w:numId w:val="26"/>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Divisas de propriedade;</w:t>
      </w:r>
    </w:p>
    <w:p>
      <w:pPr>
        <w:pStyle w:val="531"/>
        <w:keepNext w:val="0"/>
        <w:keepLines w:val="0"/>
        <w:pageBreakBefore w:val="0"/>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en-US" w:eastAsia="pt-BR"/>
        </w:rPr>
      </w:pPr>
      <w:r>
        <w:rPr>
          <w:rFonts w:hint="default" w:ascii="Arial" w:hAnsi="Arial" w:eastAsia="SimSun"/>
          <w:b/>
          <w:bCs/>
          <w:color w:val="auto"/>
          <w:kern w:val="0"/>
          <w:sz w:val="22"/>
          <w:szCs w:val="22"/>
          <w:lang w:val="en-US" w:eastAsia="pt-BR"/>
        </w:rPr>
        <w:t>7.3.6.</w:t>
      </w:r>
      <w:r>
        <w:rPr>
          <w:rFonts w:hint="default" w:ascii="Arial" w:hAnsi="Arial" w:eastAsia="SimSun"/>
          <w:color w:val="auto"/>
          <w:kern w:val="0"/>
          <w:sz w:val="22"/>
          <w:szCs w:val="22"/>
          <w:lang w:val="pt-BR" w:eastAsia="pt-BR"/>
        </w:rPr>
        <w:t xml:space="preserve"> O cadastro deverá ser realizado com o uso de estação total ou receptores GNSS com sistema de correção diferencial em tempo real. Caso seja realizado com estação total, não serão aceitas a utilização de poligonais abertas, e caso sejam utilizados receptores GNSS, não serão aceitos pontos sem solução fixa</w:t>
      </w:r>
      <w:r>
        <w:rPr>
          <w:rFonts w:hint="default" w:ascii="Arial" w:hAnsi="Arial" w:eastAsia="SimSun"/>
          <w:color w:val="auto"/>
          <w:kern w:val="0"/>
          <w:sz w:val="22"/>
          <w:szCs w:val="22"/>
          <w:lang w:val="en-US" w:eastAsia="pt-BR"/>
        </w:rPr>
        <w:t>;</w:t>
      </w:r>
    </w:p>
    <w:p>
      <w:pPr>
        <w:pStyle w:val="531"/>
        <w:keepNext w:val="0"/>
        <w:keepLines w:val="0"/>
        <w:pageBreakBefore w:val="0"/>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en-US" w:eastAsia="pt-BR"/>
        </w:rPr>
      </w:pPr>
      <w:r>
        <w:rPr>
          <w:rFonts w:hint="default" w:ascii="Arial" w:hAnsi="Arial" w:eastAsia="SimSun"/>
          <w:b/>
          <w:bCs/>
          <w:color w:val="auto"/>
          <w:kern w:val="0"/>
          <w:sz w:val="22"/>
          <w:szCs w:val="22"/>
          <w:lang w:val="en-US" w:eastAsia="pt-BR"/>
        </w:rPr>
        <w:t xml:space="preserve">7.3.7. </w:t>
      </w:r>
      <w:r>
        <w:rPr>
          <w:rFonts w:hint="default" w:ascii="Arial" w:hAnsi="Arial" w:eastAsia="SimSun"/>
          <w:color w:val="auto"/>
          <w:kern w:val="0"/>
          <w:sz w:val="22"/>
          <w:szCs w:val="22"/>
          <w:lang w:val="pt-BR" w:eastAsia="pt-BR"/>
        </w:rPr>
        <w:t>Não será aceito a realização do levantamento topográfico com Drones ou outro sistema de sensoriamento remoto;</w:t>
      </w:r>
    </w:p>
    <w:p>
      <w:pPr>
        <w:pStyle w:val="531"/>
        <w:keepNext w:val="0"/>
        <w:keepLines w:val="0"/>
        <w:pageBreakBefore w:val="0"/>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en-US" w:eastAsia="pt-BR"/>
        </w:rPr>
      </w:pPr>
      <w:r>
        <w:rPr>
          <w:rFonts w:hint="default" w:ascii="Arial" w:hAnsi="Arial" w:eastAsia="SimSun"/>
          <w:b/>
          <w:bCs/>
          <w:color w:val="auto"/>
          <w:kern w:val="0"/>
          <w:sz w:val="22"/>
          <w:szCs w:val="22"/>
          <w:lang w:val="en-US" w:eastAsia="pt-BR"/>
        </w:rPr>
        <w:t>7.3.8.</w:t>
      </w:r>
      <w:r>
        <w:rPr>
          <w:rFonts w:hint="default" w:ascii="Arial" w:hAnsi="Arial" w:eastAsia="SimSun"/>
          <w:color w:val="auto"/>
          <w:kern w:val="0"/>
          <w:sz w:val="22"/>
          <w:szCs w:val="22"/>
          <w:lang w:val="en-US" w:eastAsia="pt-BR"/>
        </w:rPr>
        <w:t xml:space="preserve"> </w:t>
      </w:r>
      <w:r>
        <w:rPr>
          <w:rFonts w:hint="default" w:ascii="Arial" w:hAnsi="Arial" w:eastAsia="SimSun"/>
          <w:color w:val="auto"/>
          <w:kern w:val="0"/>
          <w:sz w:val="22"/>
          <w:szCs w:val="22"/>
          <w:lang w:val="pt-BR" w:eastAsia="pt-BR"/>
        </w:rPr>
        <w:t>Após processados os dados obtidos em campo, serão armazenados os relatórios apresentando as condições gerais dos equipamentos, condições de processamento, coordenadas finais e a respectiva qualidade atingida</w:t>
      </w:r>
      <w:r>
        <w:rPr>
          <w:rFonts w:hint="default" w:ascii="Arial" w:hAnsi="Arial" w:eastAsia="SimSun"/>
          <w:color w:val="auto"/>
          <w:kern w:val="0"/>
          <w:sz w:val="22"/>
          <w:szCs w:val="22"/>
          <w:lang w:val="en-US" w:eastAsia="pt-BR"/>
        </w:rPr>
        <w:t>;</w:t>
      </w:r>
    </w:p>
    <w:p>
      <w:pPr>
        <w:pStyle w:val="531"/>
        <w:keepNext w:val="0"/>
        <w:keepLines w:val="0"/>
        <w:pageBreakBefore w:val="0"/>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pt-BR" w:eastAsia="pt-BR"/>
        </w:rPr>
      </w:pPr>
      <w:r>
        <w:rPr>
          <w:rFonts w:hint="default" w:ascii="Arial" w:hAnsi="Arial" w:eastAsia="SimSun"/>
          <w:b/>
          <w:bCs/>
          <w:color w:val="auto"/>
          <w:kern w:val="0"/>
          <w:sz w:val="22"/>
          <w:szCs w:val="22"/>
          <w:lang w:val="en-US" w:eastAsia="pt-BR"/>
        </w:rPr>
        <w:t xml:space="preserve">7.3.9. </w:t>
      </w:r>
      <w:r>
        <w:rPr>
          <w:rFonts w:hint="default" w:ascii="Arial" w:hAnsi="Arial" w:eastAsia="SimSun"/>
          <w:color w:val="auto"/>
          <w:kern w:val="0"/>
          <w:sz w:val="22"/>
          <w:szCs w:val="22"/>
          <w:lang w:val="pt-BR" w:eastAsia="pt-BR"/>
        </w:rPr>
        <w:t>Entregáveis:</w:t>
      </w:r>
    </w:p>
    <w:p>
      <w:pPr>
        <w:pStyle w:val="531"/>
        <w:keepNext w:val="0"/>
        <w:keepLines w:val="0"/>
        <w:pageBreakBefore w:val="0"/>
        <w:numPr>
          <w:ilvl w:val="0"/>
          <w:numId w:val="27"/>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Dados brutos de rastreio dos marcos topográficos de apoio;</w:t>
      </w:r>
    </w:p>
    <w:p>
      <w:pPr>
        <w:pStyle w:val="531"/>
        <w:keepNext w:val="0"/>
        <w:keepLines w:val="0"/>
        <w:pageBreakBefore w:val="0"/>
        <w:numPr>
          <w:ilvl w:val="0"/>
          <w:numId w:val="27"/>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Relatórios de processamento dos marcos topográficos de apoio;</w:t>
      </w:r>
    </w:p>
    <w:p>
      <w:pPr>
        <w:pStyle w:val="531"/>
        <w:keepNext w:val="0"/>
        <w:keepLines w:val="0"/>
        <w:pageBreakBefore w:val="0"/>
        <w:numPr>
          <w:ilvl w:val="0"/>
          <w:numId w:val="27"/>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Monografia dos marcos topográficos de apoio;</w:t>
      </w:r>
    </w:p>
    <w:p>
      <w:pPr>
        <w:pStyle w:val="531"/>
        <w:keepNext w:val="0"/>
        <w:keepLines w:val="0"/>
        <w:pageBreakBefore w:val="0"/>
        <w:numPr>
          <w:ilvl w:val="0"/>
          <w:numId w:val="27"/>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Dados brutos do levantamento topográfico;</w:t>
      </w:r>
    </w:p>
    <w:p>
      <w:pPr>
        <w:pStyle w:val="531"/>
        <w:keepNext w:val="0"/>
        <w:keepLines w:val="0"/>
        <w:pageBreakBefore w:val="0"/>
        <w:numPr>
          <w:ilvl w:val="0"/>
          <w:numId w:val="27"/>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Relatórios de processamento;</w:t>
      </w:r>
    </w:p>
    <w:p>
      <w:pPr>
        <w:pStyle w:val="531"/>
        <w:keepNext w:val="0"/>
        <w:keepLines w:val="0"/>
        <w:pageBreakBefore w:val="0"/>
        <w:numPr>
          <w:ilvl w:val="0"/>
          <w:numId w:val="27"/>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Relatório fotográfico;</w:t>
      </w:r>
    </w:p>
    <w:p>
      <w:pPr>
        <w:pStyle w:val="531"/>
        <w:keepNext w:val="0"/>
        <w:keepLines w:val="0"/>
        <w:pageBreakBefore w:val="0"/>
        <w:numPr>
          <w:ilvl w:val="0"/>
          <w:numId w:val="27"/>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pt-BR" w:eastAsia="pt-BR"/>
        </w:rPr>
      </w:pPr>
      <w:r>
        <w:rPr>
          <w:rFonts w:hint="default" w:ascii="Arial" w:hAnsi="Arial" w:eastAsia="SimSun"/>
          <w:color w:val="auto"/>
          <w:kern w:val="0"/>
          <w:sz w:val="22"/>
          <w:szCs w:val="22"/>
          <w:lang w:val="pt-BR" w:eastAsia="pt-BR"/>
        </w:rPr>
        <w:t>Desenho topográfico em formato CAD, editável, com curvas de nível com equidistância vertical de 0,5m;</w:t>
      </w:r>
    </w:p>
    <w:p>
      <w:pPr>
        <w:pStyle w:val="531"/>
        <w:keepNext w:val="0"/>
        <w:keepLines w:val="0"/>
        <w:pageBreakBefore w:val="0"/>
        <w:numPr>
          <w:ilvl w:val="0"/>
          <w:numId w:val="27"/>
        </w:numPr>
        <w:kinsoku/>
        <w:wordWrap/>
        <w:overflowPunct/>
        <w:topLinePunct w:val="0"/>
        <w:autoSpaceDE/>
        <w:bidi w:val="0"/>
        <w:adjustRightInd/>
        <w:snapToGrid/>
        <w:spacing w:beforeLines="0" w:afterLines="0" w:line="360" w:lineRule="auto"/>
        <w:ind w:left="420" w:leftChars="0" w:hanging="420" w:firstLineChars="0"/>
        <w:jc w:val="both"/>
        <w:rPr>
          <w:rFonts w:hint="default" w:ascii="Arial" w:hAnsi="Arial" w:eastAsia="SimSun"/>
          <w:color w:val="auto"/>
          <w:kern w:val="0"/>
          <w:sz w:val="22"/>
          <w:szCs w:val="22"/>
          <w:lang w:val="en-US" w:eastAsia="pt-BR"/>
        </w:rPr>
      </w:pPr>
      <w:r>
        <w:rPr>
          <w:rFonts w:hint="default" w:ascii="Arial" w:hAnsi="Arial" w:eastAsia="SimSun"/>
          <w:color w:val="auto"/>
          <w:kern w:val="0"/>
          <w:sz w:val="22"/>
          <w:szCs w:val="22"/>
          <w:lang w:val="pt-BR" w:eastAsia="pt-BR"/>
        </w:rPr>
        <w:t>Indicação de cotas em pontos notáveis;</w:t>
      </w:r>
    </w:p>
    <w:p>
      <w:pPr>
        <w:pStyle w:val="531"/>
        <w:keepNext w:val="0"/>
        <w:keepLines w:val="0"/>
        <w:pageBreakBefore w:val="0"/>
        <w:kinsoku/>
        <w:wordWrap/>
        <w:overflowPunct/>
        <w:topLinePunct w:val="0"/>
        <w:autoSpaceDE/>
        <w:bidi w:val="0"/>
        <w:adjustRightInd/>
        <w:snapToGrid/>
        <w:spacing w:beforeLines="0" w:afterLines="0" w:line="360" w:lineRule="auto"/>
        <w:jc w:val="both"/>
        <w:rPr>
          <w:rFonts w:hint="default" w:ascii="Arial" w:hAnsi="Arial" w:eastAsia="SimSun"/>
          <w:color w:val="auto"/>
          <w:kern w:val="0"/>
          <w:sz w:val="22"/>
          <w:szCs w:val="22"/>
          <w:lang w:val="en-US" w:eastAsia="pt-BR"/>
        </w:rPr>
      </w:pPr>
      <w:r>
        <w:rPr>
          <w:rFonts w:hint="default" w:ascii="Arial" w:hAnsi="Arial" w:eastAsia="SimSun"/>
          <w:b/>
          <w:bCs/>
          <w:color w:val="auto"/>
          <w:kern w:val="0"/>
          <w:sz w:val="22"/>
          <w:szCs w:val="22"/>
          <w:lang w:val="en-US" w:eastAsia="pt-BR"/>
        </w:rPr>
        <w:t>7.3.10.</w:t>
      </w:r>
      <w:r>
        <w:rPr>
          <w:rFonts w:hint="default" w:ascii="Arial" w:hAnsi="Arial" w:eastAsia="SimSun"/>
          <w:color w:val="auto"/>
          <w:kern w:val="0"/>
          <w:sz w:val="22"/>
          <w:szCs w:val="22"/>
          <w:lang w:val="en-US" w:eastAsia="pt-BR"/>
        </w:rPr>
        <w:t xml:space="preserve"> </w:t>
      </w:r>
      <w:r>
        <w:rPr>
          <w:rFonts w:hint="default" w:ascii="Arial" w:hAnsi="Arial" w:eastAsia="SimSun"/>
          <w:color w:val="auto"/>
          <w:kern w:val="0"/>
          <w:sz w:val="22"/>
          <w:szCs w:val="22"/>
          <w:lang w:val="pt-BR" w:eastAsia="pt-BR"/>
        </w:rPr>
        <w:t>Quadro geral de entregáveis</w:t>
      </w:r>
      <w:r>
        <w:rPr>
          <w:rFonts w:hint="default" w:ascii="Arial" w:hAnsi="Arial" w:eastAsia="SimSun"/>
          <w:color w:val="auto"/>
          <w:kern w:val="0"/>
          <w:sz w:val="22"/>
          <w:szCs w:val="22"/>
          <w:lang w:val="en-US" w:eastAsia="pt-BR"/>
        </w:rPr>
        <w:t>:</w:t>
      </w:r>
    </w:p>
    <w:tbl>
      <w:tblPr>
        <w:tblStyle w:val="12"/>
        <w:tblW w:w="0" w:type="auto"/>
        <w:tblInd w:w="5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 w:type="dxa"/>
          <w:bottom w:w="0" w:type="dxa"/>
          <w:right w:w="10" w:type="dxa"/>
        </w:tblCellMar>
      </w:tblPr>
      <w:tblGrid>
        <w:gridCol w:w="820"/>
        <w:gridCol w:w="1660"/>
        <w:gridCol w:w="1621"/>
        <w:gridCol w:w="1318"/>
        <w:gridCol w:w="35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45" w:hRule="atLeast"/>
        </w:trPr>
        <w:tc>
          <w:tcPr>
            <w:tcW w:w="820" w:type="dxa"/>
            <w:tcBorders>
              <w:top w:val="single" w:color="000000" w:sz="4" w:space="0"/>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bottom"/>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b/>
                <w:color w:val="auto"/>
                <w:sz w:val="24"/>
                <w:szCs w:val="22"/>
              </w:rPr>
            </w:pPr>
            <w:r>
              <w:rPr>
                <w:rFonts w:hint="default" w:eastAsia="Times New Roman"/>
                <w:b/>
                <w:color w:val="auto"/>
                <w:sz w:val="24"/>
                <w:szCs w:val="22"/>
              </w:rPr>
              <w:t>Itens</w:t>
            </w:r>
          </w:p>
        </w:tc>
        <w:tc>
          <w:tcPr>
            <w:tcW w:w="1660" w:type="dxa"/>
            <w:tcBorders>
              <w:top w:val="single" w:color="000000" w:sz="4" w:space="0"/>
              <w:left w:val="nil"/>
              <w:bottom w:val="single" w:color="000000" w:sz="4" w:space="0"/>
              <w:right w:val="single" w:color="000000" w:sz="4" w:space="0"/>
              <w:tl2br w:val="nil"/>
              <w:tr2bl w:val="nil"/>
            </w:tcBorders>
            <w:noWrap w:val="0"/>
            <w:tcMar>
              <w:top w:w="0" w:type="dxa"/>
              <w:left w:w="70" w:type="dxa"/>
              <w:bottom w:w="0" w:type="dxa"/>
              <w:right w:w="70" w:type="dxa"/>
            </w:tcMar>
            <w:vAlign w:val="bottom"/>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b/>
                <w:color w:val="auto"/>
                <w:sz w:val="24"/>
                <w:szCs w:val="22"/>
              </w:rPr>
            </w:pPr>
            <w:r>
              <w:rPr>
                <w:rFonts w:hint="default" w:eastAsia="Times New Roman"/>
                <w:b/>
                <w:color w:val="auto"/>
                <w:sz w:val="24"/>
                <w:szCs w:val="22"/>
              </w:rPr>
              <w:t>Descrição</w:t>
            </w:r>
          </w:p>
        </w:tc>
        <w:tc>
          <w:tcPr>
            <w:tcW w:w="1621" w:type="dxa"/>
            <w:tcBorders>
              <w:top w:val="single" w:color="000000" w:sz="4" w:space="0"/>
              <w:left w:val="nil"/>
              <w:bottom w:val="single" w:color="000000" w:sz="4" w:space="0"/>
              <w:right w:val="single" w:color="000000" w:sz="4" w:space="0"/>
              <w:tl2br w:val="nil"/>
              <w:tr2bl w:val="nil"/>
            </w:tcBorders>
            <w:noWrap w:val="0"/>
            <w:tcMar>
              <w:top w:w="0" w:type="dxa"/>
              <w:left w:w="70" w:type="dxa"/>
              <w:bottom w:w="0" w:type="dxa"/>
              <w:right w:w="70" w:type="dxa"/>
            </w:tcMar>
            <w:vAlign w:val="bottom"/>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b/>
                <w:color w:val="auto"/>
                <w:sz w:val="24"/>
                <w:szCs w:val="22"/>
              </w:rPr>
            </w:pPr>
            <w:r>
              <w:rPr>
                <w:rFonts w:hint="default" w:eastAsia="Times New Roman"/>
                <w:b/>
                <w:color w:val="auto"/>
                <w:sz w:val="24"/>
                <w:szCs w:val="22"/>
              </w:rPr>
              <w:t>Quantidade</w:t>
            </w:r>
          </w:p>
        </w:tc>
        <w:tc>
          <w:tcPr>
            <w:tcW w:w="1318" w:type="dxa"/>
            <w:tcBorders>
              <w:top w:val="single" w:color="000000" w:sz="4" w:space="0"/>
              <w:left w:val="nil"/>
              <w:bottom w:val="single" w:color="000000" w:sz="4" w:space="0"/>
              <w:right w:val="single" w:color="000000" w:sz="4" w:space="0"/>
              <w:tl2br w:val="nil"/>
              <w:tr2bl w:val="nil"/>
            </w:tcBorders>
            <w:noWrap w:val="0"/>
            <w:tcMar>
              <w:top w:w="0" w:type="dxa"/>
              <w:left w:w="70" w:type="dxa"/>
              <w:bottom w:w="0" w:type="dxa"/>
              <w:right w:w="70" w:type="dxa"/>
            </w:tcMar>
            <w:vAlign w:val="bottom"/>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b/>
                <w:color w:val="auto"/>
                <w:sz w:val="24"/>
                <w:szCs w:val="22"/>
              </w:rPr>
            </w:pPr>
            <w:r>
              <w:rPr>
                <w:rFonts w:hint="default" w:eastAsia="Times New Roman"/>
                <w:b/>
                <w:color w:val="auto"/>
                <w:sz w:val="24"/>
                <w:szCs w:val="22"/>
              </w:rPr>
              <w:t>Unidade</w:t>
            </w:r>
          </w:p>
        </w:tc>
        <w:tc>
          <w:tcPr>
            <w:tcW w:w="3596" w:type="dxa"/>
            <w:tcBorders>
              <w:top w:val="single" w:color="000000" w:sz="4" w:space="0"/>
              <w:left w:val="nil"/>
              <w:bottom w:val="single" w:color="000000" w:sz="4" w:space="0"/>
              <w:right w:val="single" w:color="000000" w:sz="4" w:space="0"/>
              <w:tl2br w:val="nil"/>
              <w:tr2bl w:val="nil"/>
            </w:tcBorders>
            <w:noWrap w:val="0"/>
            <w:tcMar>
              <w:top w:w="0" w:type="dxa"/>
              <w:left w:w="70" w:type="dxa"/>
              <w:bottom w:w="0" w:type="dxa"/>
              <w:right w:w="70" w:type="dxa"/>
            </w:tcMar>
            <w:vAlign w:val="bottom"/>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b/>
                <w:color w:val="auto"/>
                <w:sz w:val="24"/>
                <w:szCs w:val="22"/>
              </w:rPr>
            </w:pPr>
            <w:r>
              <w:rPr>
                <w:rFonts w:hint="default" w:eastAsia="Times New Roman"/>
                <w:b/>
                <w:color w:val="auto"/>
                <w:sz w:val="24"/>
                <w:szCs w:val="22"/>
              </w:rPr>
              <w:t>Entregáveis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00" w:hRule="atLeast"/>
        </w:trPr>
        <w:tc>
          <w:tcPr>
            <w:tcW w:w="820" w:type="dxa"/>
            <w:vMerge w:val="restart"/>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r>
              <w:rPr>
                <w:rFonts w:hint="default" w:eastAsia="Times New Roman"/>
                <w:color w:val="auto"/>
                <w:sz w:val="21"/>
                <w:szCs w:val="22"/>
              </w:rPr>
              <w:t>1</w:t>
            </w:r>
          </w:p>
        </w:tc>
        <w:tc>
          <w:tcPr>
            <w:tcW w:w="1660" w:type="dxa"/>
            <w:vMerge w:val="restart"/>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color w:val="auto"/>
                <w:sz w:val="21"/>
                <w:szCs w:val="22"/>
              </w:rPr>
            </w:pPr>
            <w:r>
              <w:rPr>
                <w:rFonts w:hint="default" w:eastAsia="Times New Roman"/>
                <w:color w:val="auto"/>
                <w:sz w:val="21"/>
                <w:szCs w:val="22"/>
              </w:rPr>
              <w:t>Marcos topográficos de concreto</w:t>
            </w:r>
          </w:p>
        </w:tc>
        <w:tc>
          <w:tcPr>
            <w:tcW w:w="1621" w:type="dxa"/>
            <w:vMerge w:val="restart"/>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r>
              <w:rPr>
                <w:rFonts w:hint="default" w:eastAsia="Times New Roman"/>
                <w:color w:val="auto"/>
                <w:sz w:val="21"/>
                <w:szCs w:val="22"/>
              </w:rPr>
              <w:t>6</w:t>
            </w:r>
          </w:p>
        </w:tc>
        <w:tc>
          <w:tcPr>
            <w:tcW w:w="1318" w:type="dxa"/>
            <w:vMerge w:val="restart"/>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r>
              <w:rPr>
                <w:rFonts w:hint="default" w:eastAsia="Times New Roman"/>
                <w:color w:val="auto"/>
                <w:sz w:val="21"/>
                <w:szCs w:val="22"/>
                <w:lang w:val="pt-BR"/>
              </w:rPr>
              <w:t>U</w:t>
            </w:r>
            <w:r>
              <w:rPr>
                <w:rFonts w:hint="default" w:eastAsia="Times New Roman"/>
                <w:color w:val="auto"/>
                <w:sz w:val="21"/>
                <w:szCs w:val="22"/>
              </w:rPr>
              <w:t>nid.</w:t>
            </w:r>
          </w:p>
        </w:tc>
        <w:tc>
          <w:tcPr>
            <w:tcW w:w="3596" w:type="dxa"/>
            <w:tcBorders>
              <w:top w:val="nil"/>
              <w:left w:val="nil"/>
              <w:bottom w:val="single" w:color="000000" w:sz="4" w:space="0"/>
              <w:right w:val="single" w:color="000000" w:sz="4" w:space="0"/>
              <w:tl2br w:val="nil"/>
              <w:tr2bl w:val="nil"/>
            </w:tcBorders>
            <w:noWrap w:val="0"/>
            <w:tcMar>
              <w:top w:w="0" w:type="dxa"/>
              <w:left w:w="70" w:type="dxa"/>
              <w:bottom w:w="0" w:type="dxa"/>
              <w:right w:w="70" w:type="dxa"/>
            </w:tcMar>
            <w:vAlign w:val="bottom"/>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r>
              <w:rPr>
                <w:rFonts w:hint="default" w:eastAsia="Times New Roman"/>
                <w:color w:val="auto"/>
                <w:sz w:val="21"/>
                <w:szCs w:val="22"/>
              </w:rPr>
              <w:t>Dados brutos de rastreio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00" w:hRule="atLeast"/>
        </w:trPr>
        <w:tc>
          <w:tcPr>
            <w:tcW w:w="820"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p>
        </w:tc>
        <w:tc>
          <w:tcPr>
            <w:tcW w:w="1660"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p>
        </w:tc>
        <w:tc>
          <w:tcPr>
            <w:tcW w:w="1621"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p>
        </w:tc>
        <w:tc>
          <w:tcPr>
            <w:tcW w:w="1318"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p>
        </w:tc>
        <w:tc>
          <w:tcPr>
            <w:tcW w:w="3596" w:type="dxa"/>
            <w:tcBorders>
              <w:top w:val="nil"/>
              <w:left w:val="nil"/>
              <w:bottom w:val="single" w:color="000000" w:sz="4" w:space="0"/>
              <w:right w:val="single" w:color="000000" w:sz="4" w:space="0"/>
              <w:tl2br w:val="nil"/>
              <w:tr2bl w:val="nil"/>
            </w:tcBorders>
            <w:noWrap w:val="0"/>
            <w:tcMar>
              <w:top w:w="0" w:type="dxa"/>
              <w:left w:w="70" w:type="dxa"/>
              <w:bottom w:w="0" w:type="dxa"/>
              <w:right w:w="70" w:type="dxa"/>
            </w:tcMar>
            <w:vAlign w:val="bottom"/>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r>
              <w:rPr>
                <w:rFonts w:hint="default" w:eastAsia="Times New Roman"/>
                <w:color w:val="auto"/>
                <w:sz w:val="21"/>
                <w:szCs w:val="22"/>
              </w:rPr>
              <w:t>Relatórios de processamento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13" w:hRule="atLeast"/>
        </w:trPr>
        <w:tc>
          <w:tcPr>
            <w:tcW w:w="820"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p>
        </w:tc>
        <w:tc>
          <w:tcPr>
            <w:tcW w:w="1660"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p>
        </w:tc>
        <w:tc>
          <w:tcPr>
            <w:tcW w:w="1621"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p>
        </w:tc>
        <w:tc>
          <w:tcPr>
            <w:tcW w:w="1318"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p>
        </w:tc>
        <w:tc>
          <w:tcPr>
            <w:tcW w:w="3596" w:type="dxa"/>
            <w:tcBorders>
              <w:top w:val="nil"/>
              <w:left w:val="nil"/>
              <w:bottom w:val="single" w:color="000000" w:sz="4" w:space="0"/>
              <w:right w:val="single" w:color="000000" w:sz="4" w:space="0"/>
              <w:tl2br w:val="nil"/>
              <w:tr2bl w:val="nil"/>
            </w:tcBorders>
            <w:noWrap w:val="0"/>
            <w:tcMar>
              <w:top w:w="0" w:type="dxa"/>
              <w:left w:w="70" w:type="dxa"/>
              <w:bottom w:w="0" w:type="dxa"/>
              <w:right w:w="70" w:type="dxa"/>
            </w:tcMar>
            <w:vAlign w:val="bottom"/>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r>
              <w:rPr>
                <w:rFonts w:hint="default" w:eastAsia="Times New Roman"/>
                <w:color w:val="auto"/>
                <w:sz w:val="21"/>
                <w:szCs w:val="22"/>
              </w:rPr>
              <w:t>Monografia com foto.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00" w:hRule="atLeast"/>
        </w:trPr>
        <w:tc>
          <w:tcPr>
            <w:tcW w:w="820" w:type="dxa"/>
            <w:vMerge w:val="restart"/>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r>
              <w:rPr>
                <w:rFonts w:hint="default" w:eastAsia="Times New Roman"/>
                <w:color w:val="auto"/>
                <w:sz w:val="21"/>
                <w:szCs w:val="22"/>
              </w:rPr>
              <w:t>2</w:t>
            </w:r>
          </w:p>
        </w:tc>
        <w:tc>
          <w:tcPr>
            <w:tcW w:w="1660" w:type="dxa"/>
            <w:vMerge w:val="restart"/>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r>
              <w:rPr>
                <w:rFonts w:hint="default" w:eastAsia="Times New Roman"/>
                <w:color w:val="auto"/>
                <w:sz w:val="21"/>
                <w:szCs w:val="22"/>
              </w:rPr>
              <w:t>Levantamento Topográfico</w:t>
            </w:r>
          </w:p>
        </w:tc>
        <w:tc>
          <w:tcPr>
            <w:tcW w:w="1621" w:type="dxa"/>
            <w:vMerge w:val="restart"/>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r>
              <w:rPr>
                <w:rFonts w:hint="default" w:eastAsia="Times New Roman"/>
                <w:color w:val="auto"/>
                <w:sz w:val="21"/>
                <w:szCs w:val="22"/>
                <w:lang w:val="pt-BR"/>
              </w:rPr>
              <w:t>407</w:t>
            </w:r>
            <w:r>
              <w:rPr>
                <w:rFonts w:hint="default" w:eastAsia="Times New Roman"/>
                <w:color w:val="auto"/>
                <w:sz w:val="21"/>
                <w:szCs w:val="22"/>
              </w:rPr>
              <w:t>.000</w:t>
            </w:r>
          </w:p>
        </w:tc>
        <w:tc>
          <w:tcPr>
            <w:tcW w:w="1318" w:type="dxa"/>
            <w:vMerge w:val="restart"/>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center"/>
              <w:rPr>
                <w:rFonts w:hint="default" w:eastAsia="Times New Roman"/>
                <w:color w:val="auto"/>
                <w:sz w:val="21"/>
                <w:szCs w:val="22"/>
              </w:rPr>
            </w:pPr>
            <w:r>
              <w:rPr>
                <w:rFonts w:hint="default" w:eastAsia="Times New Roman"/>
                <w:color w:val="auto"/>
                <w:sz w:val="21"/>
                <w:szCs w:val="22"/>
              </w:rPr>
              <w:t>m²</w:t>
            </w:r>
          </w:p>
        </w:tc>
        <w:tc>
          <w:tcPr>
            <w:tcW w:w="3596" w:type="dxa"/>
            <w:tcBorders>
              <w:top w:val="nil"/>
              <w:left w:val="nil"/>
              <w:bottom w:val="single" w:color="000000" w:sz="4" w:space="0"/>
              <w:right w:val="single" w:color="000000" w:sz="4" w:space="0"/>
              <w:tl2br w:val="nil"/>
              <w:tr2bl w:val="nil"/>
            </w:tcBorders>
            <w:noWrap w:val="0"/>
            <w:tcMar>
              <w:top w:w="0" w:type="dxa"/>
              <w:left w:w="70" w:type="dxa"/>
              <w:bottom w:w="0" w:type="dxa"/>
              <w:right w:w="70" w:type="dxa"/>
            </w:tcMar>
            <w:vAlign w:val="bottom"/>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r>
              <w:rPr>
                <w:rFonts w:hint="default" w:eastAsia="Times New Roman"/>
                <w:color w:val="auto"/>
                <w:sz w:val="21"/>
                <w:szCs w:val="22"/>
              </w:rPr>
              <w:t>Dados brutos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300" w:hRule="atLeast"/>
        </w:trPr>
        <w:tc>
          <w:tcPr>
            <w:tcW w:w="820"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1660"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1621"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1318"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3596" w:type="dxa"/>
            <w:tcBorders>
              <w:top w:val="nil"/>
              <w:left w:val="nil"/>
              <w:bottom w:val="single" w:color="000000" w:sz="4" w:space="0"/>
              <w:right w:val="single" w:color="000000" w:sz="4" w:space="0"/>
              <w:tl2br w:val="nil"/>
              <w:tr2bl w:val="nil"/>
            </w:tcBorders>
            <w:noWrap w:val="0"/>
            <w:tcMar>
              <w:top w:w="0" w:type="dxa"/>
              <w:left w:w="70" w:type="dxa"/>
              <w:bottom w:w="0" w:type="dxa"/>
              <w:right w:w="70" w:type="dxa"/>
            </w:tcMar>
            <w:vAlign w:val="bottom"/>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r>
              <w:rPr>
                <w:rFonts w:hint="default" w:eastAsia="Times New Roman"/>
                <w:color w:val="auto"/>
                <w:sz w:val="21"/>
                <w:szCs w:val="22"/>
              </w:rPr>
              <w:t>Relatórios de processamento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555" w:hRule="atLeast"/>
        </w:trPr>
        <w:tc>
          <w:tcPr>
            <w:tcW w:w="820"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1660"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1621"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1318"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3596" w:type="dxa"/>
            <w:tcBorders>
              <w:top w:val="nil"/>
              <w:left w:val="nil"/>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r>
              <w:rPr>
                <w:rFonts w:hint="default" w:eastAsia="Times New Roman"/>
                <w:color w:val="auto"/>
                <w:sz w:val="21"/>
                <w:szCs w:val="22"/>
              </w:rPr>
              <w:t>Lista de pontos, em formato txt, dos pontos presentes no levantamento topográfico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trHeight w:val="90" w:hRule="atLeast"/>
        </w:trPr>
        <w:tc>
          <w:tcPr>
            <w:tcW w:w="820"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1660"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1621"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1318" w:type="dxa"/>
            <w:vMerge w:val="continue"/>
            <w:tcBorders>
              <w:top w:val="nil"/>
              <w:left w:val="single" w:color="000000" w:sz="4" w:space="0"/>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p>
        </w:tc>
        <w:tc>
          <w:tcPr>
            <w:tcW w:w="3596" w:type="dxa"/>
            <w:tcBorders>
              <w:top w:val="nil"/>
              <w:left w:val="nil"/>
              <w:bottom w:val="single" w:color="000000" w:sz="4" w:space="0"/>
              <w:right w:val="single" w:color="000000" w:sz="4" w:space="0"/>
              <w:tl2br w:val="nil"/>
              <w:tr2bl w:val="nil"/>
            </w:tcBorders>
            <w:noWrap w:val="0"/>
            <w:tcMar>
              <w:top w:w="0" w:type="dxa"/>
              <w:left w:w="70" w:type="dxa"/>
              <w:bottom w:w="0" w:type="dxa"/>
              <w:right w:w="70" w:type="dxa"/>
            </w:tcMar>
            <w:vAlign w:val="center"/>
          </w:tcPr>
          <w:p>
            <w:pPr>
              <w:keepNext w:val="0"/>
              <w:keepLines w:val="0"/>
              <w:pageBreakBefore w:val="0"/>
              <w:kinsoku/>
              <w:wordWrap/>
              <w:overflowPunct/>
              <w:topLinePunct w:val="0"/>
              <w:autoSpaceDE/>
              <w:bidi w:val="0"/>
              <w:adjustRightInd/>
              <w:snapToGrid/>
              <w:spacing w:after="0" w:line="360" w:lineRule="auto"/>
              <w:jc w:val="both"/>
              <w:rPr>
                <w:rFonts w:hint="default" w:eastAsia="Times New Roman"/>
                <w:color w:val="auto"/>
                <w:sz w:val="21"/>
                <w:szCs w:val="22"/>
              </w:rPr>
            </w:pPr>
            <w:r>
              <w:rPr>
                <w:rFonts w:hint="default" w:eastAsia="Times New Roman"/>
                <w:color w:val="auto"/>
                <w:sz w:val="21"/>
                <w:szCs w:val="22"/>
              </w:rPr>
              <w:t>Desenho Topográfico</w:t>
            </w:r>
          </w:p>
        </w:tc>
      </w:tr>
    </w:tbl>
    <w:p>
      <w:pPr>
        <w:pStyle w:val="531"/>
        <w:keepNext w:val="0"/>
        <w:keepLines w:val="0"/>
        <w:pageBreakBefore w:val="0"/>
        <w:kinsoku/>
        <w:wordWrap/>
        <w:overflowPunct/>
        <w:topLinePunct w:val="0"/>
        <w:autoSpaceDE/>
        <w:bidi w:val="0"/>
        <w:adjustRightInd/>
        <w:snapToGrid/>
        <w:spacing w:beforeLines="0" w:afterLines="0" w:line="360" w:lineRule="auto"/>
        <w:jc w:val="both"/>
        <w:rPr>
          <w:rFonts w:hint="eastAsia"/>
          <w:b/>
          <w:color w:val="auto"/>
          <w:sz w:val="22"/>
          <w:szCs w:val="22"/>
        </w:rPr>
      </w:pPr>
    </w:p>
    <w:p>
      <w:pPr>
        <w:pStyle w:val="531"/>
        <w:keepNext w:val="0"/>
        <w:keepLines w:val="0"/>
        <w:pageBreakBefore w:val="0"/>
        <w:kinsoku/>
        <w:wordWrap/>
        <w:overflowPunct/>
        <w:topLinePunct w:val="0"/>
        <w:autoSpaceDE/>
        <w:bidi w:val="0"/>
        <w:adjustRightInd/>
        <w:snapToGrid/>
        <w:spacing w:beforeLines="0" w:afterLines="0" w:line="360" w:lineRule="auto"/>
        <w:jc w:val="both"/>
        <w:rPr>
          <w:rFonts w:hint="eastAsia"/>
          <w:b/>
          <w:color w:val="auto"/>
          <w:sz w:val="22"/>
          <w:szCs w:val="22"/>
        </w:rPr>
      </w:pPr>
      <w:r>
        <w:rPr>
          <w:rFonts w:hint="eastAsia"/>
          <w:b/>
          <w:color w:val="auto"/>
          <w:sz w:val="22"/>
          <w:szCs w:val="22"/>
        </w:rPr>
        <w:t>Área de interesse:</w:t>
      </w:r>
    </w:p>
    <w:p>
      <w:pPr>
        <w:pStyle w:val="531"/>
        <w:keepNext w:val="0"/>
        <w:keepLines w:val="0"/>
        <w:pageBreakBefore w:val="0"/>
        <w:kinsoku/>
        <w:wordWrap/>
        <w:overflowPunct/>
        <w:topLinePunct w:val="0"/>
        <w:autoSpaceDE/>
        <w:bidi w:val="0"/>
        <w:adjustRightInd/>
        <w:snapToGrid/>
        <w:spacing w:beforeLines="0" w:afterLines="0" w:line="360" w:lineRule="auto"/>
        <w:jc w:val="both"/>
        <w:rPr>
          <w:rFonts w:hint="eastAsia"/>
          <w:b/>
          <w:color w:val="auto"/>
          <w:sz w:val="22"/>
          <w:szCs w:val="22"/>
          <w:lang w:val="pt-BR"/>
        </w:rPr>
      </w:pPr>
      <w:r>
        <w:rPr>
          <w:rFonts w:hint="eastAsia"/>
          <w:b/>
          <w:color w:val="auto"/>
          <w:sz w:val="22"/>
          <w:szCs w:val="22"/>
          <w:lang w:val="pt-BR"/>
        </w:rPr>
        <w:pict>
          <v:shape id="_x0000_i1028" o:spt="75" alt="Mapa - área de interesse" type="#_x0000_t75" style="height:263.7pt;width:414.7pt;" filled="f" o:preferrelative="t" stroked="f" coordsize="21600,21600">
            <v:path/>
            <v:fill on="f" focussize="0,0"/>
            <v:stroke on="f"/>
            <v:imagedata r:id="rId10" o:title="Mapa - área de interesse"/>
            <o:lock v:ext="edit" aspectratio="t"/>
            <w10:wrap type="none"/>
            <w10:anchorlock/>
          </v:shape>
        </w:pict>
      </w:r>
    </w:p>
    <w:p>
      <w:pPr>
        <w:pStyle w:val="46"/>
        <w:keepNext w:val="0"/>
        <w:keepLines w:val="0"/>
        <w:pageBreakBefore w:val="0"/>
        <w:kinsoku/>
        <w:wordWrap/>
        <w:overflowPunct/>
        <w:topLinePunct w:val="0"/>
        <w:autoSpaceDE/>
        <w:bidi w:val="0"/>
        <w:adjustRightInd/>
        <w:snapToGrid/>
        <w:spacing w:line="360" w:lineRule="auto"/>
        <w:jc w:val="both"/>
        <w:rPr>
          <w:rFonts w:hint="eastAsia"/>
          <w:i/>
          <w:iCs/>
          <w:color w:val="auto"/>
          <w:sz w:val="20"/>
          <w:szCs w:val="20"/>
          <w:lang w:val="pt-BR"/>
        </w:rPr>
      </w:pPr>
      <w:r>
        <w:rPr>
          <w:rFonts w:hint="default"/>
          <w:i/>
          <w:iCs/>
          <w:color w:val="auto"/>
          <w:sz w:val="20"/>
          <w:szCs w:val="20"/>
          <w:lang w:val="pt-BR"/>
        </w:rPr>
        <w:t xml:space="preserve">Mapa </w:t>
      </w:r>
      <w:r>
        <w:rPr>
          <w:rFonts w:hint="eastAsia"/>
          <w:i/>
          <w:iCs/>
          <w:color w:val="auto"/>
          <w:sz w:val="20"/>
          <w:szCs w:val="20"/>
          <w:lang w:val="pt-BR"/>
        </w:rPr>
        <w:t>0</w:t>
      </w:r>
      <w:r>
        <w:rPr>
          <w:rFonts w:hint="default"/>
          <w:i/>
          <w:iCs/>
          <w:color w:val="auto"/>
          <w:sz w:val="20"/>
          <w:szCs w:val="20"/>
          <w:lang w:val="pt-BR"/>
        </w:rPr>
        <w:t>4</w:t>
      </w:r>
      <w:r>
        <w:rPr>
          <w:rFonts w:hint="eastAsia"/>
          <w:i/>
          <w:iCs/>
          <w:color w:val="auto"/>
          <w:sz w:val="20"/>
          <w:szCs w:val="20"/>
          <w:lang w:val="pt-BR"/>
        </w:rPr>
        <w:t xml:space="preserve"> – Área de Interesse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7.</w:t>
      </w:r>
      <w:r>
        <w:rPr>
          <w:rFonts w:hint="default" w:ascii="Arial" w:hAnsi="Arial"/>
          <w:b/>
          <w:color w:val="auto"/>
          <w:sz w:val="22"/>
          <w:szCs w:val="22"/>
          <w:lang w:val="pt-BR"/>
        </w:rPr>
        <w:t>4.</w:t>
      </w:r>
      <w:r>
        <w:rPr>
          <w:rFonts w:hint="default" w:ascii="Arial" w:hAnsi="Arial"/>
          <w:b/>
          <w:color w:val="auto"/>
          <w:sz w:val="22"/>
          <w:szCs w:val="22"/>
        </w:rPr>
        <w:t xml:space="preserve"> Elaboração de projeto de drenagem com lançamento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en-US"/>
        </w:rPr>
        <w:t>7.</w:t>
      </w:r>
      <w:r>
        <w:rPr>
          <w:rFonts w:hint="default" w:ascii="Arial" w:hAnsi="Arial"/>
          <w:b/>
          <w:bCs/>
          <w:color w:val="auto"/>
          <w:sz w:val="22"/>
          <w:szCs w:val="22"/>
          <w:lang w:val="pt-BR"/>
        </w:rPr>
        <w:t>4</w:t>
      </w:r>
      <w:r>
        <w:rPr>
          <w:rFonts w:hint="default" w:ascii="Arial" w:hAnsi="Arial"/>
          <w:b/>
          <w:bCs/>
          <w:color w:val="auto"/>
          <w:sz w:val="22"/>
          <w:szCs w:val="22"/>
        </w:rPr>
        <w:t>.1</w:t>
      </w:r>
      <w:r>
        <w:rPr>
          <w:rFonts w:hint="default" w:ascii="Arial" w:hAnsi="Arial"/>
          <w:b/>
          <w:bCs/>
          <w:color w:val="auto"/>
          <w:sz w:val="22"/>
          <w:szCs w:val="22"/>
          <w:lang w:val="pt-BR"/>
        </w:rPr>
        <w:t>.</w:t>
      </w:r>
      <w:r>
        <w:rPr>
          <w:rFonts w:hint="default" w:ascii="Arial" w:hAnsi="Arial"/>
          <w:color w:val="auto"/>
          <w:sz w:val="22"/>
          <w:szCs w:val="22"/>
        </w:rPr>
        <w:t xml:space="preserve"> No desenvolvimento dos projetos deverão ser obedecidos os procedimentos dispostos pelas Normas da ABNT em suas versões atualizadas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7.4.2.</w:t>
      </w:r>
      <w:r>
        <w:rPr>
          <w:rFonts w:hint="default" w:ascii="Arial" w:hAnsi="Arial"/>
          <w:color w:val="auto"/>
          <w:sz w:val="22"/>
          <w:szCs w:val="22"/>
          <w:lang w:val="pt-BR"/>
        </w:rPr>
        <w:t xml:space="preserve"> </w:t>
      </w:r>
      <w:r>
        <w:rPr>
          <w:rFonts w:hint="default" w:ascii="Arial" w:hAnsi="Arial"/>
          <w:color w:val="auto"/>
          <w:sz w:val="22"/>
          <w:szCs w:val="22"/>
        </w:rPr>
        <w:t>O projeto executivo deverá apresentar, de forma clara e precisa, o memorial descritivo (concepção adotada, metodologia, parâmetros de projeto, planilhas de cálculos hidráulicos, especificações técnicas, quantitativos e orçamento), além de peças gráficas com detalhes construtivos e as indicações necessárias à interpretação dos elementos que os comporão para posterior execução de obras;</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7.4.3.</w:t>
      </w:r>
      <w:r>
        <w:rPr>
          <w:rFonts w:hint="default" w:ascii="Arial" w:hAnsi="Arial"/>
          <w:color w:val="auto"/>
          <w:sz w:val="22"/>
          <w:szCs w:val="22"/>
          <w:lang w:val="pt-BR"/>
        </w:rPr>
        <w:t xml:space="preserve"> </w:t>
      </w:r>
      <w:r>
        <w:rPr>
          <w:rFonts w:hint="default" w:ascii="Arial" w:hAnsi="Arial"/>
          <w:color w:val="auto"/>
          <w:sz w:val="22"/>
          <w:szCs w:val="22"/>
        </w:rPr>
        <w:t>O projeto executivo de macrodrenagem será a base para a compatibilização dos diversos projetos complementares;</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7.4.4</w:t>
      </w:r>
      <w:r>
        <w:rPr>
          <w:rFonts w:hint="default" w:ascii="Arial" w:hAnsi="Arial"/>
          <w:color w:val="auto"/>
          <w:sz w:val="22"/>
          <w:szCs w:val="22"/>
          <w:lang w:val="pt-BR"/>
        </w:rPr>
        <w:t xml:space="preserve">. </w:t>
      </w:r>
      <w:r>
        <w:rPr>
          <w:rFonts w:hint="default" w:ascii="Arial" w:hAnsi="Arial"/>
          <w:color w:val="auto"/>
          <w:sz w:val="22"/>
          <w:szCs w:val="22"/>
        </w:rPr>
        <w:t>O projeto de macrodrenagem apresentará em planta as bacias hidrográficas da área em estudo;</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7.4.5.</w:t>
      </w:r>
      <w:r>
        <w:rPr>
          <w:rFonts w:hint="default" w:ascii="Arial" w:hAnsi="Arial"/>
          <w:color w:val="auto"/>
          <w:sz w:val="22"/>
          <w:szCs w:val="22"/>
          <w:lang w:val="pt-BR"/>
        </w:rPr>
        <w:t xml:space="preserve"> </w:t>
      </w:r>
      <w:r>
        <w:rPr>
          <w:rFonts w:hint="default" w:ascii="Arial" w:hAnsi="Arial"/>
          <w:color w:val="auto"/>
          <w:sz w:val="22"/>
          <w:szCs w:val="22"/>
        </w:rPr>
        <w:t>O projeto executivo deverá, obrigatoriamente, definir o destino final da rede projetada, incluindo justificativa para tal escolha e comprovação de sua suficiência hidráulica;</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7.4.6.</w:t>
      </w:r>
      <w:r>
        <w:rPr>
          <w:rFonts w:hint="default" w:ascii="Arial" w:hAnsi="Arial"/>
          <w:color w:val="auto"/>
          <w:sz w:val="22"/>
          <w:szCs w:val="22"/>
          <w:lang w:val="pt-BR"/>
        </w:rPr>
        <w:t xml:space="preserve"> </w:t>
      </w:r>
      <w:r>
        <w:rPr>
          <w:rFonts w:hint="default" w:ascii="Arial" w:hAnsi="Arial"/>
          <w:color w:val="auto"/>
          <w:sz w:val="22"/>
          <w:szCs w:val="22"/>
        </w:rPr>
        <w:t>O projeto de macrodrenagem será elaborado em consonância com o projeto geométrico. Na planta de perfis longitudinais deverão ser apresentados o greide da via e as galerias de drenagem projetadas, e indicadas as cotas do greide e de fundo das galerias, a seção e declividade para cada trecho de galeria;</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7.4.7</w:t>
      </w:r>
      <w:r>
        <w:rPr>
          <w:rFonts w:hint="default" w:ascii="Arial" w:hAnsi="Arial"/>
          <w:color w:val="auto"/>
          <w:sz w:val="22"/>
          <w:szCs w:val="22"/>
          <w:lang w:val="pt-BR"/>
        </w:rPr>
        <w:t xml:space="preserve">. </w:t>
      </w:r>
      <w:r>
        <w:rPr>
          <w:rFonts w:hint="default" w:ascii="Arial" w:hAnsi="Arial"/>
          <w:color w:val="auto"/>
          <w:sz w:val="22"/>
          <w:szCs w:val="22"/>
        </w:rPr>
        <w:t>As cotas e altitudes deverão ser expressas com base na rede de Referências de Nível (RN) do IBGE. No caso de áreas alagáveis deverá ser indicada a cota da cheia máxima;</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7.4.8.</w:t>
      </w:r>
      <w:r>
        <w:rPr>
          <w:rFonts w:hint="default" w:ascii="Arial" w:hAnsi="Arial"/>
          <w:color w:val="auto"/>
          <w:sz w:val="22"/>
          <w:szCs w:val="22"/>
          <w:lang w:val="pt-BR"/>
        </w:rPr>
        <w:t xml:space="preserve"> </w:t>
      </w:r>
      <w:r>
        <w:rPr>
          <w:rFonts w:hint="default" w:ascii="Arial" w:hAnsi="Arial"/>
          <w:color w:val="auto"/>
          <w:sz w:val="22"/>
          <w:szCs w:val="22"/>
        </w:rPr>
        <w:t>Na planta baixa deverão constar a indicação do sentido do fluxo do escoamento superficial, a seção, declividade e extensão da galeria projetada, por trecho entre dois poços de visita;</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7.4.9.</w:t>
      </w:r>
      <w:r>
        <w:rPr>
          <w:rFonts w:hint="default" w:ascii="Arial" w:hAnsi="Arial"/>
          <w:color w:val="auto"/>
          <w:sz w:val="22"/>
          <w:szCs w:val="22"/>
          <w:lang w:val="pt-BR"/>
        </w:rPr>
        <w:t xml:space="preserve"> </w:t>
      </w:r>
      <w:r>
        <w:rPr>
          <w:rFonts w:hint="default" w:ascii="Arial" w:hAnsi="Arial"/>
          <w:color w:val="auto"/>
          <w:sz w:val="22"/>
          <w:szCs w:val="22"/>
        </w:rPr>
        <w:t>O projeto deverá indicar em planta baixa e nos perfis todas as interferências com as canalizações das concessionárias de serviços públicos. A obtenção de tais elementos ficará a cargo da Contratada;</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7.4.10.</w:t>
      </w:r>
      <w:r>
        <w:rPr>
          <w:rFonts w:hint="default" w:ascii="Arial" w:hAnsi="Arial"/>
          <w:color w:val="auto"/>
          <w:sz w:val="22"/>
          <w:szCs w:val="22"/>
          <w:lang w:val="pt-BR"/>
        </w:rPr>
        <w:t xml:space="preserve"> </w:t>
      </w:r>
      <w:r>
        <w:rPr>
          <w:rFonts w:hint="default" w:ascii="Arial" w:hAnsi="Arial"/>
          <w:color w:val="auto"/>
          <w:sz w:val="22"/>
          <w:szCs w:val="22"/>
        </w:rPr>
        <w:t>Sistema de captação e escoamento das águas pluviais, com indicação do sentido do caimento e declividade;</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7.4.11.</w:t>
      </w:r>
      <w:r>
        <w:rPr>
          <w:rFonts w:hint="default" w:ascii="Arial" w:hAnsi="Arial"/>
          <w:color w:val="auto"/>
          <w:sz w:val="22"/>
          <w:szCs w:val="22"/>
          <w:lang w:val="pt-BR"/>
        </w:rPr>
        <w:t xml:space="preserve"> </w:t>
      </w:r>
      <w:r>
        <w:rPr>
          <w:rFonts w:hint="default" w:ascii="Arial" w:hAnsi="Arial"/>
          <w:color w:val="auto"/>
          <w:sz w:val="22"/>
          <w:szCs w:val="22"/>
        </w:rPr>
        <w:t>Elementos auxiliares como drenos, trincheiras, berços, barbacãs, quando propostos, deverão ser justificados e submetidos à aprovação da Prefeitura Municipal;</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7.4.12.</w:t>
      </w:r>
      <w:r>
        <w:rPr>
          <w:rFonts w:hint="default" w:ascii="Arial" w:hAnsi="Arial"/>
          <w:color w:val="auto"/>
          <w:sz w:val="22"/>
          <w:szCs w:val="22"/>
          <w:lang w:val="pt-BR"/>
        </w:rPr>
        <w:t xml:space="preserve"> </w:t>
      </w:r>
      <w:r>
        <w:rPr>
          <w:rFonts w:hint="default" w:ascii="Arial" w:hAnsi="Arial"/>
          <w:color w:val="auto"/>
          <w:sz w:val="22"/>
          <w:szCs w:val="22"/>
        </w:rPr>
        <w:t>As estruturas que utilizarão concreto armado deverão ter seu cálculo e todo o detalhamento de forma e armadura anexados, estando os custos relativos a estes projetos inseridos no preço para elaboração do projeto de macrodrenagem;</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rPr>
      </w:pPr>
      <w:r>
        <w:rPr>
          <w:rFonts w:hint="default" w:ascii="Arial" w:hAnsi="Arial"/>
          <w:b/>
          <w:bCs/>
          <w:color w:val="auto"/>
          <w:sz w:val="22"/>
          <w:szCs w:val="22"/>
          <w:lang w:val="pt-BR"/>
        </w:rPr>
        <w:t xml:space="preserve">7.4.13. </w:t>
      </w:r>
      <w:r>
        <w:rPr>
          <w:rFonts w:hint="default" w:ascii="Arial" w:hAnsi="Arial"/>
          <w:color w:val="auto"/>
          <w:sz w:val="22"/>
          <w:szCs w:val="22"/>
        </w:rPr>
        <w:t>Todas as canalizações e estruturas deverão ter seus detalhes executivos apresentados, tais como: Caixas coletoras tipo “boca de lobo”, Poços de visita, bueiros, galerias, canais, muros, berços, drenos, trincheiras, barbacãs, etc;</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lang w:val="pt-BR"/>
        </w:rPr>
      </w:pPr>
      <w:r>
        <w:rPr>
          <w:rFonts w:hint="default" w:ascii="Arial" w:hAnsi="Arial"/>
          <w:b/>
          <w:bCs/>
          <w:color w:val="auto"/>
          <w:sz w:val="22"/>
          <w:szCs w:val="22"/>
          <w:lang w:val="pt-BR"/>
        </w:rPr>
        <w:t>7.4.14.</w:t>
      </w:r>
      <w:r>
        <w:rPr>
          <w:rFonts w:hint="default" w:ascii="Arial" w:hAnsi="Arial"/>
          <w:color w:val="auto"/>
          <w:sz w:val="22"/>
          <w:szCs w:val="22"/>
          <w:lang w:val="pt-BR"/>
        </w:rPr>
        <w:t xml:space="preserve"> </w:t>
      </w:r>
      <w:r>
        <w:rPr>
          <w:rFonts w:hint="default" w:ascii="Arial" w:hAnsi="Arial"/>
          <w:color w:val="auto"/>
          <w:sz w:val="22"/>
          <w:szCs w:val="22"/>
        </w:rPr>
        <w:t>O dimensionamento deverá ser elaborado de acordo com as normas brasileiras, considerando-se a precipitação pluviométrica para cidade de Primavera do Leste/MT</w:t>
      </w:r>
      <w:r>
        <w:rPr>
          <w:rFonts w:hint="default" w:ascii="Arial" w:hAnsi="Arial"/>
          <w:color w:val="auto"/>
          <w:sz w:val="22"/>
          <w:szCs w:val="22"/>
          <w:lang w:val="pt-BR"/>
        </w:rPr>
        <w:t>;</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lang w:val="pt-BR"/>
        </w:rPr>
      </w:pPr>
      <w:r>
        <w:rPr>
          <w:rFonts w:hint="default" w:ascii="Arial" w:hAnsi="Arial"/>
          <w:b/>
          <w:bCs/>
          <w:color w:val="auto"/>
          <w:sz w:val="22"/>
          <w:szCs w:val="22"/>
          <w:lang w:val="pt-BR"/>
        </w:rPr>
        <w:t>7.4.15</w:t>
      </w:r>
      <w:r>
        <w:rPr>
          <w:rFonts w:hint="default" w:ascii="Arial" w:hAnsi="Arial"/>
          <w:color w:val="auto"/>
          <w:sz w:val="22"/>
          <w:szCs w:val="22"/>
          <w:lang w:val="pt-BR"/>
        </w:rPr>
        <w:t xml:space="preserve">. </w:t>
      </w:r>
      <w:r>
        <w:rPr>
          <w:rFonts w:hint="default" w:ascii="Arial" w:hAnsi="Arial"/>
          <w:color w:val="auto"/>
          <w:sz w:val="22"/>
          <w:szCs w:val="22"/>
        </w:rPr>
        <w:t>Deverão ser definidas as peças e conexões, os materiais, os diâmetros e as declividades necessários ao eficiente desempenho do sistema</w:t>
      </w:r>
      <w:r>
        <w:rPr>
          <w:rFonts w:hint="default" w:ascii="Arial" w:hAnsi="Arial"/>
          <w:color w:val="auto"/>
          <w:sz w:val="22"/>
          <w:szCs w:val="22"/>
          <w:lang w:val="pt-BR"/>
        </w:rPr>
        <w:t>;</w:t>
      </w:r>
    </w:p>
    <w:p>
      <w:pPr>
        <w:keepNext w:val="0"/>
        <w:keepLines w:val="0"/>
        <w:pageBreakBefore w:val="0"/>
        <w:numPr>
          <w:ilvl w:val="0"/>
          <w:numId w:val="0"/>
        </w:numPr>
        <w:kinsoku/>
        <w:wordWrap/>
        <w:overflowPunct/>
        <w:topLinePunct w:val="0"/>
        <w:autoSpaceDE/>
        <w:bidi w:val="0"/>
        <w:adjustRightInd/>
        <w:snapToGrid/>
        <w:spacing w:after="0" w:line="360" w:lineRule="auto"/>
        <w:ind w:leftChars="0"/>
        <w:jc w:val="both"/>
        <w:rPr>
          <w:rFonts w:hint="default" w:ascii="Arial" w:hAnsi="Arial"/>
          <w:color w:val="auto"/>
          <w:sz w:val="22"/>
          <w:szCs w:val="22"/>
          <w:highlight w:val="none"/>
        </w:rPr>
      </w:pPr>
      <w:r>
        <w:rPr>
          <w:rFonts w:hint="default" w:ascii="Arial" w:hAnsi="Arial"/>
          <w:b/>
          <w:bCs/>
          <w:color w:val="auto"/>
          <w:sz w:val="22"/>
          <w:szCs w:val="22"/>
          <w:highlight w:val="none"/>
          <w:lang w:val="pt-BR"/>
        </w:rPr>
        <w:t>7.4.16.</w:t>
      </w:r>
      <w:r>
        <w:rPr>
          <w:rFonts w:hint="default" w:ascii="Arial" w:hAnsi="Arial"/>
          <w:color w:val="auto"/>
          <w:sz w:val="22"/>
          <w:szCs w:val="22"/>
          <w:highlight w:val="none"/>
          <w:lang w:val="pt-BR"/>
        </w:rPr>
        <w:t xml:space="preserve"> </w:t>
      </w:r>
      <w:r>
        <w:rPr>
          <w:rFonts w:hint="default" w:ascii="Arial" w:hAnsi="Arial"/>
          <w:color w:val="auto"/>
          <w:sz w:val="22"/>
          <w:szCs w:val="22"/>
          <w:highlight w:val="none"/>
        </w:rPr>
        <w:t>A drenagem iniciará pela Avenida Niterói, assim acrescentando a este orçamento uma quantitativo de 1660 metros de drenagem profunda. Essa região, ainda na parte pavimentada da Avenida Olivério Porta, sofre rotineiramente com alagamentos, por isso a necessidade de iniciar a drenagem nesse ponto.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 xml:space="preserve">8. </w:t>
      </w:r>
      <w:r>
        <w:rPr>
          <w:rFonts w:hint="default" w:ascii="Arial" w:hAnsi="Arial"/>
          <w:b/>
          <w:color w:val="auto"/>
          <w:sz w:val="22"/>
          <w:szCs w:val="22"/>
          <w:lang w:val="pt-BR"/>
        </w:rPr>
        <w:t xml:space="preserve">CLÁUSULA OITAVA - DA </w:t>
      </w:r>
      <w:r>
        <w:rPr>
          <w:rFonts w:hint="default" w:ascii="Arial" w:hAnsi="Arial"/>
          <w:b/>
          <w:color w:val="auto"/>
          <w:sz w:val="22"/>
          <w:szCs w:val="22"/>
        </w:rPr>
        <w:t>APRESENTAÇÃO DOS PRODUTOS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8.1</w:t>
      </w:r>
      <w:r>
        <w:rPr>
          <w:rFonts w:hint="default" w:ascii="Arial" w:hAnsi="Arial"/>
          <w:b/>
          <w:color w:val="auto"/>
          <w:sz w:val="22"/>
          <w:szCs w:val="22"/>
          <w:lang w:val="pt-BR"/>
        </w:rPr>
        <w:t>.</w:t>
      </w:r>
      <w:r>
        <w:rPr>
          <w:rFonts w:hint="default" w:ascii="Arial" w:hAnsi="Arial"/>
          <w:b/>
          <w:color w:val="auto"/>
          <w:sz w:val="22"/>
          <w:szCs w:val="22"/>
        </w:rPr>
        <w:t xml:space="preserve"> Produtos a serem apresentados na Etapa de Programa de Necessidades:</w:t>
      </w:r>
    </w:p>
    <w:p>
      <w:pPr>
        <w:keepNext w:val="0"/>
        <w:keepLines w:val="0"/>
        <w:pageBreakBefore w:val="0"/>
        <w:kinsoku/>
        <w:wordWrap/>
        <w:overflowPunct/>
        <w:topLinePunct w:val="0"/>
        <w:autoSpaceDE/>
        <w:bidi w:val="0"/>
        <w:adjustRightInd/>
        <w:snapToGrid/>
        <w:spacing w:after="0" w:line="360" w:lineRule="auto"/>
        <w:ind w:left="238" w:leftChars="99" w:firstLine="0" w:firstLineChars="0"/>
        <w:jc w:val="both"/>
        <w:rPr>
          <w:rFonts w:hint="default" w:ascii="Arial" w:hAnsi="Arial"/>
          <w:color w:val="auto"/>
          <w:sz w:val="22"/>
          <w:szCs w:val="22"/>
        </w:rPr>
      </w:pPr>
      <w:r>
        <w:rPr>
          <w:rFonts w:hint="default" w:ascii="Arial" w:hAnsi="Arial"/>
          <w:b/>
          <w:bCs/>
          <w:color w:val="auto"/>
          <w:sz w:val="22"/>
          <w:szCs w:val="22"/>
        </w:rPr>
        <w:t>a)</w:t>
      </w:r>
      <w:r>
        <w:rPr>
          <w:rFonts w:hint="default" w:ascii="Arial" w:hAnsi="Arial"/>
          <w:color w:val="auto"/>
          <w:sz w:val="22"/>
          <w:szCs w:val="22"/>
        </w:rPr>
        <w:t xml:space="preserve"> Relatório contendo a sistematização das informações coletadas e a definição dos ambientes a serem projetados;</w:t>
      </w:r>
    </w:p>
    <w:p>
      <w:pPr>
        <w:keepNext w:val="0"/>
        <w:keepLines w:val="0"/>
        <w:pageBreakBefore w:val="0"/>
        <w:kinsoku/>
        <w:wordWrap/>
        <w:overflowPunct/>
        <w:topLinePunct w:val="0"/>
        <w:autoSpaceDE/>
        <w:bidi w:val="0"/>
        <w:adjustRightInd/>
        <w:snapToGrid/>
        <w:spacing w:after="0" w:line="360" w:lineRule="auto"/>
        <w:ind w:left="238" w:leftChars="99" w:firstLine="0" w:firstLineChars="0"/>
        <w:jc w:val="both"/>
        <w:rPr>
          <w:rFonts w:hint="default" w:ascii="Arial" w:hAnsi="Arial"/>
          <w:color w:val="auto"/>
          <w:sz w:val="22"/>
          <w:szCs w:val="22"/>
          <w:lang w:val="pt-BR"/>
        </w:rPr>
      </w:pPr>
      <w:r>
        <w:rPr>
          <w:rFonts w:hint="default" w:ascii="Arial" w:hAnsi="Arial"/>
          <w:b/>
          <w:bCs/>
          <w:color w:val="auto"/>
          <w:sz w:val="22"/>
          <w:szCs w:val="22"/>
        </w:rPr>
        <w:t>b)</w:t>
      </w:r>
      <w:r>
        <w:rPr>
          <w:rFonts w:hint="default" w:ascii="Arial" w:hAnsi="Arial"/>
          <w:color w:val="auto"/>
          <w:sz w:val="22"/>
          <w:szCs w:val="22"/>
        </w:rPr>
        <w:t xml:space="preserve"> Relatório fotográfico da vistoria do imóvel</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8.2. Produtos a serem apresentados na Etapa de Estudo Preliminar:</w:t>
      </w:r>
    </w:p>
    <w:p>
      <w:pPr>
        <w:keepNext w:val="0"/>
        <w:keepLines w:val="0"/>
        <w:pageBreakBefore w:val="0"/>
        <w:kinsoku/>
        <w:wordWrap/>
        <w:overflowPunct/>
        <w:topLinePunct w:val="0"/>
        <w:autoSpaceDE/>
        <w:bidi w:val="0"/>
        <w:adjustRightInd/>
        <w:snapToGrid/>
        <w:spacing w:after="0" w:line="360" w:lineRule="auto"/>
        <w:ind w:left="238" w:leftChars="99" w:firstLine="0" w:firstLineChars="0"/>
        <w:jc w:val="both"/>
        <w:rPr>
          <w:rFonts w:hint="default" w:ascii="Arial" w:hAnsi="Arial"/>
          <w:color w:val="auto"/>
          <w:sz w:val="22"/>
          <w:szCs w:val="22"/>
        </w:rPr>
      </w:pPr>
      <w:r>
        <w:rPr>
          <w:rFonts w:hint="default" w:ascii="Arial" w:hAnsi="Arial"/>
          <w:b/>
          <w:bCs/>
          <w:color w:val="auto"/>
          <w:sz w:val="22"/>
          <w:szCs w:val="22"/>
        </w:rPr>
        <w:t>a)</w:t>
      </w:r>
      <w:r>
        <w:rPr>
          <w:rFonts w:hint="default" w:ascii="Arial" w:hAnsi="Arial"/>
          <w:color w:val="auto"/>
          <w:sz w:val="22"/>
          <w:szCs w:val="22"/>
        </w:rPr>
        <w:t xml:space="preserve"> Estudos e desenhos (fluxograma, organograma funcional, soluções propostas para atendimento ao programa de necessidades); e</w:t>
      </w:r>
    </w:p>
    <w:p>
      <w:pPr>
        <w:keepNext w:val="0"/>
        <w:keepLines w:val="0"/>
        <w:pageBreakBefore w:val="0"/>
        <w:kinsoku/>
        <w:wordWrap/>
        <w:overflowPunct/>
        <w:topLinePunct w:val="0"/>
        <w:autoSpaceDE/>
        <w:bidi w:val="0"/>
        <w:adjustRightInd/>
        <w:snapToGrid/>
        <w:spacing w:after="0" w:line="360" w:lineRule="auto"/>
        <w:ind w:left="238" w:leftChars="99" w:firstLine="0" w:firstLineChars="0"/>
        <w:jc w:val="both"/>
        <w:rPr>
          <w:rFonts w:hint="default" w:ascii="Arial" w:hAnsi="Arial"/>
          <w:color w:val="auto"/>
          <w:sz w:val="22"/>
          <w:szCs w:val="22"/>
        </w:rPr>
      </w:pPr>
      <w:r>
        <w:rPr>
          <w:rFonts w:hint="default" w:ascii="Arial" w:hAnsi="Arial"/>
          <w:b/>
          <w:bCs/>
          <w:color w:val="auto"/>
          <w:sz w:val="22"/>
          <w:szCs w:val="22"/>
        </w:rPr>
        <w:t>b)</w:t>
      </w:r>
      <w:r>
        <w:rPr>
          <w:rFonts w:hint="default" w:ascii="Arial" w:hAnsi="Arial"/>
          <w:color w:val="auto"/>
          <w:sz w:val="22"/>
          <w:szCs w:val="22"/>
        </w:rPr>
        <w:t xml:space="preserve"> Relatório justificativo da alternativa selecionada, contendo os parâmetros que definiram a escolha da solução e a sistematização das análises de interferência entre os sistemas, realizadas nesta Etapa.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8.3</w:t>
      </w:r>
      <w:r>
        <w:rPr>
          <w:rFonts w:hint="default" w:ascii="Arial" w:hAnsi="Arial"/>
          <w:b/>
          <w:color w:val="auto"/>
          <w:sz w:val="22"/>
          <w:szCs w:val="22"/>
          <w:lang w:val="pt-BR"/>
        </w:rPr>
        <w:t>.</w:t>
      </w:r>
      <w:r>
        <w:rPr>
          <w:rFonts w:hint="default" w:ascii="Arial" w:hAnsi="Arial"/>
          <w:b/>
          <w:color w:val="auto"/>
          <w:sz w:val="22"/>
          <w:szCs w:val="22"/>
        </w:rPr>
        <w:t xml:space="preserve"> Produtos a serem apresentados nas Etapas de Projeto Básico e Projeto Executivo: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8.3.1</w:t>
      </w:r>
      <w:r>
        <w:rPr>
          <w:rFonts w:hint="default" w:ascii="Arial" w:hAnsi="Arial"/>
          <w:b/>
          <w:color w:val="auto"/>
          <w:sz w:val="22"/>
          <w:szCs w:val="22"/>
          <w:lang w:val="pt-BR"/>
        </w:rPr>
        <w:t>.</w:t>
      </w:r>
      <w:r>
        <w:rPr>
          <w:rFonts w:hint="default" w:ascii="Arial" w:hAnsi="Arial"/>
          <w:b/>
          <w:color w:val="auto"/>
          <w:sz w:val="22"/>
          <w:szCs w:val="22"/>
        </w:rPr>
        <w:t xml:space="preserve"> Documentos gráficos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Estes produtos consistem na representação técnica da obra a ser realizada mediante desenhos de arquitetura e engenharia em escala, sendo constituído por pranchas com cotas.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8.3.2</w:t>
      </w:r>
      <w:r>
        <w:rPr>
          <w:rFonts w:hint="default" w:ascii="Arial" w:hAnsi="Arial"/>
          <w:b/>
          <w:color w:val="auto"/>
          <w:sz w:val="22"/>
          <w:szCs w:val="22"/>
          <w:lang w:val="pt-BR"/>
        </w:rPr>
        <w:t>.</w:t>
      </w:r>
      <w:r>
        <w:rPr>
          <w:rFonts w:hint="default" w:ascii="Arial" w:hAnsi="Arial"/>
          <w:b/>
          <w:color w:val="auto"/>
          <w:sz w:val="22"/>
          <w:szCs w:val="22"/>
        </w:rPr>
        <w:t xml:space="preserve"> Memorial Descritivo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8.3.2.1</w:t>
      </w:r>
      <w:r>
        <w:rPr>
          <w:rFonts w:hint="default" w:ascii="Arial" w:hAnsi="Arial"/>
          <w:b/>
          <w:bCs/>
          <w:color w:val="auto"/>
          <w:sz w:val="22"/>
          <w:szCs w:val="22"/>
          <w:lang w:val="pt-BR"/>
        </w:rPr>
        <w:t>.</w:t>
      </w:r>
      <w:r>
        <w:rPr>
          <w:rFonts w:hint="default" w:ascii="Arial" w:hAnsi="Arial"/>
          <w:color w:val="auto"/>
          <w:sz w:val="22"/>
          <w:szCs w:val="22"/>
        </w:rPr>
        <w:t xml:space="preserve"> O Memorial Descritivo deve apresentar todas as características da edificação proposta no Projeto, com as especificações técnicas dos materiais e equipamentos empregados em cada serviço e seus respectivos locais de aplicação, além das referências às Normas Técnicas a serem consultadas para a metodologia de execução dos serviços da obra</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8.3.2.2</w:t>
      </w:r>
      <w:r>
        <w:rPr>
          <w:rFonts w:hint="default" w:ascii="Arial" w:hAnsi="Arial"/>
          <w:b/>
          <w:bCs/>
          <w:color w:val="auto"/>
          <w:sz w:val="22"/>
          <w:szCs w:val="22"/>
          <w:lang w:val="pt-BR"/>
        </w:rPr>
        <w:t>.</w:t>
      </w:r>
      <w:r>
        <w:rPr>
          <w:rFonts w:hint="default" w:ascii="Arial" w:hAnsi="Arial"/>
          <w:color w:val="auto"/>
          <w:sz w:val="22"/>
          <w:szCs w:val="22"/>
        </w:rPr>
        <w:t xml:space="preserve"> Este documento deve apresentar todas as características necessárias para identificação dos produtos a serem aplicados, como traço de argamassa, resistência característica do concreto, tipo de fôrmas, tipo de aço, material, dimensões e características físicas dos elementos de alvenaria (blocos cerâmicos, blocos de concreto, tijolos maciços, divisórias), classificação, dimensão e cor dos pisos e azulejos, entre outras informações pertinentes</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8.3.2.3</w:t>
      </w:r>
      <w:r>
        <w:rPr>
          <w:rFonts w:hint="default" w:ascii="Arial" w:hAnsi="Arial"/>
          <w:b/>
          <w:bCs/>
          <w:color w:val="auto"/>
          <w:sz w:val="22"/>
          <w:szCs w:val="22"/>
          <w:lang w:val="pt-BR"/>
        </w:rPr>
        <w:t>.</w:t>
      </w:r>
      <w:r>
        <w:rPr>
          <w:rFonts w:hint="default" w:ascii="Arial" w:hAnsi="Arial"/>
          <w:color w:val="auto"/>
          <w:sz w:val="22"/>
          <w:szCs w:val="22"/>
        </w:rPr>
        <w:t xml:space="preserve"> Os materiais de acabamento especificados no Memorial Descritivo deverão ser devidamente indicados na planta baixa, nos cortes e fachadas, devendo estar associados a uma legenda.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8.3.2.4</w:t>
      </w:r>
      <w:r>
        <w:rPr>
          <w:rFonts w:hint="default" w:ascii="Arial" w:hAnsi="Arial"/>
          <w:b/>
          <w:color w:val="auto"/>
          <w:sz w:val="22"/>
          <w:szCs w:val="22"/>
          <w:lang w:val="pt-BR"/>
        </w:rPr>
        <w:t>.</w:t>
      </w:r>
      <w:r>
        <w:rPr>
          <w:rFonts w:hint="default" w:ascii="Arial" w:hAnsi="Arial"/>
          <w:b/>
          <w:color w:val="auto"/>
          <w:sz w:val="22"/>
          <w:szCs w:val="22"/>
        </w:rPr>
        <w:t xml:space="preserve"> Deverão ser observadas as seguintes condições gerais: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8.3.2.4.1.</w:t>
      </w:r>
      <w:r>
        <w:rPr>
          <w:rFonts w:hint="default" w:ascii="Arial" w:hAnsi="Arial"/>
          <w:color w:val="auto"/>
          <w:sz w:val="22"/>
          <w:szCs w:val="22"/>
          <w:lang w:val="pt-BR"/>
        </w:rPr>
        <w:t xml:space="preserve"> </w:t>
      </w:r>
      <w:r>
        <w:rPr>
          <w:rFonts w:hint="default" w:ascii="Arial" w:hAnsi="Arial"/>
          <w:color w:val="auto"/>
          <w:sz w:val="22"/>
          <w:szCs w:val="22"/>
        </w:rPr>
        <w:t>As especificações técnicas deverão ser elaboradas em conformidade com as  Práticas específicas, de modo a abranger todos os materiais, equipamentos e serviços previstos no Projeto;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8.3.2.4.2.</w:t>
      </w:r>
      <w:r>
        <w:rPr>
          <w:rFonts w:hint="default" w:ascii="Arial" w:hAnsi="Arial"/>
          <w:color w:val="auto"/>
          <w:sz w:val="22"/>
          <w:szCs w:val="22"/>
          <w:lang w:val="pt-BR"/>
        </w:rPr>
        <w:t xml:space="preserve"> </w:t>
      </w:r>
      <w:r>
        <w:rPr>
          <w:rFonts w:hint="default" w:ascii="Arial" w:hAnsi="Arial"/>
          <w:color w:val="auto"/>
          <w:sz w:val="22"/>
          <w:szCs w:val="22"/>
        </w:rPr>
        <w:t>As especificações técnicas deverão estabelecer as características necessárias e suficientes ao desempenho técnico requerido pelo Projeto, bem como para a contratação da obra;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8.3.2.4.3.</w:t>
      </w:r>
      <w:r>
        <w:rPr>
          <w:rFonts w:hint="default" w:ascii="Arial" w:hAnsi="Arial"/>
          <w:color w:val="auto"/>
          <w:sz w:val="22"/>
          <w:szCs w:val="22"/>
          <w:lang w:val="pt-BR"/>
        </w:rPr>
        <w:t xml:space="preserve"> </w:t>
      </w:r>
      <w:r>
        <w:rPr>
          <w:rFonts w:hint="default" w:ascii="Arial" w:hAnsi="Arial"/>
          <w:color w:val="auto"/>
          <w:sz w:val="22"/>
          <w:szCs w:val="22"/>
        </w:rPr>
        <w:t>Se houver associação de materiais, equipamentos e serviços, a especificação deverá compreender todo o conjunto, de modo a garantir a harmonização entre os elementos e o desempenho técnico global;</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8.3.2.4.4.</w:t>
      </w:r>
      <w:r>
        <w:rPr>
          <w:rFonts w:hint="default" w:ascii="Arial" w:hAnsi="Arial"/>
          <w:color w:val="auto"/>
          <w:sz w:val="22"/>
          <w:szCs w:val="22"/>
          <w:lang w:val="pt-BR"/>
        </w:rPr>
        <w:t xml:space="preserve"> </w:t>
      </w:r>
      <w:r>
        <w:rPr>
          <w:rFonts w:hint="default" w:ascii="Arial" w:hAnsi="Arial"/>
          <w:color w:val="auto"/>
          <w:sz w:val="22"/>
          <w:szCs w:val="22"/>
        </w:rPr>
        <w:t>As especificações técnicas deverão considerar as condições locais em relação ao clima e técnicas construtivas a serem utilizadas;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8.3.2.4.5.</w:t>
      </w:r>
      <w:r>
        <w:rPr>
          <w:rFonts w:hint="default" w:ascii="Arial" w:hAnsi="Arial"/>
          <w:color w:val="auto"/>
          <w:sz w:val="22"/>
          <w:szCs w:val="22"/>
          <w:lang w:val="pt-BR"/>
        </w:rPr>
        <w:t xml:space="preserve"> </w:t>
      </w:r>
      <w:r>
        <w:rPr>
          <w:rFonts w:hint="default" w:ascii="Arial" w:hAnsi="Arial"/>
          <w:color w:val="auto"/>
          <w:sz w:val="22"/>
          <w:szCs w:val="22"/>
        </w:rPr>
        <w:t>De preferência, as especificações técnicas deverão at</w:t>
      </w:r>
      <w:r>
        <w:rPr>
          <w:rFonts w:hint="default" w:ascii="Arial" w:hAnsi="Arial"/>
          <w:color w:val="auto"/>
          <w:sz w:val="22"/>
          <w:szCs w:val="22"/>
          <w:lang w:val="pt-BR"/>
        </w:rPr>
        <w:t>e</w:t>
      </w:r>
      <w:r>
        <w:rPr>
          <w:rFonts w:hint="default" w:ascii="Arial" w:hAnsi="Arial"/>
          <w:color w:val="auto"/>
          <w:sz w:val="22"/>
          <w:szCs w:val="22"/>
        </w:rPr>
        <w:t>r-se aos materiais, equipamentos e serviços pertinentes ao mercado local;</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8.3.2.4.6.</w:t>
      </w:r>
      <w:r>
        <w:rPr>
          <w:rFonts w:hint="default" w:ascii="Arial" w:hAnsi="Arial"/>
          <w:color w:val="auto"/>
          <w:sz w:val="22"/>
          <w:szCs w:val="22"/>
          <w:lang w:val="pt-BR"/>
        </w:rPr>
        <w:t xml:space="preserve"> </w:t>
      </w:r>
      <w:r>
        <w:rPr>
          <w:rFonts w:hint="default" w:ascii="Arial" w:hAnsi="Arial"/>
          <w:color w:val="auto"/>
          <w:sz w:val="22"/>
          <w:szCs w:val="22"/>
        </w:rPr>
        <w:t>As especificações técnicas não poderão reproduzir catálogos de um determinado fornecedor ou fabricante, a fim de permitir alternativas de fornecimento;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8.3.2.4.7.</w:t>
      </w:r>
      <w:r>
        <w:rPr>
          <w:rFonts w:hint="default" w:ascii="Arial" w:hAnsi="Arial"/>
          <w:color w:val="auto"/>
          <w:sz w:val="22"/>
          <w:szCs w:val="22"/>
          <w:lang w:val="pt-BR"/>
        </w:rPr>
        <w:t xml:space="preserve"> </w:t>
      </w:r>
      <w:r>
        <w:rPr>
          <w:rFonts w:hint="default" w:ascii="Arial" w:hAnsi="Arial"/>
          <w:color w:val="auto"/>
          <w:sz w:val="22"/>
          <w:szCs w:val="22"/>
        </w:rPr>
        <w:t>As especificações de componentes conectados a redes de utilidades públicas deverão adotar rigorosamente os padrões das concessionárias;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8.3.2.4.8.</w:t>
      </w:r>
      <w:r>
        <w:rPr>
          <w:rFonts w:hint="default" w:ascii="Arial" w:hAnsi="Arial"/>
          <w:color w:val="auto"/>
          <w:sz w:val="22"/>
          <w:szCs w:val="22"/>
          <w:lang w:val="pt-BR"/>
        </w:rPr>
        <w:t xml:space="preserve"> </w:t>
      </w:r>
      <w:r>
        <w:rPr>
          <w:rFonts w:hint="default" w:ascii="Arial" w:hAnsi="Arial"/>
          <w:color w:val="auto"/>
          <w:sz w:val="22"/>
          <w:szCs w:val="22"/>
        </w:rPr>
        <w:t>A utilização de especificações padronizadas deverá limitar-se às especificações que somente caracterizem materiais, serviços e equipamentos previstos no Projeto;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8.3.2.4.9.</w:t>
      </w:r>
      <w:r>
        <w:rPr>
          <w:rFonts w:hint="default" w:ascii="Arial" w:hAnsi="Arial"/>
          <w:color w:val="auto"/>
          <w:sz w:val="22"/>
          <w:szCs w:val="22"/>
          <w:lang w:val="pt-BR"/>
        </w:rPr>
        <w:t xml:space="preserve"> </w:t>
      </w:r>
      <w:r>
        <w:rPr>
          <w:rFonts w:hint="default" w:ascii="Arial" w:hAnsi="Arial"/>
          <w:color w:val="auto"/>
          <w:sz w:val="22"/>
          <w:szCs w:val="22"/>
        </w:rPr>
        <w:t>As especificações técnicas de soluções inéditas deverão se apoiar em justificativa e comprovação do desempenho requerido pelo Projeto, através de testes, ensaios ou experiências bem-sucedidas, a juízo do Contratante;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8.3.2.4.10.</w:t>
      </w:r>
      <w:r>
        <w:rPr>
          <w:rFonts w:hint="default" w:ascii="Arial" w:hAnsi="Arial"/>
          <w:color w:val="auto"/>
          <w:sz w:val="22"/>
          <w:szCs w:val="22"/>
          <w:lang w:val="pt-BR"/>
        </w:rPr>
        <w:t xml:space="preserve"> </w:t>
      </w:r>
      <w:r>
        <w:rPr>
          <w:rFonts w:hint="default" w:ascii="Arial" w:hAnsi="Arial"/>
          <w:color w:val="auto"/>
          <w:sz w:val="22"/>
          <w:szCs w:val="22"/>
        </w:rPr>
        <w:t>As especificações serão elaboradas visando equilibrar economia e desempenho técnico, considerando custos de fornecimento e de manutenção, porém sem prejuízo da vida útil do componente da edificação;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8.3.2.4.11.</w:t>
      </w:r>
      <w:r>
        <w:rPr>
          <w:rFonts w:hint="default" w:ascii="Arial" w:hAnsi="Arial"/>
          <w:color w:val="auto"/>
          <w:sz w:val="22"/>
          <w:szCs w:val="22"/>
          <w:lang w:val="pt-BR"/>
        </w:rPr>
        <w:t xml:space="preserve"> </w:t>
      </w:r>
      <w:r>
        <w:rPr>
          <w:rFonts w:hint="default" w:ascii="Arial" w:hAnsi="Arial"/>
          <w:color w:val="auto"/>
          <w:sz w:val="22"/>
          <w:szCs w:val="22"/>
        </w:rPr>
        <w:t>Se a referência de marca ou modelo for indispensável para a perfeita caracterização do componente da edificação, a especificação deverá indicar, no mínimo, três alternativas de aplicação e conterá obrigatoriamente a expressão “ou equivalente”, definindo com clareza as características e desempenho técnico requerido pelo Projeto, de modo a permitir a verificação e comprovação da equivalência com outros modelos e fabricantes.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8.3.3</w:t>
      </w:r>
      <w:r>
        <w:rPr>
          <w:rFonts w:hint="default" w:ascii="Arial" w:hAnsi="Arial"/>
          <w:b/>
          <w:color w:val="auto"/>
          <w:sz w:val="22"/>
          <w:szCs w:val="22"/>
          <w:lang w:val="pt-BR"/>
        </w:rPr>
        <w:t>.</w:t>
      </w:r>
      <w:r>
        <w:rPr>
          <w:rFonts w:hint="default" w:ascii="Arial" w:hAnsi="Arial"/>
          <w:b/>
          <w:color w:val="auto"/>
          <w:sz w:val="22"/>
          <w:szCs w:val="22"/>
        </w:rPr>
        <w:t xml:space="preserve"> Planilha Orçamentária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8.3.1</w:t>
      </w:r>
      <w:r>
        <w:rPr>
          <w:rFonts w:hint="default" w:ascii="Arial" w:hAnsi="Arial"/>
          <w:b/>
          <w:bCs/>
          <w:color w:val="auto"/>
          <w:sz w:val="22"/>
          <w:szCs w:val="22"/>
          <w:lang w:val="pt-BR"/>
        </w:rPr>
        <w:t>.</w:t>
      </w:r>
      <w:r>
        <w:rPr>
          <w:rFonts w:hint="default" w:ascii="Arial" w:hAnsi="Arial"/>
          <w:color w:val="auto"/>
          <w:sz w:val="22"/>
          <w:szCs w:val="22"/>
        </w:rPr>
        <w:t xml:space="preserve"> A contratada deverá elaborar uma planilha detalhada contendo o orçamento estimado da obra, onde constem todos os serviços previstos, discriminando as unidades de medição, quantitativos, preços unitários de materiais, preços unitários de mão-de-obra, preços unitários dos itens, preços subtotais (preço unitário do item x quantidade), preço total, BDI e preço global (preço total para execução do objeto da licitação, acrescido do BDI)</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8.3.2</w:t>
      </w:r>
      <w:r>
        <w:rPr>
          <w:rFonts w:hint="default" w:ascii="Arial" w:hAnsi="Arial"/>
          <w:b/>
          <w:bCs/>
          <w:color w:val="auto"/>
          <w:sz w:val="22"/>
          <w:szCs w:val="22"/>
          <w:lang w:val="pt-BR"/>
        </w:rPr>
        <w:t>.</w:t>
      </w:r>
      <w:r>
        <w:rPr>
          <w:rFonts w:hint="default" w:ascii="Arial" w:hAnsi="Arial"/>
          <w:color w:val="auto"/>
          <w:sz w:val="22"/>
          <w:szCs w:val="22"/>
        </w:rPr>
        <w:t xml:space="preserve"> Os preços deverão incluir o custo dos materiais e equipamentos utilizados, mão-de-obra, insumos, encargos sociais e tributos, sendo os benefícios e despesas indiretas (BDI) apresentadas de forma destacada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8.3.3</w:t>
      </w:r>
      <w:r>
        <w:rPr>
          <w:rFonts w:hint="default" w:ascii="Arial" w:hAnsi="Arial"/>
          <w:b/>
          <w:bCs/>
          <w:color w:val="auto"/>
          <w:sz w:val="22"/>
          <w:szCs w:val="22"/>
          <w:lang w:val="pt-BR"/>
        </w:rPr>
        <w:t>.</w:t>
      </w:r>
      <w:r>
        <w:rPr>
          <w:rFonts w:hint="default" w:ascii="Arial" w:hAnsi="Arial"/>
          <w:color w:val="auto"/>
          <w:sz w:val="22"/>
          <w:szCs w:val="22"/>
        </w:rPr>
        <w:t xml:space="preserve"> O orçamento da obra deverá ser elaborado com base em preços obtidos do SINAPI ou SICRO, sempre que possível. Deverá ser elaborada 2 (duas) planilhas orçamentárias com encargos desonerados e não desonerados, e indicar qual delas é mais vantajosa para a Administração Pública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8.3.4</w:t>
      </w:r>
      <w:r>
        <w:rPr>
          <w:rFonts w:hint="default" w:ascii="Arial" w:hAnsi="Arial"/>
          <w:b/>
          <w:bCs/>
          <w:color w:val="auto"/>
          <w:sz w:val="22"/>
          <w:szCs w:val="22"/>
          <w:lang w:val="pt-BR"/>
        </w:rPr>
        <w:t>.</w:t>
      </w:r>
      <w:r>
        <w:rPr>
          <w:rFonts w:hint="default" w:ascii="Arial" w:hAnsi="Arial"/>
          <w:color w:val="auto"/>
          <w:sz w:val="22"/>
          <w:szCs w:val="22"/>
        </w:rPr>
        <w:t xml:space="preserve"> Para os serviços e itens que não constem da tabela de serviços do SINAPI ou SICRO, deverão ser observados os critérios abaixo:</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8.3.4.1.</w:t>
      </w:r>
      <w:r>
        <w:rPr>
          <w:rFonts w:hint="default" w:ascii="Arial" w:hAnsi="Arial"/>
          <w:color w:val="auto"/>
          <w:sz w:val="22"/>
          <w:szCs w:val="22"/>
        </w:rPr>
        <w:t>Utilizar tabela de referência formalmente aprovada por órgão ou entidade da administração pública estadual, incorporando-se às composições de custos destas tabelas, sempre que possível, os custos de insumos constantes do SINAPI ou SICRO;</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8.3.4.2.</w:t>
      </w:r>
      <w:r>
        <w:rPr>
          <w:rFonts w:hint="default" w:ascii="Arial" w:hAnsi="Arial"/>
          <w:color w:val="auto"/>
          <w:sz w:val="22"/>
          <w:szCs w:val="22"/>
          <w:lang w:val="pt-BR"/>
        </w:rPr>
        <w:t xml:space="preserve"> </w:t>
      </w:r>
      <w:r>
        <w:rPr>
          <w:rFonts w:hint="default" w:ascii="Arial" w:hAnsi="Arial"/>
          <w:color w:val="auto"/>
          <w:sz w:val="22"/>
          <w:szCs w:val="22"/>
        </w:rPr>
        <w:t>Utilizar a TCPO – Tabela de Composição de Preços e Orçamentos, da PINI Editora ou outras planilhas referenciais de órgãos públicos, incorporando-se às composições de custos desta tabela, sempre que possível, os custos de insumos constantes do SINAPI ou SICRO;</w:t>
      </w:r>
    </w:p>
    <w:p>
      <w:pPr>
        <w:pStyle w:val="86"/>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lang w:val="pt-BR"/>
        </w:rPr>
        <w:t>8.3.4.3.</w:t>
      </w:r>
      <w:r>
        <w:rPr>
          <w:rFonts w:hint="default" w:ascii="Arial" w:hAnsi="Arial"/>
          <w:color w:val="auto"/>
          <w:sz w:val="22"/>
          <w:szCs w:val="22"/>
          <w:lang w:val="pt-BR"/>
        </w:rPr>
        <w:t xml:space="preserve"> </w:t>
      </w:r>
      <w:r>
        <w:rPr>
          <w:rFonts w:hint="default" w:ascii="Arial" w:hAnsi="Arial"/>
          <w:color w:val="auto"/>
          <w:sz w:val="22"/>
          <w:szCs w:val="22"/>
        </w:rPr>
        <w:t>Caso não se consiga aplicar um dos critérios acima, o preço dos insumos será obtido mediante pesquisa de preços no mercado, adotando-se preferencialmente o a mediana obtida de 3 fornecedores independentes, apresentado as fontes e as respectivas propostas recebidas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8.3.5</w:t>
      </w:r>
      <w:r>
        <w:rPr>
          <w:rFonts w:hint="default" w:ascii="Arial" w:hAnsi="Arial"/>
          <w:b/>
          <w:bCs/>
          <w:color w:val="auto"/>
          <w:sz w:val="22"/>
          <w:szCs w:val="22"/>
          <w:lang w:val="pt-BR"/>
        </w:rPr>
        <w:t>.</w:t>
      </w:r>
      <w:r>
        <w:rPr>
          <w:rFonts w:hint="default" w:ascii="Arial" w:hAnsi="Arial"/>
          <w:color w:val="auto"/>
          <w:sz w:val="22"/>
          <w:szCs w:val="22"/>
        </w:rPr>
        <w:t xml:space="preserve"> Os custos unitários de todos os serviços e materiais, contidos ou especificados em todos os projetos deverão ser computados;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8.3.6</w:t>
      </w:r>
      <w:r>
        <w:rPr>
          <w:rFonts w:hint="default" w:ascii="Arial" w:hAnsi="Arial"/>
          <w:b/>
          <w:bCs/>
          <w:color w:val="auto"/>
          <w:sz w:val="22"/>
          <w:szCs w:val="22"/>
          <w:lang w:val="pt-BR"/>
        </w:rPr>
        <w:t>.</w:t>
      </w:r>
      <w:r>
        <w:rPr>
          <w:rFonts w:hint="default" w:ascii="Arial" w:hAnsi="Arial"/>
          <w:color w:val="auto"/>
          <w:sz w:val="22"/>
          <w:szCs w:val="22"/>
        </w:rPr>
        <w:t xml:space="preserve"> Não serão admitidos itens orçados como “verba”;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8.3.7</w:t>
      </w:r>
      <w:r>
        <w:rPr>
          <w:rFonts w:hint="default" w:ascii="Arial" w:hAnsi="Arial"/>
          <w:b/>
          <w:bCs/>
          <w:color w:val="auto"/>
          <w:sz w:val="22"/>
          <w:szCs w:val="22"/>
          <w:lang w:val="pt-BR"/>
        </w:rPr>
        <w:t>.</w:t>
      </w:r>
      <w:r>
        <w:rPr>
          <w:rFonts w:hint="default" w:ascii="Arial" w:hAnsi="Arial"/>
          <w:color w:val="auto"/>
          <w:sz w:val="22"/>
          <w:szCs w:val="22"/>
        </w:rPr>
        <w:t xml:space="preserve"> O orçamento deverá prever campo específico para o custo da destinação dos resíduos da obra, cuja remoção deverá estar acompanhada de controle de transporte de resíduos, em conformidade com as normas da agência brasileira de normas técnicas - ABNT, ABNT NBR nº 15.112, 15.113, 15.114, 15.115 e 15.116, de 2004;</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8.3.8</w:t>
      </w:r>
      <w:r>
        <w:rPr>
          <w:rFonts w:hint="default" w:ascii="Arial" w:hAnsi="Arial"/>
          <w:b/>
          <w:bCs/>
          <w:color w:val="auto"/>
          <w:sz w:val="22"/>
          <w:szCs w:val="22"/>
          <w:lang w:val="pt-BR"/>
        </w:rPr>
        <w:t>.</w:t>
      </w:r>
      <w:r>
        <w:rPr>
          <w:rFonts w:hint="default" w:ascii="Arial" w:hAnsi="Arial"/>
          <w:color w:val="auto"/>
          <w:sz w:val="22"/>
          <w:szCs w:val="22"/>
        </w:rPr>
        <w:t xml:space="preserve">  Em atendimento ao previsto na súmula nº 258/2010 do TCU, além da planilha sintética de orçamento (orçamento estimado), deverá ser apresentado o orçamento analítico, contendo as composições dos custos unitários dos serviços constantes no orçamento sintético e o detalhamento dos encargos sociais utilizados no cálculo da mão-de-obra, esta planilha deverá ser elaborada considerando os valores usuais de mercado, observando-se os limites recomendados pelo tribunal de contas da união;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8.3.9</w:t>
      </w:r>
      <w:r>
        <w:rPr>
          <w:rFonts w:hint="default" w:ascii="Arial" w:hAnsi="Arial"/>
          <w:b/>
          <w:bCs/>
          <w:color w:val="auto"/>
          <w:sz w:val="22"/>
          <w:szCs w:val="22"/>
          <w:lang w:val="pt-BR"/>
        </w:rPr>
        <w:t>.</w:t>
      </w:r>
      <w:r>
        <w:rPr>
          <w:rFonts w:hint="default" w:ascii="Arial" w:hAnsi="Arial"/>
          <w:color w:val="auto"/>
          <w:sz w:val="22"/>
          <w:szCs w:val="22"/>
        </w:rPr>
        <w:t xml:space="preserve"> O autor do orçamento estimado deverá apresentar a anotação de responsabilidade técnica (ART) específica deste serviço e declaração expressa quanto à compatibilidade dos quantitativos e dos custos constantes da planilha orçamentária com os quantitativos do projeto de engenharia e os custos do SINAPI ou SICRO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8.3.10</w:t>
      </w:r>
      <w:r>
        <w:rPr>
          <w:rFonts w:hint="default" w:ascii="Arial" w:hAnsi="Arial"/>
          <w:b/>
          <w:bCs/>
          <w:color w:val="auto"/>
          <w:sz w:val="22"/>
          <w:szCs w:val="22"/>
          <w:lang w:val="pt-BR"/>
        </w:rPr>
        <w:t>.</w:t>
      </w:r>
      <w:r>
        <w:rPr>
          <w:rFonts w:hint="default" w:ascii="Arial" w:hAnsi="Arial"/>
          <w:color w:val="auto"/>
          <w:sz w:val="22"/>
          <w:szCs w:val="22"/>
        </w:rPr>
        <w:t xml:space="preserve"> A planilha deverá conter uma coluna indicando, para cada item, qual foi critério utilizado para obtenção do preço e, no caso de uso do SINAPI ou SICRO, indicando o código do serviço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8.3.11</w:t>
      </w:r>
      <w:r>
        <w:rPr>
          <w:rFonts w:hint="default" w:ascii="Arial" w:hAnsi="Arial"/>
          <w:b/>
          <w:bCs/>
          <w:color w:val="auto"/>
          <w:sz w:val="22"/>
          <w:szCs w:val="22"/>
          <w:lang w:val="pt-BR"/>
        </w:rPr>
        <w:t>.</w:t>
      </w:r>
      <w:r>
        <w:rPr>
          <w:rFonts w:hint="default" w:ascii="Arial" w:hAnsi="Arial"/>
          <w:color w:val="auto"/>
          <w:sz w:val="22"/>
          <w:szCs w:val="22"/>
        </w:rPr>
        <w:t xml:space="preserve"> A contratada deverá entregar um CD contendo a memória de cálculo dos quantitativos e das composições de preços do orçamento. Para enquadramento dos índices de BDI, praticados e aceitos pelo TCU para as obras públicas, adotar os critérios do acordão 2.369/2011 do TCU e Acordão 2.622/2013 –TCU</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8.3.12</w:t>
      </w:r>
      <w:r>
        <w:rPr>
          <w:rFonts w:hint="default" w:ascii="Arial" w:hAnsi="Arial"/>
          <w:b/>
          <w:bCs/>
          <w:color w:val="auto"/>
          <w:sz w:val="22"/>
          <w:szCs w:val="22"/>
          <w:lang w:val="pt-BR"/>
        </w:rPr>
        <w:t>.</w:t>
      </w:r>
      <w:r>
        <w:rPr>
          <w:rFonts w:hint="default" w:ascii="Arial" w:hAnsi="Arial"/>
          <w:color w:val="auto"/>
          <w:sz w:val="22"/>
          <w:szCs w:val="22"/>
        </w:rPr>
        <w:t xml:space="preserve"> Deverá ser apresentada uma proposta de cronograma físico-financeiro para a execução da obra, que represente o desenvolvimento previsto para a execução total da obra em relação ao tempo, observado o prazo de execução proposto para a obra, itens, etapas, fases, seus respectivos preços e pagamentos.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8.3.4</w:t>
      </w:r>
      <w:r>
        <w:rPr>
          <w:rFonts w:hint="default" w:ascii="Arial" w:hAnsi="Arial"/>
          <w:b/>
          <w:color w:val="auto"/>
          <w:sz w:val="22"/>
          <w:szCs w:val="22"/>
          <w:lang w:val="pt-BR"/>
        </w:rPr>
        <w:t>.</w:t>
      </w:r>
      <w:r>
        <w:rPr>
          <w:rFonts w:hint="default" w:ascii="Arial" w:hAnsi="Arial"/>
          <w:b/>
          <w:color w:val="auto"/>
          <w:sz w:val="22"/>
          <w:szCs w:val="22"/>
        </w:rPr>
        <w:t xml:space="preserve"> Cronograma Físico-Financeiro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8.3.4.1</w:t>
      </w:r>
      <w:r>
        <w:rPr>
          <w:rFonts w:hint="default" w:ascii="Arial" w:hAnsi="Arial"/>
          <w:b/>
          <w:bCs/>
          <w:color w:val="auto"/>
          <w:sz w:val="22"/>
          <w:szCs w:val="22"/>
          <w:lang w:val="pt-BR"/>
        </w:rPr>
        <w:t>.</w:t>
      </w:r>
      <w:r>
        <w:rPr>
          <w:rFonts w:hint="default" w:ascii="Arial" w:hAnsi="Arial"/>
          <w:color w:val="auto"/>
          <w:sz w:val="22"/>
          <w:szCs w:val="22"/>
        </w:rPr>
        <w:t xml:space="preserve"> O Cronograma Físico-Financeiro deve apresentar a previsão de gastos mensais com cada uma das etapas da obra, de forma a possibilitar uma análise da evolução física e financeira da mesma. Este Cronograma deve conter o percentual mensal de execução dos serviços, e a aplicação dos recursos de cada item relativos ao valor total da obra, de forma compatível à Planilha Orçamentária apresentada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8.3.4.2</w:t>
      </w:r>
      <w:r>
        <w:rPr>
          <w:rFonts w:hint="default" w:ascii="Arial" w:hAnsi="Arial"/>
          <w:b/>
          <w:bCs/>
          <w:color w:val="auto"/>
          <w:sz w:val="22"/>
          <w:szCs w:val="22"/>
          <w:lang w:val="pt-BR"/>
        </w:rPr>
        <w:t>.</w:t>
      </w:r>
      <w:r>
        <w:rPr>
          <w:rFonts w:hint="default" w:ascii="Arial" w:hAnsi="Arial"/>
          <w:color w:val="auto"/>
          <w:sz w:val="22"/>
          <w:szCs w:val="22"/>
        </w:rPr>
        <w:t xml:space="preserve"> Para a elaboração do Cronograma Físico Financeiro é importante realizar um estudo do processo de implantação do Programa proposto para definição do tempo disponível para a realização da obra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8.3.4.3</w:t>
      </w:r>
      <w:r>
        <w:rPr>
          <w:rFonts w:hint="default" w:ascii="Arial" w:hAnsi="Arial"/>
          <w:b/>
          <w:bCs/>
          <w:color w:val="auto"/>
          <w:sz w:val="22"/>
          <w:szCs w:val="22"/>
          <w:lang w:val="pt-BR"/>
        </w:rPr>
        <w:t>.</w:t>
      </w:r>
      <w:r>
        <w:rPr>
          <w:rFonts w:hint="default" w:ascii="Arial" w:hAnsi="Arial"/>
          <w:color w:val="auto"/>
          <w:sz w:val="22"/>
          <w:szCs w:val="22"/>
        </w:rPr>
        <w:t xml:space="preserve"> Outros aspectos relevantes para elaboração deste documento são: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Identificação do processo construtivo;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8.3.4.4</w:t>
      </w:r>
      <w:r>
        <w:rPr>
          <w:rFonts w:hint="default" w:ascii="Arial" w:hAnsi="Arial"/>
          <w:b/>
          <w:bCs/>
          <w:color w:val="auto"/>
          <w:sz w:val="22"/>
          <w:szCs w:val="22"/>
          <w:lang w:val="pt-BR"/>
        </w:rPr>
        <w:t>.</w:t>
      </w:r>
      <w:r>
        <w:rPr>
          <w:rFonts w:hint="default" w:ascii="Arial" w:hAnsi="Arial"/>
          <w:color w:val="auto"/>
          <w:sz w:val="22"/>
          <w:szCs w:val="22"/>
        </w:rPr>
        <w:t xml:space="preserve"> Estrutura disponibilizada à execução da obra (maquinário e ferramentas);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8.3.4.5</w:t>
      </w:r>
      <w:r>
        <w:rPr>
          <w:rFonts w:hint="default" w:ascii="Arial" w:hAnsi="Arial"/>
          <w:b/>
          <w:bCs/>
          <w:color w:val="auto"/>
          <w:sz w:val="22"/>
          <w:szCs w:val="22"/>
          <w:lang w:val="pt-BR"/>
        </w:rPr>
        <w:t>.</w:t>
      </w:r>
      <w:r>
        <w:rPr>
          <w:rFonts w:hint="default" w:ascii="Arial" w:hAnsi="Arial"/>
          <w:color w:val="auto"/>
          <w:sz w:val="22"/>
          <w:szCs w:val="22"/>
        </w:rPr>
        <w:t xml:space="preserve"> Verificação do estado de acesso e do local de implantação (distâncias para transportes internos e externos à obra, condições das vias de acesso, locais de descarga e armazenamento dos materiais, inclinações do terreno, etc.);</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8.3.4.6</w:t>
      </w:r>
      <w:r>
        <w:rPr>
          <w:rFonts w:hint="default" w:ascii="Arial" w:hAnsi="Arial"/>
          <w:b/>
          <w:bCs/>
          <w:color w:val="auto"/>
          <w:sz w:val="22"/>
          <w:szCs w:val="22"/>
          <w:lang w:val="pt-BR"/>
        </w:rPr>
        <w:t>.</w:t>
      </w:r>
      <w:r>
        <w:rPr>
          <w:rFonts w:hint="default" w:ascii="Arial" w:hAnsi="Arial"/>
          <w:color w:val="auto"/>
          <w:sz w:val="22"/>
          <w:szCs w:val="22"/>
        </w:rPr>
        <w:t xml:space="preserve"> Avaliação das características geológicas do terreno (altura do lençol freático, composição e estabilidade do terreno, etc.);</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8.3.4.7</w:t>
      </w:r>
      <w:r>
        <w:rPr>
          <w:rFonts w:hint="default" w:ascii="Arial" w:hAnsi="Arial"/>
          <w:b/>
          <w:bCs/>
          <w:color w:val="auto"/>
          <w:sz w:val="22"/>
          <w:szCs w:val="22"/>
          <w:lang w:val="pt-BR"/>
        </w:rPr>
        <w:t>.</w:t>
      </w:r>
      <w:r>
        <w:rPr>
          <w:rFonts w:hint="default" w:ascii="Arial" w:hAnsi="Arial"/>
          <w:color w:val="auto"/>
          <w:sz w:val="22"/>
          <w:szCs w:val="22"/>
        </w:rPr>
        <w:t xml:space="preserve"> Condições para execução de cada serviço;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8.3.4.8</w:t>
      </w:r>
      <w:r>
        <w:rPr>
          <w:rFonts w:hint="default" w:ascii="Arial" w:hAnsi="Arial"/>
          <w:b/>
          <w:bCs/>
          <w:color w:val="auto"/>
          <w:sz w:val="22"/>
          <w:szCs w:val="22"/>
          <w:lang w:val="pt-BR"/>
        </w:rPr>
        <w:t>.</w:t>
      </w:r>
      <w:r>
        <w:rPr>
          <w:rFonts w:hint="default" w:ascii="Arial" w:hAnsi="Arial"/>
          <w:color w:val="auto"/>
          <w:sz w:val="22"/>
          <w:szCs w:val="22"/>
        </w:rPr>
        <w:t xml:space="preserve"> Disponibilidade de mão-de-obra (observar o número e a qualificação dos funcionários que irão atuar na execução da obra).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9. CLÁUSULA NONA - DAS OBRIGAÇÕES DA CONTRATADA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9.1</w:t>
      </w:r>
      <w:r>
        <w:rPr>
          <w:rFonts w:hint="default" w:ascii="Arial" w:hAnsi="Arial"/>
          <w:b/>
          <w:bCs/>
          <w:color w:val="auto"/>
          <w:sz w:val="22"/>
          <w:szCs w:val="22"/>
          <w:lang w:val="pt-BR"/>
        </w:rPr>
        <w:t>.</w:t>
      </w:r>
      <w:r>
        <w:rPr>
          <w:rFonts w:hint="default" w:ascii="Arial" w:hAnsi="Arial"/>
          <w:color w:val="auto"/>
          <w:sz w:val="22"/>
          <w:szCs w:val="22"/>
        </w:rPr>
        <w:t xml:space="preserve"> Todos os Projetos deverão ser desenvolvidos em conformidade com as DIRETRIZES BÁSICAS PARA ELABORAÇÃO DE ESTUDOS E PROJETOS RODOVIÁRIOS ESCOPOS BÁSICOS/INSTRUÇÕES DE SERVIÇO – DNIT e com este Termo de Referência, prevalecendo, no caso de eventuais divergências, as disposições estabelecidas pelo Contratante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9.2</w:t>
      </w:r>
      <w:r>
        <w:rPr>
          <w:rFonts w:hint="default" w:ascii="Arial" w:hAnsi="Arial"/>
          <w:b/>
          <w:bCs/>
          <w:color w:val="auto"/>
          <w:sz w:val="22"/>
          <w:szCs w:val="22"/>
          <w:lang w:val="pt-BR"/>
        </w:rPr>
        <w:t>.</w:t>
      </w:r>
      <w:r>
        <w:rPr>
          <w:rFonts w:hint="default" w:ascii="Arial" w:hAnsi="Arial"/>
          <w:color w:val="auto"/>
          <w:sz w:val="22"/>
          <w:szCs w:val="22"/>
        </w:rPr>
        <w:t xml:space="preserve"> O desenvolvimento de todas as etapas do Projeto é de responsabilidade da Contratada, desde a consulta preliminar à aprovação final</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9.3</w:t>
      </w:r>
      <w:r>
        <w:rPr>
          <w:rFonts w:hint="default" w:ascii="Arial" w:hAnsi="Arial"/>
          <w:b/>
          <w:bCs/>
          <w:color w:val="auto"/>
          <w:sz w:val="22"/>
          <w:szCs w:val="22"/>
          <w:lang w:val="pt-BR"/>
        </w:rPr>
        <w:t>.</w:t>
      </w:r>
      <w:r>
        <w:rPr>
          <w:rFonts w:hint="default" w:ascii="Arial" w:hAnsi="Arial"/>
          <w:color w:val="auto"/>
          <w:sz w:val="22"/>
          <w:szCs w:val="22"/>
        </w:rPr>
        <w:t xml:space="preserve"> Os trabalhos deverão ser rigorosamente realizados em obediência às etapas de Projeto estabelecidas no item “Etapas do Projeto”, de modo a evoluírem gradual e continuamente em direção aos objetivos estabelecidos pelo Contratante e reduzirem-se os riscos de perdas e refazimentos dos serviços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9.4</w:t>
      </w:r>
      <w:r>
        <w:rPr>
          <w:rFonts w:hint="default" w:ascii="Arial" w:hAnsi="Arial"/>
          <w:b/>
          <w:bCs/>
          <w:color w:val="auto"/>
          <w:sz w:val="22"/>
          <w:szCs w:val="22"/>
          <w:lang w:val="pt-BR"/>
        </w:rPr>
        <w:t>.</w:t>
      </w:r>
      <w:r>
        <w:rPr>
          <w:rFonts w:hint="default" w:ascii="Arial" w:hAnsi="Arial"/>
          <w:color w:val="auto"/>
          <w:sz w:val="22"/>
          <w:szCs w:val="22"/>
        </w:rPr>
        <w:t xml:space="preserve"> A Contratada deverá providenciar junto ao CREA/CAU as Anotações de Responsabilidade Técnica (ART/RRT) referentes a todos os Projetos e atividades técnicas objeto deste Termo de Referência, inclusive da Planilha orçamentária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9.5</w:t>
      </w:r>
      <w:r>
        <w:rPr>
          <w:rFonts w:hint="default" w:ascii="Arial" w:hAnsi="Arial"/>
          <w:b/>
          <w:bCs/>
          <w:color w:val="auto"/>
          <w:sz w:val="22"/>
          <w:szCs w:val="22"/>
          <w:lang w:val="pt-BR"/>
        </w:rPr>
        <w:t>.</w:t>
      </w:r>
      <w:r>
        <w:rPr>
          <w:rFonts w:hint="default" w:ascii="Arial" w:hAnsi="Arial"/>
          <w:color w:val="auto"/>
          <w:sz w:val="22"/>
          <w:szCs w:val="22"/>
        </w:rPr>
        <w:t xml:space="preserve"> A Contratada deverá entregar, ao Contratante, uma via das Anotações de Responsabilidade Técnica (ART/RRT) relativas a cada um dos Projetos específicos, devidamente quitadas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9.6</w:t>
      </w:r>
      <w:r>
        <w:rPr>
          <w:rFonts w:hint="default" w:ascii="Arial" w:hAnsi="Arial"/>
          <w:b/>
          <w:bCs/>
          <w:color w:val="auto"/>
          <w:sz w:val="22"/>
          <w:szCs w:val="22"/>
          <w:lang w:val="pt-BR"/>
        </w:rPr>
        <w:t>.</w:t>
      </w:r>
      <w:r>
        <w:rPr>
          <w:rFonts w:hint="default" w:ascii="Arial" w:hAnsi="Arial"/>
          <w:color w:val="auto"/>
          <w:sz w:val="22"/>
          <w:szCs w:val="22"/>
        </w:rPr>
        <w:t xml:space="preserve"> A Contratada deverá efetuar o pagamento de todos os impostos, taxas e demais obrigações fiscais incidentes ou que vierem a incidir sobre o objeto do contrato, até o recebimento definitivo dos serviços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9.7</w:t>
      </w:r>
      <w:r>
        <w:rPr>
          <w:rFonts w:hint="default" w:ascii="Arial" w:hAnsi="Arial"/>
          <w:b/>
          <w:bCs/>
          <w:color w:val="auto"/>
          <w:sz w:val="22"/>
          <w:szCs w:val="22"/>
          <w:lang w:val="pt-BR"/>
        </w:rPr>
        <w:t>.</w:t>
      </w:r>
      <w:r>
        <w:rPr>
          <w:rFonts w:hint="default" w:ascii="Arial" w:hAnsi="Arial"/>
          <w:color w:val="auto"/>
          <w:sz w:val="22"/>
          <w:szCs w:val="22"/>
        </w:rPr>
        <w:t xml:space="preserve"> A Contratada deverá possuir ou providenciar os equipamentos, os materiais, os insumos, a mão-de-obra, os meios de transporte, e demais itens necessários ao desenvolvimento de todas as etapas do Projeto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9.8</w:t>
      </w:r>
      <w:r>
        <w:rPr>
          <w:rFonts w:hint="default" w:ascii="Arial" w:hAnsi="Arial"/>
          <w:b/>
          <w:bCs/>
          <w:color w:val="auto"/>
          <w:sz w:val="22"/>
          <w:szCs w:val="22"/>
          <w:lang w:val="pt-BR"/>
        </w:rPr>
        <w:t>.</w:t>
      </w:r>
      <w:r>
        <w:rPr>
          <w:rFonts w:hint="default" w:ascii="Arial" w:hAnsi="Arial"/>
          <w:color w:val="auto"/>
          <w:sz w:val="22"/>
          <w:szCs w:val="22"/>
        </w:rPr>
        <w:t xml:space="preserve"> Toda e qualquer dúvida deverá ser esclarecida previamente com o Contratante antes da execução dos serviços correspondentes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9.9</w:t>
      </w:r>
      <w:r>
        <w:rPr>
          <w:rFonts w:hint="default" w:ascii="Arial" w:hAnsi="Arial"/>
          <w:b/>
          <w:bCs/>
          <w:color w:val="auto"/>
          <w:sz w:val="22"/>
          <w:szCs w:val="22"/>
          <w:lang w:val="pt-BR"/>
        </w:rPr>
        <w:t>.</w:t>
      </w:r>
      <w:r>
        <w:rPr>
          <w:rFonts w:hint="default" w:ascii="Arial" w:hAnsi="Arial"/>
          <w:color w:val="auto"/>
          <w:sz w:val="22"/>
          <w:szCs w:val="22"/>
        </w:rPr>
        <w:t xml:space="preserve"> Os documentos técnicos produzidos em cada etapa de elaboração do Projeto devem ser submetidos à avaliação do Contratante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9.10</w:t>
      </w:r>
      <w:r>
        <w:rPr>
          <w:rFonts w:hint="default" w:ascii="Arial" w:hAnsi="Arial"/>
          <w:b/>
          <w:bCs/>
          <w:color w:val="auto"/>
          <w:sz w:val="22"/>
          <w:szCs w:val="22"/>
          <w:lang w:val="pt-BR"/>
        </w:rPr>
        <w:t>.</w:t>
      </w:r>
      <w:r>
        <w:rPr>
          <w:rFonts w:hint="default" w:ascii="Arial" w:hAnsi="Arial"/>
          <w:color w:val="auto"/>
          <w:sz w:val="22"/>
          <w:szCs w:val="22"/>
        </w:rPr>
        <w:t xml:space="preserve"> Serão de responsabilidade dos autores dos Projetos a introdução das modificações necessárias à sua aprovação</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9.11</w:t>
      </w:r>
      <w:r>
        <w:rPr>
          <w:rFonts w:hint="default" w:ascii="Arial" w:hAnsi="Arial"/>
          <w:b/>
          <w:bCs/>
          <w:color w:val="auto"/>
          <w:sz w:val="22"/>
          <w:szCs w:val="22"/>
          <w:lang w:val="pt-BR"/>
        </w:rPr>
        <w:t>.</w:t>
      </w:r>
      <w:r>
        <w:rPr>
          <w:rFonts w:hint="default" w:ascii="Arial" w:hAnsi="Arial"/>
          <w:color w:val="auto"/>
          <w:sz w:val="22"/>
          <w:szCs w:val="22"/>
        </w:rPr>
        <w:t xml:space="preserve"> Os documentos técnicos que forem rejeitados, parciais ou totalmente, devem ser revistos ou alterados apenas pelo seu autor e submetidos à nova avaliação</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9.12</w:t>
      </w:r>
      <w:r>
        <w:rPr>
          <w:rFonts w:hint="default" w:ascii="Arial" w:hAnsi="Arial"/>
          <w:b/>
          <w:bCs/>
          <w:color w:val="auto"/>
          <w:sz w:val="22"/>
          <w:szCs w:val="22"/>
          <w:lang w:val="pt-BR"/>
        </w:rPr>
        <w:t>.</w:t>
      </w:r>
      <w:r>
        <w:rPr>
          <w:rFonts w:hint="default" w:ascii="Arial" w:hAnsi="Arial"/>
          <w:color w:val="auto"/>
          <w:sz w:val="22"/>
          <w:szCs w:val="22"/>
        </w:rPr>
        <w:t xml:space="preserve"> Os trâmites para a aprovação dos Projetos junto aos órgãos oficiais e às concessionárias de serviços serão de responsabilidade da Contratada, através dos autores dos Projetos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9.13</w:t>
      </w:r>
      <w:r>
        <w:rPr>
          <w:rFonts w:hint="default" w:ascii="Arial" w:hAnsi="Arial"/>
          <w:b/>
          <w:bCs/>
          <w:color w:val="auto"/>
          <w:sz w:val="22"/>
          <w:szCs w:val="22"/>
          <w:lang w:val="pt-BR"/>
        </w:rPr>
        <w:t>.</w:t>
      </w:r>
      <w:r>
        <w:rPr>
          <w:rFonts w:hint="default" w:ascii="Arial" w:hAnsi="Arial"/>
          <w:color w:val="auto"/>
          <w:sz w:val="22"/>
          <w:szCs w:val="22"/>
        </w:rPr>
        <w:t xml:space="preserve"> As impropriedades apontadas pelo Contratante e pelos órgãos de aprovação, fiscalização e controle serão corrigidas pela Contratada sem custo adicional para o Contratante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9.14</w:t>
      </w:r>
      <w:r>
        <w:rPr>
          <w:rFonts w:hint="default" w:ascii="Arial" w:hAnsi="Arial"/>
          <w:b/>
          <w:bCs/>
          <w:color w:val="auto"/>
          <w:sz w:val="22"/>
          <w:szCs w:val="22"/>
          <w:lang w:val="pt-BR"/>
        </w:rPr>
        <w:t>.</w:t>
      </w:r>
      <w:r>
        <w:rPr>
          <w:rFonts w:hint="default" w:ascii="Arial" w:hAnsi="Arial"/>
          <w:color w:val="auto"/>
          <w:sz w:val="22"/>
          <w:szCs w:val="22"/>
        </w:rPr>
        <w:t xml:space="preserve"> A aprovação do Projeto não eximirá os autores dos Projetos das responsabilidades estabelecidas pelas normas, regulamentos e legislação pertinentes às atividades profissionais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9.15</w:t>
      </w:r>
      <w:r>
        <w:rPr>
          <w:rFonts w:hint="default" w:ascii="Arial" w:hAnsi="Arial"/>
          <w:b/>
          <w:bCs/>
          <w:color w:val="auto"/>
          <w:sz w:val="22"/>
          <w:szCs w:val="22"/>
          <w:lang w:val="pt-BR"/>
        </w:rPr>
        <w:t>.</w:t>
      </w:r>
      <w:r>
        <w:rPr>
          <w:rFonts w:hint="default" w:ascii="Arial" w:hAnsi="Arial"/>
          <w:color w:val="auto"/>
          <w:sz w:val="22"/>
          <w:szCs w:val="22"/>
        </w:rPr>
        <w:t xml:space="preserve"> A Contratada deverá encaminhar ao Contratante, cópia dos Projetos com os carimbos de aprovação e chancela dos órgãos competentes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9.16</w:t>
      </w:r>
      <w:r>
        <w:rPr>
          <w:rFonts w:hint="default" w:ascii="Arial" w:hAnsi="Arial"/>
          <w:b/>
          <w:bCs/>
          <w:color w:val="auto"/>
          <w:sz w:val="22"/>
          <w:szCs w:val="22"/>
          <w:lang w:val="pt-BR"/>
        </w:rPr>
        <w:t>.</w:t>
      </w:r>
      <w:r>
        <w:rPr>
          <w:rFonts w:hint="default" w:ascii="Arial" w:hAnsi="Arial"/>
          <w:color w:val="auto"/>
          <w:sz w:val="22"/>
          <w:szCs w:val="22"/>
        </w:rPr>
        <w:t xml:space="preserve"> O Contratante deterá o direito de propriedade intelectual dos Projetos desenvolvidos assim como de toda a documentação produzida na execução do contrato, ficando proibida a sua utilização sem que exista autorização expressa do Contratante</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9.17</w:t>
      </w:r>
      <w:r>
        <w:rPr>
          <w:rFonts w:hint="default" w:ascii="Arial" w:hAnsi="Arial"/>
          <w:b/>
          <w:bCs/>
          <w:color w:val="auto"/>
          <w:sz w:val="22"/>
          <w:szCs w:val="22"/>
          <w:lang w:val="pt-BR"/>
        </w:rPr>
        <w:t>.</w:t>
      </w:r>
      <w:r>
        <w:rPr>
          <w:rFonts w:hint="default" w:ascii="Arial" w:hAnsi="Arial"/>
          <w:color w:val="auto"/>
          <w:sz w:val="22"/>
          <w:szCs w:val="22"/>
        </w:rPr>
        <w:t xml:space="preserve"> Visando atender eventual necessidade da contratante, em decorrência de caso fortuito, força maior, licitação fracassada ou deserta, na qual se faça a necessária a atualização da planilha de composição de custos, a contratada ficará responsável a realizá-la por um período de até 24 meses a partir da entrega do projeto.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10. CLÁUSULA DÉCIMA - DAS OBRIGAÇÕES DA CONTRATANTE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10.1</w:t>
      </w:r>
      <w:r>
        <w:rPr>
          <w:rFonts w:hint="default" w:ascii="Arial" w:hAnsi="Arial"/>
          <w:b/>
          <w:bCs/>
          <w:color w:val="auto"/>
          <w:sz w:val="22"/>
          <w:szCs w:val="22"/>
          <w:lang w:val="pt-BR"/>
        </w:rPr>
        <w:t>.</w:t>
      </w:r>
      <w:r>
        <w:rPr>
          <w:rFonts w:hint="default" w:ascii="Arial" w:hAnsi="Arial"/>
          <w:color w:val="auto"/>
          <w:sz w:val="22"/>
          <w:szCs w:val="22"/>
        </w:rPr>
        <w:t xml:space="preserve"> Acompanhar e fiscalizar o cumprimento das obrigações da Contratada, através de servidor especialmente designado;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10.2</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Efetuar os pagamentos devidos nas condições estabelecidas;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10.3</w:t>
      </w:r>
      <w:r>
        <w:rPr>
          <w:rFonts w:hint="default" w:ascii="Arial" w:hAnsi="Arial"/>
          <w:b/>
          <w:bCs/>
          <w:color w:val="auto"/>
          <w:sz w:val="22"/>
          <w:szCs w:val="22"/>
          <w:lang w:val="pt-BR"/>
        </w:rPr>
        <w:t>.</w:t>
      </w:r>
      <w:r>
        <w:rPr>
          <w:rFonts w:hint="default" w:ascii="Arial" w:hAnsi="Arial"/>
          <w:color w:val="auto"/>
          <w:sz w:val="22"/>
          <w:szCs w:val="22"/>
        </w:rPr>
        <w:t xml:space="preserve"> Permitir livre acesso dos funcionários credenciados pela CONTRATADA aos locais de execução dos serviços;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10.4</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Manter preposto, formalmente designado por cada secretaria, para fiscalizar o Contrato.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11. CLÁUSULA DÉCIMA PRIMEIRA - DA FISCALIZAÇÃO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11.1</w:t>
      </w:r>
      <w:r>
        <w:rPr>
          <w:rFonts w:hint="default" w:ascii="Arial" w:hAnsi="Arial"/>
          <w:b/>
          <w:bCs/>
          <w:color w:val="auto"/>
          <w:sz w:val="22"/>
          <w:szCs w:val="22"/>
          <w:lang w:val="pt-BR"/>
        </w:rPr>
        <w:t>.</w:t>
      </w:r>
      <w:r>
        <w:rPr>
          <w:rFonts w:hint="default" w:ascii="Arial" w:hAnsi="Arial"/>
          <w:color w:val="auto"/>
          <w:sz w:val="22"/>
          <w:szCs w:val="22"/>
        </w:rPr>
        <w:t xml:space="preserve"> Atividade exercida de modo sistemático pelo Contratante e seus prepostos, objetivando a verificação do cumprimento das disposições contratuais, técnicas e administrativas, em todos os seus aspectos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11.2</w:t>
      </w:r>
      <w:r>
        <w:rPr>
          <w:rFonts w:hint="default" w:ascii="Arial" w:hAnsi="Arial"/>
          <w:b/>
          <w:bCs/>
          <w:color w:val="auto"/>
          <w:sz w:val="22"/>
          <w:szCs w:val="22"/>
          <w:lang w:val="pt-BR"/>
        </w:rPr>
        <w:t>.</w:t>
      </w:r>
      <w:r>
        <w:rPr>
          <w:rFonts w:hint="default" w:ascii="Arial" w:hAnsi="Arial"/>
          <w:color w:val="auto"/>
          <w:sz w:val="22"/>
          <w:szCs w:val="22"/>
        </w:rPr>
        <w:t xml:space="preserve"> A Fiscalização ficará a cargo do fiscal de contrato,</w:t>
      </w:r>
      <w:r>
        <w:rPr>
          <w:rFonts w:hint="default" w:ascii="Arial" w:hAnsi="Arial"/>
          <w:color w:val="auto"/>
          <w:sz w:val="22"/>
          <w:szCs w:val="22"/>
          <w:lang w:val="pt-BR"/>
        </w:rPr>
        <w:t xml:space="preserve"> ficando designados como oficial o senhor Édson Márcio da Silva Xavier e como suplente o senhor Gildésio Rodriges dos Santos.</w:t>
      </w:r>
      <w:r>
        <w:rPr>
          <w:rFonts w:hint="default" w:ascii="Arial" w:hAnsi="Arial"/>
          <w:color w:val="auto"/>
          <w:sz w:val="22"/>
          <w:szCs w:val="22"/>
        </w:rPr>
        <w:t xml:space="preserve"> </w:t>
      </w:r>
      <w:r>
        <w:rPr>
          <w:rFonts w:hint="default" w:ascii="Arial" w:hAnsi="Arial"/>
          <w:color w:val="auto"/>
          <w:sz w:val="22"/>
          <w:szCs w:val="22"/>
          <w:lang w:val="pt-BR"/>
        </w:rPr>
        <w:t>S</w:t>
      </w:r>
      <w:r>
        <w:rPr>
          <w:rFonts w:hint="default" w:ascii="Arial" w:hAnsi="Arial"/>
          <w:color w:val="auto"/>
          <w:sz w:val="22"/>
          <w:szCs w:val="22"/>
        </w:rPr>
        <w:t>e necessário</w:t>
      </w:r>
      <w:r>
        <w:rPr>
          <w:rFonts w:hint="default" w:ascii="Arial" w:hAnsi="Arial"/>
          <w:color w:val="auto"/>
          <w:sz w:val="22"/>
          <w:szCs w:val="22"/>
          <w:lang w:val="pt-BR"/>
        </w:rPr>
        <w:t>, o Município de Primavera do Leste</w:t>
      </w:r>
      <w:r>
        <w:rPr>
          <w:rFonts w:hint="default" w:ascii="Arial" w:hAnsi="Arial"/>
          <w:color w:val="auto"/>
          <w:sz w:val="22"/>
          <w:szCs w:val="22"/>
        </w:rPr>
        <w:t xml:space="preserve"> constituirá uma banca técnica multidisciplinar para avaliação dos documentos produzidos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11.3</w:t>
      </w:r>
      <w:r>
        <w:rPr>
          <w:rFonts w:hint="default" w:ascii="Arial" w:hAnsi="Arial"/>
          <w:b/>
          <w:bCs/>
          <w:color w:val="auto"/>
          <w:sz w:val="22"/>
          <w:szCs w:val="22"/>
          <w:lang w:val="pt-BR"/>
        </w:rPr>
        <w:t>.</w:t>
      </w:r>
      <w:r>
        <w:rPr>
          <w:rFonts w:hint="default" w:ascii="Arial" w:hAnsi="Arial"/>
          <w:color w:val="auto"/>
          <w:sz w:val="22"/>
          <w:szCs w:val="22"/>
        </w:rPr>
        <w:t xml:space="preserve"> O Contratante designará um ou mais profissionais com registro no Conselho Regional de Engenharia, Arquitetura e Agronomia – CREA/CAU estadual, responsáveis pelo acompanhamento e fiscalização do objeto deste Termo de Referência, providenciando o registro das respectivas Anotações de Responsabilidade Técnica – ART/RRT de Fiscalização. Os profissionais responsáveis pelo acompanhamento e fiscalização farão parte da banca técnica multidisciplinar.</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11.4 Deverão ser observadas as seguintes condições gerais: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11.4.1</w:t>
      </w:r>
      <w:r>
        <w:rPr>
          <w:rFonts w:hint="default" w:ascii="Arial" w:hAnsi="Arial"/>
          <w:b/>
          <w:bCs/>
          <w:color w:val="auto"/>
          <w:sz w:val="22"/>
          <w:szCs w:val="22"/>
          <w:lang w:val="pt-BR"/>
        </w:rPr>
        <w:t>.</w:t>
      </w:r>
      <w:r>
        <w:rPr>
          <w:rFonts w:hint="default" w:ascii="Arial" w:hAnsi="Arial"/>
          <w:color w:val="auto"/>
          <w:sz w:val="22"/>
          <w:szCs w:val="22"/>
        </w:rPr>
        <w:t xml:space="preserve"> O Contratante manterá desde o início dos serviços até o seu recebimento definitivo, a seu critério exclusivo, uma equipe de Fiscalização constituída por profissionais habilitados que considerar necessários ao acompanhamento e controle dos trabalhos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11.4.2</w:t>
      </w:r>
      <w:r>
        <w:rPr>
          <w:rFonts w:hint="default" w:ascii="Arial" w:hAnsi="Arial"/>
          <w:b/>
          <w:bCs/>
          <w:color w:val="auto"/>
          <w:sz w:val="22"/>
          <w:szCs w:val="22"/>
          <w:lang w:val="pt-BR"/>
        </w:rPr>
        <w:t>.</w:t>
      </w:r>
      <w:r>
        <w:rPr>
          <w:rFonts w:hint="default" w:ascii="Arial" w:hAnsi="Arial"/>
          <w:color w:val="auto"/>
          <w:sz w:val="22"/>
          <w:szCs w:val="22"/>
        </w:rPr>
        <w:t xml:space="preserve"> A Contratada deverá facilitar, por todos os meios a seu alcance, a ampla ação da Fiscalização, permitindo o acesso aos serviços em execução, bem como atendendo prontamente às solicitações que lhe forem efetuadas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11.4.3</w:t>
      </w:r>
      <w:r>
        <w:rPr>
          <w:rFonts w:hint="default" w:ascii="Arial" w:hAnsi="Arial"/>
          <w:b/>
          <w:bCs/>
          <w:color w:val="auto"/>
          <w:sz w:val="22"/>
          <w:szCs w:val="22"/>
          <w:lang w:val="pt-BR"/>
        </w:rPr>
        <w:t>.</w:t>
      </w:r>
      <w:r>
        <w:rPr>
          <w:rFonts w:hint="default" w:ascii="Arial" w:hAnsi="Arial"/>
          <w:color w:val="auto"/>
          <w:sz w:val="22"/>
          <w:szCs w:val="22"/>
        </w:rPr>
        <w:t xml:space="preserve"> Todos os atos e instruções emanados ou emitidos pela Fiscalização serão considerados como se fossem praticados pelo Contratante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val="0"/>
          <w:bCs/>
          <w:color w:val="auto"/>
          <w:sz w:val="22"/>
          <w:szCs w:val="22"/>
        </w:rPr>
      </w:pPr>
      <w:r>
        <w:rPr>
          <w:rFonts w:hint="default" w:ascii="Arial" w:hAnsi="Arial"/>
          <w:b/>
          <w:bCs w:val="0"/>
          <w:color w:val="auto"/>
          <w:sz w:val="22"/>
          <w:szCs w:val="22"/>
        </w:rPr>
        <w:t>11.4.4</w:t>
      </w:r>
      <w:r>
        <w:rPr>
          <w:rFonts w:hint="default" w:ascii="Arial" w:hAnsi="Arial"/>
          <w:b/>
          <w:bCs w:val="0"/>
          <w:color w:val="auto"/>
          <w:sz w:val="22"/>
          <w:szCs w:val="22"/>
          <w:lang w:val="pt-BR"/>
        </w:rPr>
        <w:t>.</w:t>
      </w:r>
      <w:r>
        <w:rPr>
          <w:rFonts w:hint="default" w:ascii="Arial" w:hAnsi="Arial"/>
          <w:b w:val="0"/>
          <w:bCs/>
          <w:color w:val="auto"/>
          <w:sz w:val="22"/>
          <w:szCs w:val="22"/>
        </w:rPr>
        <w:t xml:space="preserve"> A Fiscalização deverá realizar, dentre outras, as seguintes atividades: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11.4.4.1</w:t>
      </w:r>
      <w:r>
        <w:rPr>
          <w:rFonts w:hint="default" w:ascii="Arial" w:hAnsi="Arial"/>
          <w:color w:val="auto"/>
          <w:sz w:val="22"/>
          <w:szCs w:val="22"/>
          <w:lang w:val="pt-BR"/>
        </w:rPr>
        <w:t>.</w:t>
      </w:r>
      <w:r>
        <w:rPr>
          <w:rFonts w:hint="default" w:ascii="Arial" w:hAnsi="Arial"/>
          <w:color w:val="auto"/>
          <w:sz w:val="22"/>
          <w:szCs w:val="22"/>
        </w:rPr>
        <w:t xml:space="preserve"> Manter um arquivo completo e atualizado de toda a documentação pertinente aos trabalhos, incluindo o contrato, este Termo de Referência, orçamentos, cronogramas, correspondências, etc.;</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11.4.4.2</w:t>
      </w:r>
      <w:r>
        <w:rPr>
          <w:rFonts w:hint="default" w:ascii="Arial" w:hAnsi="Arial"/>
          <w:b/>
          <w:bCs/>
          <w:color w:val="auto"/>
          <w:sz w:val="22"/>
          <w:szCs w:val="22"/>
          <w:lang w:val="pt-BR"/>
        </w:rPr>
        <w:t>.</w:t>
      </w:r>
      <w:r>
        <w:rPr>
          <w:rFonts w:hint="default" w:ascii="Arial" w:hAnsi="Arial"/>
          <w:color w:val="auto"/>
          <w:sz w:val="22"/>
          <w:szCs w:val="22"/>
        </w:rPr>
        <w:t xml:space="preserve"> Aprovar a indicação pela Contratada do Coordenador responsável pela condução dos trabalhos;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11.4.4.3</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Solicitar a substituição de qualquer funcionário da Contratada que embarace a ação da Fiscalização;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11.4.4.4</w:t>
      </w:r>
      <w:r>
        <w:rPr>
          <w:rFonts w:hint="default" w:ascii="Arial" w:hAnsi="Arial"/>
          <w:b/>
          <w:bCs/>
          <w:color w:val="auto"/>
          <w:sz w:val="22"/>
          <w:szCs w:val="22"/>
          <w:lang w:val="pt-BR"/>
        </w:rPr>
        <w:t>.</w:t>
      </w:r>
      <w:r>
        <w:rPr>
          <w:rFonts w:hint="default" w:ascii="Arial" w:hAnsi="Arial"/>
          <w:color w:val="auto"/>
          <w:sz w:val="22"/>
          <w:szCs w:val="22"/>
        </w:rPr>
        <w:t xml:space="preserve"> Verificar se estão sendo colocados à disposição dos trabalhos a equipe técnica prevista na proposta e sucessivo contrato de execução dos serviços;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11.4.4.5</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Esclarecer ou solucionar incoerências, falhas e omissões eventualmente constatadas no Programa de Necessidades, bem como nas demais informações e instruções complementares deste Termo de Referência, necessárias ao desenvolvimento dos trabalhos;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11.4.4.6</w:t>
      </w:r>
      <w:r>
        <w:rPr>
          <w:rFonts w:hint="default" w:ascii="Arial" w:hAnsi="Arial"/>
          <w:b/>
          <w:bCs/>
          <w:color w:val="auto"/>
          <w:sz w:val="22"/>
          <w:szCs w:val="22"/>
          <w:lang w:val="pt-BR"/>
        </w:rPr>
        <w:t>.</w:t>
      </w:r>
      <w:r>
        <w:rPr>
          <w:rFonts w:hint="default" w:ascii="Arial" w:hAnsi="Arial"/>
          <w:color w:val="auto"/>
          <w:sz w:val="22"/>
          <w:szCs w:val="22"/>
        </w:rPr>
        <w:t xml:space="preserve"> Exercer rigoroso controle sobre o cronograma de execução dos serviços, aprovando os eventuais ajustes que ocorrerem durante o desenvolvimento dos trabalhos;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11.4.4.7</w:t>
      </w:r>
      <w:r>
        <w:rPr>
          <w:rFonts w:hint="default" w:ascii="Arial" w:hAnsi="Arial"/>
          <w:b/>
          <w:bCs/>
          <w:color w:val="auto"/>
          <w:sz w:val="22"/>
          <w:szCs w:val="22"/>
          <w:lang w:val="pt-BR"/>
        </w:rPr>
        <w:t>.</w:t>
      </w:r>
      <w:r>
        <w:rPr>
          <w:rFonts w:hint="default" w:ascii="Arial" w:hAnsi="Arial"/>
          <w:color w:val="auto"/>
          <w:sz w:val="22"/>
          <w:szCs w:val="22"/>
        </w:rPr>
        <w:t xml:space="preserve"> Analisar e aprovar as etapas dos serviços executados, em obediência ao previsto neste Termo de Referência;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11.4.4.8</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Verificar e aprovar as soluções propostas nos Projetos quanto a sua adequação técnica e econômica de modo a atender às necessidades do Contratante;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11.4.4.9</w:t>
      </w:r>
      <w:r>
        <w:rPr>
          <w:rFonts w:hint="default" w:ascii="Arial" w:hAnsi="Arial"/>
          <w:b/>
          <w:bCs/>
          <w:color w:val="auto"/>
          <w:sz w:val="22"/>
          <w:szCs w:val="22"/>
          <w:lang w:val="pt-BR"/>
        </w:rPr>
        <w:t>.</w:t>
      </w:r>
      <w:r>
        <w:rPr>
          <w:rFonts w:hint="default" w:ascii="Arial" w:hAnsi="Arial"/>
          <w:color w:val="auto"/>
          <w:sz w:val="22"/>
          <w:szCs w:val="22"/>
        </w:rPr>
        <w:t xml:space="preserve"> Verificar e atestar os serviços, bem como conferir, vistar e encaminhar para pagamento as faturas emitidas pela Contratada;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11.4.4.10</w:t>
      </w:r>
      <w:r>
        <w:rPr>
          <w:rFonts w:hint="default" w:ascii="Arial" w:hAnsi="Arial"/>
          <w:b/>
          <w:bCs/>
          <w:color w:val="auto"/>
          <w:sz w:val="22"/>
          <w:szCs w:val="22"/>
          <w:lang w:val="pt-BR"/>
        </w:rPr>
        <w:t>.</w:t>
      </w:r>
      <w:r>
        <w:rPr>
          <w:rFonts w:hint="default" w:ascii="Arial" w:hAnsi="Arial"/>
          <w:color w:val="auto"/>
          <w:sz w:val="22"/>
          <w:szCs w:val="22"/>
        </w:rPr>
        <w:t xml:space="preserve"> Encaminhar à Contratada os comentários efetuados para que sejam providenciados os respectivos atendimentos;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11.4.4.11</w:t>
      </w:r>
      <w:r>
        <w:rPr>
          <w:rFonts w:hint="default" w:ascii="Arial" w:hAnsi="Arial"/>
          <w:b/>
          <w:bCs/>
          <w:color w:val="auto"/>
          <w:sz w:val="22"/>
          <w:szCs w:val="22"/>
          <w:lang w:val="pt-BR"/>
        </w:rPr>
        <w:t>.</w:t>
      </w:r>
      <w:r>
        <w:rPr>
          <w:rFonts w:hint="default" w:ascii="Arial" w:hAnsi="Arial"/>
          <w:color w:val="auto"/>
          <w:sz w:val="22"/>
          <w:szCs w:val="22"/>
        </w:rPr>
        <w:t xml:space="preserve"> Receber provisoriamente e definitivamente a documentação final de cada etapa do Projeto, verificando o atendimento aos comentários efetuados e a apresentação de todos os documentos previstos.</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11.5</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Os documentos produzidos em cada etapa do Projeto serão submetidos à avaliação da banca técnica multidisciplinar, que emitirá parecer técnico favorável ou desfavorável, aprovando ou não a etapa correspondente. Em caso de parecer favorável, a Contratada será autorizada a iniciar os trabalhos da etapa subsequente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11.5.1</w:t>
      </w:r>
      <w:r>
        <w:rPr>
          <w:rFonts w:hint="default" w:ascii="Arial" w:hAnsi="Arial"/>
          <w:b/>
          <w:bCs/>
          <w:color w:val="auto"/>
          <w:sz w:val="22"/>
          <w:szCs w:val="22"/>
          <w:lang w:val="pt-BR"/>
        </w:rPr>
        <w:t>.</w:t>
      </w:r>
      <w:r>
        <w:rPr>
          <w:rFonts w:hint="default" w:ascii="Arial" w:hAnsi="Arial"/>
          <w:color w:val="auto"/>
          <w:sz w:val="22"/>
          <w:szCs w:val="22"/>
        </w:rPr>
        <w:t xml:space="preserve"> Independentemente da aprovação das etapas de Projeto Básico e Projeto Executivo pela Fiscalização, enquanto houverem pendências técnicas pelos órgãos oficiais (Prefeitura, Corpo de Bombeiros, Concessionárias, Secretaria de Meio Ambiente, etc.) não serão pagas as faturas referentes aos percentuais destas etapas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11.6</w:t>
      </w:r>
      <w:r>
        <w:rPr>
          <w:rFonts w:hint="default" w:ascii="Arial" w:hAnsi="Arial"/>
          <w:b/>
          <w:bCs/>
          <w:color w:val="auto"/>
          <w:sz w:val="22"/>
          <w:szCs w:val="22"/>
          <w:lang w:val="pt-BR"/>
        </w:rPr>
        <w:t>.</w:t>
      </w:r>
      <w:r>
        <w:rPr>
          <w:rFonts w:hint="default" w:ascii="Arial" w:hAnsi="Arial"/>
          <w:color w:val="auto"/>
          <w:sz w:val="22"/>
          <w:szCs w:val="22"/>
        </w:rPr>
        <w:t xml:space="preserve"> A atuação ou a eventual omissão da Fiscalização durante a realização dos trabalhos não poderá ser invocada para eximir a Contratada da responsabilidade pela execução dos serviços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11.7</w:t>
      </w:r>
      <w:r>
        <w:rPr>
          <w:rFonts w:hint="default" w:ascii="Arial" w:hAnsi="Arial"/>
          <w:b/>
          <w:bCs/>
          <w:color w:val="auto"/>
          <w:sz w:val="22"/>
          <w:szCs w:val="22"/>
          <w:lang w:val="pt-BR"/>
        </w:rPr>
        <w:t>.</w:t>
      </w:r>
      <w:r>
        <w:rPr>
          <w:rFonts w:hint="default" w:ascii="Arial" w:hAnsi="Arial"/>
          <w:color w:val="auto"/>
          <w:sz w:val="22"/>
          <w:szCs w:val="22"/>
        </w:rPr>
        <w:t xml:space="preserve"> As reuniões realizadas serão documentadas por Atas de Reunião, elaboradas pela Fiscalização e que conterão, no mínimo, os seguintes elementos: data, nome e assinatura dos participantes, assuntos tratados, decisões e responsáveis pelas providências a serem tomadas.</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rPr>
      </w:pPr>
    </w:p>
    <w:p>
      <w:pPr>
        <w:bidi w:val="0"/>
        <w:jc w:val="both"/>
        <w:rPr>
          <w:rFonts w:hint="default" w:ascii="Arial" w:hAnsi="Arial" w:cs="Arial"/>
          <w:b/>
          <w:bCs/>
          <w:sz w:val="22"/>
          <w:szCs w:val="22"/>
        </w:rPr>
      </w:pPr>
      <w:r>
        <w:rPr>
          <w:rFonts w:hint="default" w:ascii="Arial" w:hAnsi="Arial" w:cs="Arial"/>
          <w:b/>
          <w:bCs/>
          <w:sz w:val="22"/>
          <w:szCs w:val="22"/>
        </w:rPr>
        <w:t>12. CLÁUSULA DÉCIMA SEGUNDA - DOS PRAZOS DE EXECUÇÃO E CONDIÇÕES DE PAGAMENTO</w:t>
      </w:r>
    </w:p>
    <w:p>
      <w:pPr>
        <w:keepNext w:val="0"/>
        <w:keepLines w:val="0"/>
        <w:pageBreakBefore w:val="0"/>
        <w:tabs>
          <w:tab w:val="left" w:pos="567"/>
          <w:tab w:val="left" w:pos="5525"/>
        </w:tabs>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 xml:space="preserve">O prazo máximo para a entrega do objeto será de </w:t>
      </w:r>
      <w:r>
        <w:rPr>
          <w:rFonts w:hint="default" w:ascii="Arial" w:hAnsi="Arial"/>
          <w:b/>
          <w:color w:val="auto"/>
          <w:sz w:val="22"/>
          <w:szCs w:val="22"/>
        </w:rPr>
        <w:t>60 (sessenta) dias corridos</w:t>
      </w:r>
      <w:r>
        <w:rPr>
          <w:rFonts w:hint="default" w:ascii="Arial" w:hAnsi="Arial"/>
          <w:color w:val="auto"/>
          <w:sz w:val="22"/>
          <w:szCs w:val="22"/>
        </w:rPr>
        <w:t>, contados a partir do recebimento da Ordem de Início dos Serviços, a ser emitida pela Unidade Técnica responsável.</w:t>
      </w:r>
    </w:p>
    <w:p>
      <w:pPr>
        <w:keepNext w:val="0"/>
        <w:keepLines w:val="0"/>
        <w:pageBreakBefore w:val="0"/>
        <w:tabs>
          <w:tab w:val="left" w:pos="1276"/>
          <w:tab w:val="left" w:pos="5525"/>
        </w:tabs>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Os serviços deverão obedecer ao seguinte Cronograma Físico de execução:</w:t>
      </w:r>
    </w:p>
    <w:tbl>
      <w:tblPr>
        <w:tblStyle w:val="12"/>
        <w:tblW w:w="0" w:type="auto"/>
        <w:tblInd w:w="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70" w:type="dxa"/>
          <w:bottom w:w="0" w:type="dxa"/>
          <w:right w:w="70" w:type="dxa"/>
        </w:tblCellMar>
      </w:tblPr>
      <w:tblGrid>
        <w:gridCol w:w="723"/>
        <w:gridCol w:w="1473"/>
        <w:gridCol w:w="1389"/>
        <w:gridCol w:w="1350"/>
        <w:gridCol w:w="1350"/>
        <w:gridCol w:w="1395"/>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332" w:hRule="atLeast"/>
        </w:trPr>
        <w:tc>
          <w:tcPr>
            <w:tcW w:w="72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b/>
                <w:bCs/>
                <w:color w:val="auto"/>
                <w:sz w:val="21"/>
                <w:szCs w:val="22"/>
              </w:rPr>
            </w:pPr>
            <w:r>
              <w:rPr>
                <w:rFonts w:hint="default"/>
                <w:b/>
                <w:bCs/>
                <w:color w:val="auto"/>
                <w:sz w:val="21"/>
                <w:szCs w:val="22"/>
              </w:rPr>
              <w:t>Item</w:t>
            </w:r>
          </w:p>
        </w:tc>
        <w:tc>
          <w:tcPr>
            <w:tcW w:w="1473"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b/>
                <w:bCs/>
                <w:color w:val="auto"/>
                <w:sz w:val="21"/>
                <w:szCs w:val="22"/>
              </w:rPr>
            </w:pPr>
            <w:r>
              <w:rPr>
                <w:rFonts w:hint="default"/>
                <w:b/>
                <w:bCs/>
                <w:color w:val="auto"/>
                <w:sz w:val="21"/>
                <w:szCs w:val="22"/>
              </w:rPr>
              <w:t>Serviços</w:t>
            </w:r>
          </w:p>
        </w:tc>
        <w:tc>
          <w:tcPr>
            <w:tcW w:w="6804" w:type="dxa"/>
            <w:gridSpan w:val="5"/>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b/>
                <w:bCs/>
                <w:color w:val="auto"/>
                <w:sz w:val="21"/>
                <w:szCs w:val="22"/>
              </w:rPr>
            </w:pPr>
            <w:r>
              <w:rPr>
                <w:rFonts w:hint="default"/>
                <w:b/>
                <w:bCs/>
                <w:color w:val="auto"/>
                <w:sz w:val="21"/>
                <w:szCs w:val="22"/>
              </w:rPr>
              <w:t>Prazo em dias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cantSplit/>
          <w:trHeight w:val="254" w:hRule="atLeast"/>
        </w:trPr>
        <w:tc>
          <w:tcPr>
            <w:tcW w:w="72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b/>
                <w:bCs/>
                <w:color w:val="auto"/>
                <w:sz w:val="21"/>
                <w:szCs w:val="22"/>
              </w:rPr>
            </w:pPr>
          </w:p>
        </w:tc>
        <w:tc>
          <w:tcPr>
            <w:tcW w:w="1473"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b/>
                <w:bCs/>
                <w:color w:val="auto"/>
                <w:sz w:val="21"/>
                <w:szCs w:val="22"/>
              </w:rPr>
            </w:pPr>
          </w:p>
        </w:tc>
        <w:tc>
          <w:tcPr>
            <w:tcW w:w="138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b/>
                <w:bCs/>
                <w:color w:val="auto"/>
                <w:sz w:val="21"/>
                <w:szCs w:val="22"/>
              </w:rPr>
            </w:pPr>
            <w:r>
              <w:rPr>
                <w:rFonts w:hint="default"/>
                <w:b/>
                <w:bCs/>
                <w:color w:val="auto"/>
                <w:sz w:val="21"/>
                <w:szCs w:val="22"/>
              </w:rPr>
              <w:t>0 a 10</w:t>
            </w:r>
          </w:p>
        </w:tc>
        <w:tc>
          <w:tcPr>
            <w:tcW w:w="13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b/>
                <w:bCs/>
                <w:color w:val="auto"/>
                <w:sz w:val="21"/>
                <w:szCs w:val="22"/>
              </w:rPr>
            </w:pPr>
            <w:r>
              <w:rPr>
                <w:rFonts w:hint="default"/>
                <w:b/>
                <w:bCs/>
                <w:color w:val="auto"/>
                <w:sz w:val="21"/>
                <w:szCs w:val="22"/>
              </w:rPr>
              <w:t>11 a 20</w:t>
            </w:r>
          </w:p>
        </w:tc>
        <w:tc>
          <w:tcPr>
            <w:tcW w:w="13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b/>
                <w:bCs/>
                <w:color w:val="auto"/>
                <w:sz w:val="21"/>
                <w:szCs w:val="22"/>
              </w:rPr>
            </w:pPr>
            <w:r>
              <w:rPr>
                <w:rFonts w:hint="default"/>
                <w:b/>
                <w:bCs/>
                <w:color w:val="auto"/>
                <w:sz w:val="21"/>
                <w:szCs w:val="22"/>
              </w:rPr>
              <w:t>21 a 35</w:t>
            </w:r>
          </w:p>
        </w:tc>
        <w:tc>
          <w:tcPr>
            <w:tcW w:w="13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b/>
                <w:bCs/>
                <w:color w:val="auto"/>
                <w:sz w:val="21"/>
                <w:szCs w:val="22"/>
              </w:rPr>
            </w:pPr>
            <w:r>
              <w:rPr>
                <w:rFonts w:hint="default"/>
                <w:b/>
                <w:bCs/>
                <w:color w:val="auto"/>
                <w:sz w:val="21"/>
                <w:szCs w:val="22"/>
              </w:rPr>
              <w:t>36 a 50</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b/>
                <w:bCs/>
                <w:color w:val="auto"/>
                <w:sz w:val="21"/>
                <w:szCs w:val="22"/>
              </w:rPr>
            </w:pPr>
            <w:r>
              <w:rPr>
                <w:rFonts w:hint="default"/>
                <w:b/>
                <w:bCs/>
                <w:color w:val="auto"/>
                <w:sz w:val="21"/>
                <w:szCs w:val="22"/>
              </w:rPr>
              <w:t>51 a 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72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01</w:t>
            </w:r>
          </w:p>
        </w:tc>
        <w:tc>
          <w:tcPr>
            <w:tcW w:w="147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Estudos preliminares</w:t>
            </w:r>
          </w:p>
        </w:tc>
        <w:tc>
          <w:tcPr>
            <w:tcW w:w="1389" w:type="dxa"/>
            <w:tcBorders>
              <w:top w:val="single" w:color="auto" w:sz="4" w:space="0"/>
              <w:left w:val="single" w:color="auto" w:sz="4" w:space="0"/>
              <w:bottom w:val="single" w:color="auto" w:sz="4" w:space="0"/>
              <w:right w:val="single" w:color="auto" w:sz="4" w:space="0"/>
              <w:tl2br w:val="nil"/>
              <w:tr2bl w:val="nil"/>
            </w:tcBorders>
            <w:shd w:val="pct20"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X</w:t>
            </w:r>
          </w:p>
        </w:tc>
        <w:tc>
          <w:tcPr>
            <w:tcW w:w="13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72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02</w:t>
            </w:r>
          </w:p>
        </w:tc>
        <w:tc>
          <w:tcPr>
            <w:tcW w:w="147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Anteprojeto</w:t>
            </w:r>
          </w:p>
        </w:tc>
        <w:tc>
          <w:tcPr>
            <w:tcW w:w="1389"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50" w:type="dxa"/>
            <w:tcBorders>
              <w:top w:val="single" w:color="auto" w:sz="4" w:space="0"/>
              <w:left w:val="single" w:color="auto" w:sz="4" w:space="0"/>
              <w:bottom w:val="single" w:color="auto" w:sz="4" w:space="0"/>
              <w:right w:val="single" w:color="auto" w:sz="4" w:space="0"/>
              <w:tl2br w:val="nil"/>
              <w:tr2bl w:val="nil"/>
            </w:tcBorders>
            <w:shd w:val="pct20"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X</w:t>
            </w:r>
          </w:p>
        </w:tc>
        <w:tc>
          <w:tcPr>
            <w:tcW w:w="135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72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03</w:t>
            </w:r>
          </w:p>
        </w:tc>
        <w:tc>
          <w:tcPr>
            <w:tcW w:w="147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Projeto Básico</w:t>
            </w:r>
          </w:p>
        </w:tc>
        <w:tc>
          <w:tcPr>
            <w:tcW w:w="1389"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5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50" w:type="dxa"/>
            <w:tcBorders>
              <w:top w:val="single" w:color="auto" w:sz="4" w:space="0"/>
              <w:left w:val="single" w:color="auto" w:sz="4" w:space="0"/>
              <w:bottom w:val="single" w:color="auto" w:sz="4" w:space="0"/>
              <w:right w:val="single" w:color="auto" w:sz="4" w:space="0"/>
              <w:tl2br w:val="nil"/>
              <w:tr2bl w:val="nil"/>
            </w:tcBorders>
            <w:shd w:val="pct20"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X</w:t>
            </w:r>
          </w:p>
        </w:tc>
        <w:tc>
          <w:tcPr>
            <w:tcW w:w="139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c>
          <w:tcPr>
            <w:tcW w:w="72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04</w:t>
            </w:r>
          </w:p>
        </w:tc>
        <w:tc>
          <w:tcPr>
            <w:tcW w:w="147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Projeto Executivo</w:t>
            </w:r>
          </w:p>
        </w:tc>
        <w:tc>
          <w:tcPr>
            <w:tcW w:w="1389"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5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5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95" w:type="dxa"/>
            <w:tcBorders>
              <w:top w:val="single" w:color="auto" w:sz="4" w:space="0"/>
              <w:left w:val="single" w:color="auto" w:sz="4" w:space="0"/>
              <w:bottom w:val="single" w:color="auto" w:sz="4" w:space="0"/>
              <w:right w:val="single" w:color="auto" w:sz="4" w:space="0"/>
              <w:tl2br w:val="nil"/>
              <w:tr2bl w:val="nil"/>
            </w:tcBorders>
            <w:shd w:val="pct20"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X</w:t>
            </w:r>
          </w:p>
        </w:tc>
        <w:tc>
          <w:tcPr>
            <w:tcW w:w="1320"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70" w:type="dxa"/>
            <w:bottom w:w="0" w:type="dxa"/>
            <w:right w:w="70" w:type="dxa"/>
          </w:tblCellMar>
        </w:tblPrEx>
        <w:trPr>
          <w:trHeight w:val="303" w:hRule="atLeast"/>
        </w:trPr>
        <w:tc>
          <w:tcPr>
            <w:tcW w:w="72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05</w:t>
            </w:r>
          </w:p>
        </w:tc>
        <w:tc>
          <w:tcPr>
            <w:tcW w:w="1473"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Entrega de Documentação</w:t>
            </w:r>
          </w:p>
        </w:tc>
        <w:tc>
          <w:tcPr>
            <w:tcW w:w="1389"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5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50"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95" w:type="dxa"/>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p>
        </w:tc>
        <w:tc>
          <w:tcPr>
            <w:tcW w:w="1320" w:type="dxa"/>
            <w:tcBorders>
              <w:top w:val="single" w:color="auto" w:sz="4" w:space="0"/>
              <w:left w:val="single" w:color="auto" w:sz="4" w:space="0"/>
              <w:bottom w:val="single" w:color="auto" w:sz="4" w:space="0"/>
              <w:right w:val="single" w:color="auto" w:sz="4" w:space="0"/>
              <w:tl2br w:val="nil"/>
              <w:tr2bl w:val="nil"/>
            </w:tcBorders>
            <w:shd w:val="pct20" w:color="auto" w:fill="auto"/>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color w:val="auto"/>
                <w:sz w:val="21"/>
                <w:szCs w:val="22"/>
              </w:rPr>
            </w:pPr>
            <w:r>
              <w:rPr>
                <w:rFonts w:hint="default"/>
                <w:color w:val="auto"/>
                <w:sz w:val="21"/>
                <w:szCs w:val="22"/>
              </w:rPr>
              <w:t>X</w:t>
            </w:r>
          </w:p>
        </w:tc>
      </w:tr>
    </w:tbl>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12.1</w:t>
      </w:r>
      <w:r>
        <w:rPr>
          <w:rFonts w:hint="default" w:ascii="Arial" w:hAnsi="Arial"/>
          <w:b/>
          <w:bCs/>
          <w:color w:val="auto"/>
          <w:sz w:val="22"/>
          <w:szCs w:val="22"/>
          <w:lang w:val="pt-BR"/>
        </w:rPr>
        <w:t>.</w:t>
      </w:r>
      <w:r>
        <w:rPr>
          <w:rFonts w:hint="default" w:ascii="Arial" w:hAnsi="Arial"/>
          <w:color w:val="auto"/>
          <w:sz w:val="22"/>
          <w:szCs w:val="22"/>
        </w:rPr>
        <w:t xml:space="preserve"> Somente poderão ser considerados para efeito de pagamento os serviços efetivamente executados pela Contratada, em conformidade com este Termo de Referência.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12.2</w:t>
      </w:r>
      <w:r>
        <w:rPr>
          <w:rFonts w:hint="default" w:ascii="Arial" w:hAnsi="Arial"/>
          <w:b/>
          <w:bCs/>
          <w:color w:val="auto"/>
          <w:sz w:val="22"/>
          <w:szCs w:val="22"/>
          <w:lang w:val="pt-BR"/>
        </w:rPr>
        <w:t>.</w:t>
      </w:r>
      <w:r>
        <w:rPr>
          <w:rFonts w:hint="default" w:ascii="Arial" w:hAnsi="Arial"/>
          <w:color w:val="auto"/>
          <w:sz w:val="22"/>
          <w:szCs w:val="22"/>
        </w:rPr>
        <w:t xml:space="preserve"> O Contratante deverá efetuar os pagamentos das faturas emitidas pela Contratada com base nos serviços aprovados pela Fiscalização, obedecidas às condições estabelecidas neste Termo de Referência.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12.3</w:t>
      </w:r>
      <w:r>
        <w:rPr>
          <w:rFonts w:hint="default" w:ascii="Arial" w:hAnsi="Arial"/>
          <w:b/>
          <w:bCs/>
          <w:color w:val="auto"/>
          <w:sz w:val="22"/>
          <w:szCs w:val="22"/>
          <w:lang w:val="pt-BR"/>
        </w:rPr>
        <w:t>.</w:t>
      </w:r>
      <w:r>
        <w:rPr>
          <w:rFonts w:hint="default" w:ascii="Arial" w:hAnsi="Arial"/>
          <w:color w:val="auto"/>
          <w:sz w:val="22"/>
          <w:szCs w:val="22"/>
        </w:rPr>
        <w:t xml:space="preserve"> Os pagamentos das faturas estão condicionados:</w:t>
      </w:r>
    </w:p>
    <w:p>
      <w:pPr>
        <w:keepNext w:val="0"/>
        <w:keepLines w:val="0"/>
        <w:pageBreakBefore w:val="0"/>
        <w:kinsoku/>
        <w:wordWrap/>
        <w:overflowPunct/>
        <w:topLinePunct w:val="0"/>
        <w:autoSpaceDE/>
        <w:bidi w:val="0"/>
        <w:adjustRightInd/>
        <w:snapToGrid/>
        <w:spacing w:after="0" w:line="360" w:lineRule="auto"/>
        <w:ind w:left="240" w:leftChars="100" w:firstLine="0" w:firstLineChars="0"/>
        <w:jc w:val="both"/>
        <w:rPr>
          <w:rFonts w:hint="default" w:ascii="Arial" w:hAnsi="Arial"/>
          <w:color w:val="auto"/>
          <w:sz w:val="22"/>
          <w:szCs w:val="22"/>
        </w:rPr>
      </w:pPr>
      <w:r>
        <w:rPr>
          <w:rFonts w:hint="default" w:ascii="Arial" w:hAnsi="Arial"/>
          <w:b/>
          <w:bCs/>
          <w:color w:val="auto"/>
          <w:sz w:val="22"/>
          <w:szCs w:val="22"/>
        </w:rPr>
        <w:t>a)</w:t>
      </w:r>
      <w:r>
        <w:rPr>
          <w:rFonts w:hint="default" w:ascii="Arial" w:hAnsi="Arial"/>
          <w:color w:val="auto"/>
          <w:sz w:val="22"/>
          <w:szCs w:val="22"/>
          <w:lang w:val="pt-BR"/>
        </w:rPr>
        <w:t xml:space="preserve"> A</w:t>
      </w:r>
      <w:r>
        <w:rPr>
          <w:rFonts w:hint="default" w:ascii="Arial" w:hAnsi="Arial"/>
          <w:color w:val="auto"/>
          <w:sz w:val="22"/>
          <w:szCs w:val="22"/>
        </w:rPr>
        <w:t xml:space="preserve"> análise e aprovação pela Fiscalização e pela CAIXA dos produtos apresentados;</w:t>
      </w:r>
    </w:p>
    <w:p>
      <w:pPr>
        <w:keepNext w:val="0"/>
        <w:keepLines w:val="0"/>
        <w:pageBreakBefore w:val="0"/>
        <w:kinsoku/>
        <w:wordWrap/>
        <w:overflowPunct/>
        <w:topLinePunct w:val="0"/>
        <w:autoSpaceDE/>
        <w:bidi w:val="0"/>
        <w:adjustRightInd/>
        <w:snapToGrid/>
        <w:spacing w:after="0" w:line="360" w:lineRule="auto"/>
        <w:ind w:left="240" w:leftChars="100" w:firstLine="0" w:firstLineChars="0"/>
        <w:jc w:val="both"/>
        <w:rPr>
          <w:rFonts w:hint="default" w:ascii="Arial" w:hAnsi="Arial"/>
          <w:color w:val="auto"/>
          <w:sz w:val="22"/>
          <w:szCs w:val="22"/>
        </w:rPr>
      </w:pPr>
      <w:r>
        <w:rPr>
          <w:rFonts w:hint="default" w:ascii="Arial" w:hAnsi="Arial"/>
          <w:b/>
          <w:bCs/>
          <w:color w:val="auto"/>
          <w:sz w:val="22"/>
          <w:szCs w:val="22"/>
        </w:rPr>
        <w:t>b)</w:t>
      </w:r>
      <w:r>
        <w:rPr>
          <w:rFonts w:hint="default" w:ascii="Arial" w:hAnsi="Arial"/>
          <w:color w:val="auto"/>
          <w:sz w:val="22"/>
          <w:szCs w:val="22"/>
        </w:rPr>
        <w:t xml:space="preserve"> </w:t>
      </w:r>
      <w:r>
        <w:rPr>
          <w:rFonts w:hint="default" w:ascii="Arial" w:hAnsi="Arial"/>
          <w:color w:val="auto"/>
          <w:sz w:val="22"/>
          <w:szCs w:val="22"/>
          <w:lang w:val="pt-BR"/>
        </w:rPr>
        <w:t>A</w:t>
      </w:r>
      <w:r>
        <w:rPr>
          <w:rFonts w:hint="default" w:ascii="Arial" w:hAnsi="Arial"/>
          <w:color w:val="auto"/>
          <w:sz w:val="22"/>
          <w:szCs w:val="22"/>
        </w:rPr>
        <w:t xml:space="preserve"> aprovação dos Projetos nos órgãos oficiais (Prefeitura, Corpo de Bombeiros, Concessionárias, etc.);</w:t>
      </w:r>
    </w:p>
    <w:p>
      <w:pPr>
        <w:keepNext w:val="0"/>
        <w:keepLines w:val="0"/>
        <w:pageBreakBefore w:val="0"/>
        <w:kinsoku/>
        <w:wordWrap/>
        <w:overflowPunct/>
        <w:topLinePunct w:val="0"/>
        <w:autoSpaceDE/>
        <w:bidi w:val="0"/>
        <w:adjustRightInd/>
        <w:snapToGrid/>
        <w:spacing w:after="0" w:line="360" w:lineRule="auto"/>
        <w:ind w:left="240" w:leftChars="100" w:firstLine="0" w:firstLineChars="0"/>
        <w:jc w:val="both"/>
        <w:rPr>
          <w:rFonts w:hint="default" w:ascii="Arial" w:hAnsi="Arial"/>
          <w:color w:val="auto"/>
          <w:sz w:val="22"/>
          <w:szCs w:val="22"/>
        </w:rPr>
      </w:pPr>
      <w:r>
        <w:rPr>
          <w:rFonts w:hint="default" w:ascii="Arial" w:hAnsi="Arial"/>
          <w:b/>
          <w:bCs/>
          <w:color w:val="auto"/>
          <w:sz w:val="22"/>
          <w:szCs w:val="22"/>
        </w:rPr>
        <w:t>c)</w:t>
      </w:r>
      <w:r>
        <w:rPr>
          <w:rFonts w:hint="default" w:ascii="Arial" w:hAnsi="Arial"/>
          <w:color w:val="auto"/>
          <w:sz w:val="22"/>
          <w:szCs w:val="22"/>
        </w:rPr>
        <w:t xml:space="preserve"> </w:t>
      </w:r>
      <w:r>
        <w:rPr>
          <w:rFonts w:hint="default" w:ascii="Arial" w:hAnsi="Arial"/>
          <w:color w:val="auto"/>
          <w:sz w:val="22"/>
          <w:szCs w:val="22"/>
          <w:lang w:val="pt-BR"/>
        </w:rPr>
        <w:t>A</w:t>
      </w:r>
      <w:r>
        <w:rPr>
          <w:rFonts w:hint="default" w:ascii="Arial" w:hAnsi="Arial"/>
          <w:color w:val="auto"/>
          <w:sz w:val="22"/>
          <w:szCs w:val="22"/>
        </w:rPr>
        <w:t xml:space="preserve"> apresentação das Anotações de Responsabilidade Técnica (ART/RRT) de todos os Projetos, acompanhadas pelos seus respectivos comprovantes de quitação.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highlight w:val="yellow"/>
        </w:rPr>
      </w:pPr>
      <w:r>
        <w:rPr>
          <w:rFonts w:hint="default" w:ascii="Arial" w:hAnsi="Arial"/>
          <w:b/>
          <w:bCs/>
          <w:color w:val="auto"/>
          <w:sz w:val="22"/>
          <w:szCs w:val="22"/>
        </w:rPr>
        <w:t>12.4</w:t>
      </w:r>
      <w:r>
        <w:rPr>
          <w:rFonts w:hint="default" w:ascii="Arial" w:hAnsi="Arial"/>
          <w:b/>
          <w:bCs/>
          <w:color w:val="auto"/>
          <w:sz w:val="22"/>
          <w:szCs w:val="22"/>
          <w:lang w:val="pt-BR"/>
        </w:rPr>
        <w:t>.</w:t>
      </w:r>
      <w:r>
        <w:rPr>
          <w:rFonts w:hint="default" w:ascii="Arial" w:hAnsi="Arial"/>
          <w:color w:val="auto"/>
          <w:sz w:val="22"/>
          <w:szCs w:val="22"/>
        </w:rPr>
        <w:t xml:space="preserve"> O prazo para execução e entrega do serviço será de 60 (sessenta) dias, a partir da emissão da ordem de serviço, obedecendo ao cronograma, para elaboração e apresentação dos produtos de cada etapa</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12.5</w:t>
      </w:r>
      <w:r>
        <w:rPr>
          <w:rFonts w:hint="default" w:ascii="Arial" w:hAnsi="Arial"/>
          <w:b/>
          <w:bCs/>
          <w:color w:val="auto"/>
          <w:sz w:val="22"/>
          <w:szCs w:val="22"/>
          <w:lang w:val="pt-BR"/>
        </w:rPr>
        <w:t>.</w:t>
      </w:r>
      <w:r>
        <w:rPr>
          <w:rFonts w:hint="default" w:ascii="Arial" w:hAnsi="Arial"/>
          <w:color w:val="auto"/>
          <w:sz w:val="22"/>
          <w:szCs w:val="22"/>
        </w:rPr>
        <w:t xml:space="preserve"> Caso as etapas de Programa de Necessidades e Estudo Preliminar não forem cumpridas, poderá ocorrer rescisão do contrato sem ônus para o Contratante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12.6</w:t>
      </w:r>
      <w:r>
        <w:rPr>
          <w:rFonts w:hint="default" w:ascii="Arial" w:hAnsi="Arial"/>
          <w:b/>
          <w:bCs/>
          <w:color w:val="auto"/>
          <w:sz w:val="22"/>
          <w:szCs w:val="22"/>
          <w:lang w:val="pt-BR"/>
        </w:rPr>
        <w:t>.</w:t>
      </w:r>
      <w:r>
        <w:rPr>
          <w:rFonts w:hint="default" w:ascii="Arial" w:hAnsi="Arial"/>
          <w:color w:val="auto"/>
          <w:sz w:val="22"/>
          <w:szCs w:val="22"/>
        </w:rPr>
        <w:t xml:space="preserve"> Caso haja modificação de área (metragem quadrada) em qualquer uma das etapas do Projeto em relação à tabela apresentada no item 14, o valor orçado para os serviços será mantido, não podendo a Contratada solicitar pagamento de serviços extras. </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rPr>
      </w:pPr>
    </w:p>
    <w:p>
      <w:pPr>
        <w:keepNext w:val="0"/>
        <w:keepLines w:val="0"/>
        <w:pageBreakBefore w:val="0"/>
        <w:numPr>
          <w:ilvl w:val="0"/>
          <w:numId w:val="28"/>
        </w:numPr>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CLÁUSULA DÉCIMA TERCEIRA -  DO RECEBIMENTO DO PROJETO EXECUTIVO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13.1</w:t>
      </w:r>
      <w:r>
        <w:rPr>
          <w:rFonts w:hint="default" w:ascii="Arial" w:hAnsi="Arial"/>
          <w:b/>
          <w:bCs/>
          <w:color w:val="auto"/>
          <w:sz w:val="22"/>
          <w:szCs w:val="22"/>
          <w:lang w:val="pt-BR"/>
        </w:rPr>
        <w:t>.</w:t>
      </w:r>
      <w:r>
        <w:rPr>
          <w:rFonts w:hint="default" w:ascii="Arial" w:hAnsi="Arial"/>
          <w:color w:val="auto"/>
          <w:sz w:val="22"/>
          <w:szCs w:val="22"/>
        </w:rPr>
        <w:t xml:space="preserve"> Para cumprimento ao disposto no art. 73 da Lei nº 8666/1993, ao final dos serviços da etapa de Projeto Executivo, a Contratada fará uma comunicação escrita ao responsável pelo acompanhamento e fiscalização do objeto deste Termo de Referência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13.2</w:t>
      </w:r>
      <w:r>
        <w:rPr>
          <w:rFonts w:hint="default" w:ascii="Arial" w:hAnsi="Arial"/>
          <w:color w:val="auto"/>
          <w:sz w:val="22"/>
          <w:szCs w:val="22"/>
          <w:lang w:val="pt-BR"/>
        </w:rPr>
        <w:t>.</w:t>
      </w:r>
      <w:r>
        <w:rPr>
          <w:rFonts w:hint="default" w:ascii="Arial" w:hAnsi="Arial"/>
          <w:color w:val="auto"/>
          <w:sz w:val="22"/>
          <w:szCs w:val="22"/>
        </w:rPr>
        <w:t xml:space="preserve"> Os Projetos serão recebidos provisoriamente pelo responsável pelo seu acompanhamento e fiscalização, mediante termo circunstanciado, assinado pelas partes em até 15 (quinze) dias do recebimento da comunicação escrita da Contratada; e definitivamente por servidor ou comissão designada pela autoridade competente, mediante termo circunstanciado, assinado pelas partes, após o decurso do prazo de até 90 (noventa) dias de observação, contados a partir do recebimento provisório que comprove a adequação do objeto aos termos contratuais, observado o disposto no art. 69 da Lei nº 8666/1993</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13.3</w:t>
      </w:r>
      <w:r>
        <w:rPr>
          <w:rFonts w:hint="default" w:ascii="Arial" w:hAnsi="Arial"/>
          <w:b/>
          <w:bCs/>
          <w:color w:val="auto"/>
          <w:sz w:val="22"/>
          <w:szCs w:val="22"/>
          <w:lang w:val="pt-BR"/>
        </w:rPr>
        <w:t>.</w:t>
      </w:r>
      <w:r>
        <w:rPr>
          <w:rFonts w:hint="default" w:ascii="Arial" w:hAnsi="Arial"/>
          <w:color w:val="auto"/>
          <w:sz w:val="22"/>
          <w:szCs w:val="22"/>
        </w:rPr>
        <w:t xml:space="preserve"> Todos os projetos devem estar em consonância a resolução normativa nº 39/2016 TP que estabelece parâmetros técnicos mínimos para projeto básicos de obras públicas, à luz da lei Federal nº 8666/1993 e dá outras providencias. </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rPr>
      </w:pP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22"/>
          <w:szCs w:val="22"/>
        </w:rPr>
      </w:pPr>
      <w:r>
        <w:rPr>
          <w:rFonts w:hint="default" w:ascii="Arial" w:hAnsi="Arial"/>
          <w:b/>
          <w:color w:val="auto"/>
          <w:sz w:val="22"/>
          <w:szCs w:val="22"/>
        </w:rPr>
        <w:t>14. CLÁUSULA DÉCIMA QUARTA</w:t>
      </w:r>
      <w:r>
        <w:rPr>
          <w:rFonts w:hint="default" w:ascii="Arial" w:hAnsi="Arial"/>
          <w:b/>
          <w:color w:val="auto"/>
          <w:sz w:val="22"/>
          <w:szCs w:val="22"/>
          <w:lang w:val="pt-BR"/>
        </w:rPr>
        <w:t xml:space="preserve"> -</w:t>
      </w:r>
      <w:r>
        <w:rPr>
          <w:rFonts w:hint="default" w:ascii="Arial" w:hAnsi="Arial"/>
          <w:b/>
          <w:color w:val="auto"/>
          <w:sz w:val="22"/>
          <w:szCs w:val="22"/>
        </w:rPr>
        <w:t xml:space="preserve"> DO ORÇAMENTO</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22"/>
          <w:szCs w:val="22"/>
        </w:rPr>
      </w:pPr>
      <w:r>
        <w:rPr>
          <w:rFonts w:hint="default" w:ascii="Arial" w:hAnsi="Arial"/>
          <w:b/>
          <w:bCs/>
          <w:color w:val="auto"/>
          <w:sz w:val="22"/>
          <w:szCs w:val="22"/>
          <w:lang w:val="pt-BR"/>
        </w:rPr>
        <w:t>14.1.</w:t>
      </w:r>
      <w:r>
        <w:rPr>
          <w:rFonts w:hint="default" w:ascii="Arial" w:hAnsi="Arial"/>
          <w:color w:val="auto"/>
          <w:sz w:val="22"/>
          <w:szCs w:val="22"/>
          <w:lang w:val="pt-BR"/>
        </w:rPr>
        <w:t xml:space="preserve"> </w:t>
      </w:r>
      <w:r>
        <w:rPr>
          <w:rFonts w:hint="default" w:ascii="Arial" w:hAnsi="Arial"/>
          <w:color w:val="auto"/>
          <w:sz w:val="22"/>
          <w:szCs w:val="22"/>
        </w:rPr>
        <w:t xml:space="preserve">O custo global estimado para a execução dos serviços objeto deste Termo de Referência está orçado em </w:t>
      </w:r>
      <w:r>
        <w:rPr>
          <w:rFonts w:hint="default" w:ascii="Arial" w:hAnsi="Arial"/>
          <w:b/>
          <w:color w:val="auto"/>
          <w:sz w:val="22"/>
          <w:szCs w:val="22"/>
          <w:shd w:val="clear" w:color="auto" w:fill="auto"/>
        </w:rPr>
        <w:t>R$</w:t>
      </w:r>
      <w:r>
        <w:rPr>
          <w:rFonts w:hint="default" w:ascii="Arial" w:hAnsi="Arial"/>
          <w:b/>
          <w:color w:val="auto"/>
          <w:sz w:val="22"/>
          <w:szCs w:val="22"/>
          <w:shd w:val="clear" w:color="auto" w:fill="auto"/>
          <w:lang w:val="pt-BR"/>
        </w:rPr>
        <w:t xml:space="preserve"> 86.412,50</w:t>
      </w:r>
      <w:r>
        <w:rPr>
          <w:rFonts w:hint="default" w:ascii="Arial" w:hAnsi="Arial"/>
          <w:b/>
          <w:color w:val="auto"/>
          <w:sz w:val="22"/>
          <w:szCs w:val="22"/>
          <w:shd w:val="clear" w:color="auto" w:fill="auto"/>
        </w:rPr>
        <w:t xml:space="preserve"> (</w:t>
      </w:r>
      <w:r>
        <w:rPr>
          <w:rFonts w:hint="default" w:ascii="Arial" w:hAnsi="Arial"/>
          <w:b/>
          <w:color w:val="auto"/>
          <w:sz w:val="22"/>
          <w:szCs w:val="22"/>
          <w:shd w:val="clear" w:color="auto" w:fill="auto"/>
          <w:lang w:val="pt-BR"/>
        </w:rPr>
        <w:t>Oitenta e seis mil, quatrocentos e doze mil e cinquenta centavos</w:t>
      </w:r>
      <w:r>
        <w:rPr>
          <w:rFonts w:hint="default" w:ascii="Arial" w:hAnsi="Arial"/>
          <w:b/>
          <w:color w:val="auto"/>
          <w:sz w:val="22"/>
          <w:szCs w:val="22"/>
          <w:shd w:val="clear" w:color="auto" w:fill="auto"/>
        </w:rPr>
        <w:t>)</w:t>
      </w:r>
      <w:r>
        <w:rPr>
          <w:rFonts w:hint="default" w:ascii="Arial" w:hAnsi="Arial"/>
          <w:color w:val="auto"/>
          <w:sz w:val="22"/>
          <w:szCs w:val="22"/>
          <w:shd w:val="clear" w:color="auto" w:fill="auto"/>
        </w:rPr>
        <w:t>, t</w:t>
      </w:r>
      <w:r>
        <w:rPr>
          <w:rFonts w:hint="default" w:ascii="Arial" w:hAnsi="Arial"/>
          <w:color w:val="auto"/>
          <w:sz w:val="22"/>
          <w:szCs w:val="22"/>
        </w:rPr>
        <w:t>endo como referência a tabela a seguir, que contempla as diversas atividades técnicas necessárias para a consecução do Projeto Executivo:</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3"/>
        <w:gridCol w:w="3885"/>
        <w:gridCol w:w="1563"/>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9030" w:type="dxa"/>
            <w:gridSpan w:val="4"/>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b/>
                <w:color w:val="auto"/>
                <w:sz w:val="16"/>
                <w:szCs w:val="22"/>
              </w:rPr>
            </w:pPr>
            <w:r>
              <w:rPr>
                <w:rFonts w:hint="default" w:ascii="Arial" w:hAnsi="Arial"/>
                <w:b/>
                <w:color w:val="auto"/>
                <w:sz w:val="16"/>
                <w:szCs w:val="22"/>
              </w:rPr>
              <w:t>PLANILHA DE CUSTOS POR ATIVIDADE TÉCNICA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9030" w:type="dxa"/>
            <w:gridSpan w:val="4"/>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b/>
                <w:color w:val="auto"/>
                <w:sz w:val="16"/>
                <w:szCs w:val="22"/>
              </w:rPr>
            </w:pPr>
            <w:r>
              <w:rPr>
                <w:rFonts w:hint="default" w:ascii="Arial" w:hAnsi="Arial"/>
                <w:b/>
                <w:color w:val="auto"/>
                <w:sz w:val="16"/>
                <w:szCs w:val="22"/>
              </w:rPr>
              <w:t xml:space="preserve">Cotação nº </w:t>
            </w:r>
            <w:r>
              <w:rPr>
                <w:rFonts w:hint="default" w:ascii="Arial" w:hAnsi="Arial"/>
                <w:b/>
                <w:color w:val="auto"/>
                <w:sz w:val="16"/>
                <w:szCs w:val="22"/>
                <w:lang w:val="pt-BR"/>
              </w:rPr>
              <w:t>140</w:t>
            </w:r>
            <w:r>
              <w:rPr>
                <w:rFonts w:hint="default" w:ascii="Arial" w:hAnsi="Arial"/>
                <w:b/>
                <w:color w:val="auto"/>
                <w:sz w:val="16"/>
                <w:szCs w:val="22"/>
              </w:rPr>
              <w:t>/202</w:t>
            </w:r>
            <w:r>
              <w:rPr>
                <w:rFonts w:hint="default" w:ascii="Arial" w:hAnsi="Arial"/>
                <w:b/>
                <w:color w:val="auto"/>
                <w:sz w:val="16"/>
                <w:szCs w:val="22"/>
                <w:lang w:val="pt-BR"/>
              </w:rPr>
              <w:t>2</w:t>
            </w:r>
            <w:r>
              <w:rPr>
                <w:rFonts w:hint="default" w:ascii="Arial" w:hAnsi="Arial"/>
                <w:b/>
                <w:color w:val="auto"/>
                <w:sz w:val="16"/>
                <w:szCs w:val="22"/>
              </w:rPr>
              <w:t xml:space="preserve"> – Valor Mediano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3" w:type="dxa"/>
            <w:vMerge w:val="restart"/>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b/>
                <w:color w:val="auto"/>
                <w:sz w:val="16"/>
                <w:szCs w:val="22"/>
              </w:rPr>
            </w:pPr>
            <w:r>
              <w:rPr>
                <w:rFonts w:hint="default" w:ascii="Arial" w:hAnsi="Arial"/>
                <w:b/>
                <w:color w:val="auto"/>
                <w:sz w:val="16"/>
                <w:szCs w:val="22"/>
              </w:rPr>
              <w:t>Item</w:t>
            </w:r>
          </w:p>
        </w:tc>
        <w:tc>
          <w:tcPr>
            <w:tcW w:w="3885" w:type="dxa"/>
            <w:vMerge w:val="restart"/>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b/>
                <w:color w:val="auto"/>
                <w:sz w:val="16"/>
                <w:szCs w:val="22"/>
              </w:rPr>
            </w:pPr>
            <w:r>
              <w:rPr>
                <w:rFonts w:hint="default" w:ascii="Arial" w:hAnsi="Arial"/>
                <w:b/>
                <w:color w:val="auto"/>
                <w:sz w:val="16"/>
                <w:szCs w:val="22"/>
              </w:rPr>
              <w:t>PROJETOS OU SERVIÇOS</w:t>
            </w:r>
          </w:p>
        </w:tc>
        <w:tc>
          <w:tcPr>
            <w:tcW w:w="1563" w:type="dxa"/>
            <w:vMerge w:val="restart"/>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b/>
                <w:color w:val="auto"/>
                <w:sz w:val="16"/>
                <w:szCs w:val="22"/>
              </w:rPr>
            </w:pPr>
            <w:r>
              <w:rPr>
                <w:rFonts w:hint="default" w:ascii="Arial" w:hAnsi="Arial"/>
                <w:b/>
                <w:color w:val="auto"/>
                <w:sz w:val="16"/>
                <w:szCs w:val="22"/>
              </w:rPr>
              <w:t>QUANT.</w:t>
            </w:r>
          </w:p>
        </w:tc>
        <w:tc>
          <w:tcPr>
            <w:tcW w:w="1539" w:type="dxa"/>
            <w:vMerge w:val="restart"/>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b/>
                <w:color w:val="auto"/>
                <w:sz w:val="16"/>
                <w:szCs w:val="22"/>
              </w:rPr>
            </w:pPr>
            <w:r>
              <w:rPr>
                <w:rFonts w:hint="default" w:ascii="Arial" w:hAnsi="Arial"/>
                <w:b/>
                <w:color w:val="auto"/>
                <w:sz w:val="16"/>
                <w:szCs w:val="22"/>
              </w:rPr>
              <w:t>UNI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043"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16"/>
                <w:szCs w:val="22"/>
              </w:rPr>
            </w:pPr>
          </w:p>
        </w:tc>
        <w:tc>
          <w:tcPr>
            <w:tcW w:w="3885"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16"/>
                <w:szCs w:val="22"/>
              </w:rPr>
            </w:pPr>
          </w:p>
        </w:tc>
        <w:tc>
          <w:tcPr>
            <w:tcW w:w="1563"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16"/>
                <w:szCs w:val="22"/>
              </w:rPr>
            </w:pPr>
          </w:p>
        </w:tc>
        <w:tc>
          <w:tcPr>
            <w:tcW w:w="1539" w:type="dxa"/>
            <w:vMerge w:val="continue"/>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16"/>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20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1</w:t>
            </w:r>
          </w:p>
        </w:tc>
        <w:tc>
          <w:tcPr>
            <w:tcW w:w="3885"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8"/>
                <w:szCs w:val="22"/>
              </w:rPr>
              <w:t>Projeto básico e executivo de rede de drenagem urbana de água pluvial.</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lang w:val="pt-BR"/>
              </w:rPr>
            </w:pPr>
            <w:r>
              <w:rPr>
                <w:rFonts w:hint="default" w:ascii="Arial" w:hAnsi="Arial"/>
                <w:color w:val="auto"/>
                <w:sz w:val="16"/>
                <w:szCs w:val="22"/>
                <w:highlight w:val="none"/>
                <w:shd w:val="clear" w:color="auto" w:fill="auto"/>
                <w:lang w:val="pt-BR"/>
              </w:rPr>
              <w:t>2.550</w:t>
            </w:r>
          </w:p>
        </w:tc>
        <w:tc>
          <w:tcPr>
            <w:tcW w:w="153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0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lang w:val="pt-BR"/>
              </w:rPr>
            </w:pPr>
            <w:r>
              <w:rPr>
                <w:rFonts w:hint="default" w:ascii="Arial" w:hAnsi="Arial"/>
                <w:color w:val="auto"/>
                <w:sz w:val="16"/>
                <w:szCs w:val="22"/>
                <w:lang w:val="pt-BR"/>
              </w:rPr>
              <w:t>2</w:t>
            </w:r>
          </w:p>
        </w:tc>
        <w:tc>
          <w:tcPr>
            <w:tcW w:w="3885"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Projeto Topografia para implantação</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01</w:t>
            </w:r>
            <w:r>
              <w:rPr>
                <w:rFonts w:hint="default" w:ascii="Arial" w:hAnsi="Arial"/>
                <w:color w:val="auto"/>
                <w:sz w:val="16"/>
                <w:szCs w:val="22"/>
                <w:lang w:val="pt-BR"/>
              </w:rPr>
              <w:t xml:space="preserve"> (área de 407.000 m2)</w:t>
            </w:r>
          </w:p>
        </w:tc>
        <w:tc>
          <w:tcPr>
            <w:tcW w:w="153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Serv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20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lang w:val="pt-BR"/>
              </w:rPr>
            </w:pPr>
            <w:r>
              <w:rPr>
                <w:rFonts w:hint="default" w:ascii="Arial" w:hAnsi="Arial"/>
                <w:color w:val="auto"/>
                <w:sz w:val="16"/>
                <w:szCs w:val="22"/>
                <w:lang w:val="pt-BR"/>
              </w:rPr>
              <w:t>3</w:t>
            </w:r>
          </w:p>
        </w:tc>
        <w:tc>
          <w:tcPr>
            <w:tcW w:w="3885"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Estudos Geotécnicos e Hidrológicos</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01</w:t>
            </w:r>
          </w:p>
        </w:tc>
        <w:tc>
          <w:tcPr>
            <w:tcW w:w="153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Serv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04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lang w:val="pt-BR"/>
              </w:rPr>
            </w:pPr>
            <w:r>
              <w:rPr>
                <w:rFonts w:hint="default" w:ascii="Arial" w:hAnsi="Arial"/>
                <w:color w:val="auto"/>
                <w:sz w:val="16"/>
                <w:szCs w:val="22"/>
                <w:lang w:val="pt-BR"/>
              </w:rPr>
              <w:t>4</w:t>
            </w:r>
          </w:p>
        </w:tc>
        <w:tc>
          <w:tcPr>
            <w:tcW w:w="3885" w:type="dxa"/>
            <w:tcBorders>
              <w:top w:val="single" w:color="auto" w:sz="4" w:space="0"/>
              <w:left w:val="single" w:color="auto" w:sz="4" w:space="0"/>
              <w:bottom w:val="single" w:color="auto" w:sz="4" w:space="0"/>
              <w:right w:val="single" w:color="auto" w:sz="4" w:space="0"/>
              <w:tl2br w:val="nil"/>
              <w:tr2bl w:val="nil"/>
            </w:tcBorders>
            <w:noWrap w:val="0"/>
            <w:vAlign w:val="top"/>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Projeto de Remanejamento de Interferências</w:t>
            </w:r>
          </w:p>
        </w:tc>
        <w:tc>
          <w:tcPr>
            <w:tcW w:w="1563"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01</w:t>
            </w:r>
          </w:p>
        </w:tc>
        <w:tc>
          <w:tcPr>
            <w:tcW w:w="1539" w:type="dxa"/>
            <w:tcBorders>
              <w:top w:val="single" w:color="auto" w:sz="4" w:space="0"/>
              <w:left w:val="single" w:color="auto" w:sz="4" w:space="0"/>
              <w:bottom w:val="single" w:color="auto" w:sz="4" w:space="0"/>
              <w:right w:val="single" w:color="auto" w:sz="4" w:space="0"/>
              <w:tl2br w:val="nil"/>
              <w:tr2bl w:val="nil"/>
            </w:tcBorders>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color w:val="auto"/>
                <w:sz w:val="16"/>
                <w:szCs w:val="22"/>
              </w:rPr>
              <w:t>Serv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2043" w:type="dxa"/>
            <w:tcBorders>
              <w:top w:val="single" w:color="auto" w:sz="4" w:space="0"/>
              <w:left w:val="single" w:color="auto" w:sz="4" w:space="0"/>
              <w:bottom w:val="single" w:color="auto" w:sz="4" w:space="0"/>
              <w:right w:val="single" w:color="auto" w:sz="4" w:space="0"/>
              <w:tl2br w:val="nil"/>
              <w:tr2bl w:val="nil"/>
            </w:tcBorders>
            <w:shd w:val="clear" w:color="auto" w:fill="D7D7D7"/>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color w:val="auto"/>
                <w:sz w:val="16"/>
                <w:szCs w:val="22"/>
              </w:rPr>
            </w:pPr>
            <w:r>
              <w:rPr>
                <w:rFonts w:hint="default" w:ascii="Arial" w:hAnsi="Arial"/>
                <w:b/>
                <w:color w:val="auto"/>
                <w:sz w:val="18"/>
                <w:szCs w:val="22"/>
              </w:rPr>
              <w:t>Valor Total Geral:</w:t>
            </w:r>
          </w:p>
        </w:tc>
        <w:tc>
          <w:tcPr>
            <w:tcW w:w="6987" w:type="dxa"/>
            <w:gridSpan w:val="3"/>
            <w:tcBorders>
              <w:top w:val="single" w:color="auto" w:sz="4" w:space="0"/>
              <w:left w:val="single" w:color="auto" w:sz="4" w:space="0"/>
              <w:bottom w:val="single" w:color="auto" w:sz="4" w:space="0"/>
              <w:right w:val="single" w:color="auto" w:sz="4" w:space="0"/>
              <w:tl2br w:val="nil"/>
              <w:tr2bl w:val="nil"/>
            </w:tcBorders>
            <w:shd w:val="clear" w:color="auto" w:fill="D7D7D7"/>
            <w:noWrap w:val="0"/>
            <w:vAlign w:val="center"/>
          </w:tcPr>
          <w:p>
            <w:pPr>
              <w:pStyle w:val="203"/>
              <w:keepNext w:val="0"/>
              <w:keepLines w:val="0"/>
              <w:pageBreakBefore w:val="0"/>
              <w:kinsoku/>
              <w:wordWrap/>
              <w:overflowPunct/>
              <w:topLinePunct w:val="0"/>
              <w:autoSpaceDE/>
              <w:bidi w:val="0"/>
              <w:adjustRightInd/>
              <w:snapToGrid/>
              <w:spacing w:line="360" w:lineRule="auto"/>
              <w:jc w:val="center"/>
              <w:rPr>
                <w:rFonts w:hint="default" w:ascii="Arial" w:hAnsi="Arial"/>
                <w:b/>
                <w:bCs/>
                <w:color w:val="auto"/>
                <w:sz w:val="16"/>
                <w:szCs w:val="22"/>
                <w:lang w:val="pt-BR"/>
              </w:rPr>
            </w:pPr>
            <w:r>
              <w:rPr>
                <w:rFonts w:hint="default" w:ascii="Arial" w:hAnsi="Arial"/>
                <w:b/>
                <w:bCs/>
                <w:color w:val="auto"/>
                <w:sz w:val="16"/>
                <w:szCs w:val="22"/>
                <w:shd w:val="clear" w:color="auto" w:fill="D7D7D7"/>
                <w:lang w:val="pt-BR"/>
              </w:rPr>
              <w:t>86.412,50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7491" w:type="dxa"/>
            <w:gridSpan w:val="3"/>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18"/>
                <w:szCs w:val="22"/>
              </w:rPr>
            </w:pPr>
          </w:p>
        </w:tc>
        <w:tc>
          <w:tcPr>
            <w:tcW w:w="1539" w:type="dxa"/>
            <w:tcBorders>
              <w:top w:val="single" w:color="auto" w:sz="4" w:space="0"/>
              <w:left w:val="single" w:color="auto" w:sz="4" w:space="0"/>
              <w:bottom w:val="single" w:color="auto" w:sz="4" w:space="0"/>
              <w:right w:val="single" w:color="auto" w:sz="4" w:space="0"/>
              <w:tl2br w:val="nil"/>
              <w:tr2bl w:val="nil"/>
            </w:tcBorders>
            <w:shd w:val="clear" w:color="auto" w:fill="D8D8D8"/>
            <w:noWrap w:val="0"/>
            <w:vAlign w:val="center"/>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2"/>
                <w:lang w:val="pt-BR"/>
              </w:rPr>
            </w:pPr>
          </w:p>
        </w:tc>
      </w:tr>
    </w:tbl>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15. CLÁUSULA DÉCIMA QUINTA</w:t>
      </w:r>
      <w:r>
        <w:rPr>
          <w:rFonts w:hint="default" w:ascii="Arial" w:hAnsi="Arial"/>
          <w:b/>
          <w:color w:val="auto"/>
          <w:sz w:val="22"/>
          <w:szCs w:val="22"/>
          <w:lang w:val="pt-BR"/>
        </w:rPr>
        <w:t xml:space="preserve"> -</w:t>
      </w:r>
      <w:r>
        <w:rPr>
          <w:rFonts w:hint="default" w:ascii="Arial" w:hAnsi="Arial"/>
          <w:b/>
          <w:color w:val="auto"/>
          <w:sz w:val="22"/>
          <w:szCs w:val="22"/>
        </w:rPr>
        <w:t xml:space="preserve"> DAS CONDIÇÕES PARA APRESENTAÇÃO DE PROPOSTA PARA A LICITAÇÃO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15.1 Habilitação Técnica: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15.1.1</w:t>
      </w:r>
      <w:r>
        <w:rPr>
          <w:rFonts w:hint="default" w:ascii="Arial" w:hAnsi="Arial"/>
          <w:b/>
          <w:bCs/>
          <w:color w:val="auto"/>
          <w:sz w:val="22"/>
          <w:szCs w:val="22"/>
          <w:lang w:val="pt-BR"/>
        </w:rPr>
        <w:t>.</w:t>
      </w:r>
      <w:r>
        <w:rPr>
          <w:rFonts w:hint="default" w:ascii="Arial" w:hAnsi="Arial"/>
          <w:color w:val="auto"/>
          <w:sz w:val="22"/>
          <w:szCs w:val="22"/>
        </w:rPr>
        <w:t xml:space="preserve"> Certidão de registro ou inscrição no Conselho Regional de Engenharia, Arquitetura e Agronomia (CREA/CAU), comprovando a regularidade da situação da licitante e de seus Responsáveis Técnicos, na forma da legislação vigente</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15.1.2</w:t>
      </w:r>
      <w:r>
        <w:rPr>
          <w:rFonts w:hint="default" w:ascii="Arial" w:hAnsi="Arial"/>
          <w:b/>
          <w:bCs/>
          <w:color w:val="auto"/>
          <w:sz w:val="22"/>
          <w:szCs w:val="22"/>
          <w:lang w:val="pt-BR"/>
        </w:rPr>
        <w:t>.</w:t>
      </w:r>
      <w:r>
        <w:rPr>
          <w:rFonts w:hint="default" w:ascii="Arial" w:hAnsi="Arial"/>
          <w:color w:val="auto"/>
          <w:sz w:val="22"/>
          <w:szCs w:val="22"/>
        </w:rPr>
        <w:t xml:space="preserve"> Declaração de disponibilidade, entre os Responsáveis Técnicos da Empresa, de pelo menos, um arquiteto, um engenheiro civil e um engenheiro eletricista para a execução dos trabalhos a contratar, devendo a comprovação de vínculo desses profissionais com a licitante ser demonstrado através contrato de prestação de serviços no momento da assinatura do Contrato</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15.1.3</w:t>
      </w:r>
      <w:r>
        <w:rPr>
          <w:rFonts w:hint="default" w:ascii="Arial" w:hAnsi="Arial"/>
          <w:b/>
          <w:bCs/>
          <w:color w:val="auto"/>
          <w:sz w:val="22"/>
          <w:szCs w:val="22"/>
          <w:lang w:val="pt-BR"/>
        </w:rPr>
        <w:t>.</w:t>
      </w:r>
      <w:r>
        <w:rPr>
          <w:rFonts w:hint="default" w:ascii="Arial" w:hAnsi="Arial"/>
          <w:color w:val="auto"/>
          <w:sz w:val="22"/>
          <w:szCs w:val="22"/>
        </w:rPr>
        <w:t xml:space="preserve"> Apresentação de Atestado de Capacidade Técnica, expedido por pessoa jurídica de direito público ou privado devidamente visado no CREA/CAU ou transcritos de seu acervo, em que figure os Responsáveis Técnicos da Empresa, comprovando a execução, em cada atestado, de serviços compatíveis em características e complexidade àqueles relativos ao objeto da licitação.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15.2</w:t>
      </w:r>
      <w:r>
        <w:rPr>
          <w:rFonts w:hint="default" w:ascii="Arial" w:hAnsi="Arial"/>
          <w:b/>
          <w:color w:val="auto"/>
          <w:sz w:val="22"/>
          <w:szCs w:val="22"/>
          <w:lang w:val="pt-BR"/>
        </w:rPr>
        <w:t>.</w:t>
      </w:r>
      <w:r>
        <w:rPr>
          <w:rFonts w:hint="default" w:ascii="Arial" w:hAnsi="Arial"/>
          <w:b/>
          <w:color w:val="auto"/>
          <w:sz w:val="22"/>
          <w:szCs w:val="22"/>
        </w:rPr>
        <w:t xml:space="preserve"> Vistoria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15.2.1.</w:t>
      </w:r>
      <w:r>
        <w:rPr>
          <w:rFonts w:hint="default" w:ascii="Arial" w:hAnsi="Arial"/>
          <w:color w:val="auto"/>
          <w:sz w:val="22"/>
          <w:szCs w:val="22"/>
        </w:rPr>
        <w:t xml:space="preserve"> A Contratante disponibilizará a Declaração de Vistoria, atestando o comparecimento de técnicos credenciados ao local onde será executada a obra objeto do Projeto Executivo a ser contratado, para conhecimento e avaliação das peculiaridades relativas aos serviços a serem desenvolvidos, tomando ciência das condições gerais do imóvel</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15.2.2.</w:t>
      </w:r>
      <w:r>
        <w:rPr>
          <w:rFonts w:hint="default" w:ascii="Arial" w:hAnsi="Arial"/>
          <w:color w:val="auto"/>
          <w:sz w:val="22"/>
          <w:szCs w:val="22"/>
        </w:rPr>
        <w:t xml:space="preserve"> Caso a empresa optar por não realizar a visita técnica, a mesma deverá apresentar em substituição ao atestado de vistoria uma DECLARAÇÃO formal, assinada pelo responsável técnico que fará parte da Documentação de HABILITAÇÃO, de que conhece todo o projeto executivo e a área/obra deste certame e no caso de ser declarada vencedora, que tem totais condições de realizar/executar a obra/serviço desta licitação sem prejuízo na efetiva execução dos serviços, e que não utilizará deste para quaisquer questionamentos futuros que ensejem avenças técnicas ou financeiras com a PREFEITURA. Não podendo alegar a posteriori, desconhecimento de qualquer fato relativo às condições dos locais da obra, podendo incorrer em sanções administrativas previstas neste Edital em consonância com a Lei 8.666/93</w:t>
      </w:r>
      <w:r>
        <w:rPr>
          <w:rFonts w:hint="default" w:ascii="Arial" w:hAnsi="Arial"/>
          <w:color w:val="auto"/>
          <w:sz w:val="22"/>
          <w:szCs w:val="22"/>
          <w:lang w:val="pt-BR"/>
        </w:rPr>
        <w:t>;</w:t>
      </w:r>
      <w:r>
        <w:rPr>
          <w:rFonts w:hint="default" w:ascii="Arial" w:hAnsi="Arial"/>
          <w:color w:val="auto"/>
          <w:sz w:val="22"/>
          <w:szCs w:val="22"/>
        </w:rPr>
        <w:t xml:space="preserve"> </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15.2.3.</w:t>
      </w:r>
      <w:r>
        <w:rPr>
          <w:rFonts w:hint="default" w:ascii="Arial" w:hAnsi="Arial"/>
          <w:color w:val="auto"/>
          <w:sz w:val="22"/>
          <w:szCs w:val="22"/>
        </w:rPr>
        <w:t xml:space="preserve"> No ato da vistoria, as licitantes devem inteirar-se das condições e do grau de dificuldade dos serviços, não se admitindo, posteriormente, qualquer alegação de desconhecimento dos mesmos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15.2.4.</w:t>
      </w:r>
      <w:r>
        <w:rPr>
          <w:rFonts w:hint="default" w:ascii="Arial" w:hAnsi="Arial"/>
          <w:color w:val="auto"/>
          <w:sz w:val="22"/>
          <w:szCs w:val="22"/>
        </w:rPr>
        <w:t xml:space="preserve"> A vistoria deverá ser previamente agendada, e deverão comparecer técnicos habilitados a elaborar Projetos de Arquitetura e de Engenharia</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15.2.5</w:t>
      </w:r>
      <w:r>
        <w:rPr>
          <w:rFonts w:hint="default" w:ascii="Arial" w:hAnsi="Arial"/>
          <w:color w:val="auto"/>
          <w:sz w:val="22"/>
          <w:szCs w:val="22"/>
        </w:rPr>
        <w:t>. Para realizar a vistoria, os representantes deverão apresentar registro profissional e documento comprovando estarem credenciados pela empresa interessada.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numPr>
          <w:ilvl w:val="0"/>
          <w:numId w:val="29"/>
        </w:numPr>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lang w:val="pt-BR"/>
        </w:rPr>
        <w:t>CLÁUSULA DÉCIMA SEXTA - DO PERÍODO DE</w:t>
      </w:r>
      <w:r>
        <w:rPr>
          <w:rFonts w:hint="default" w:ascii="Arial" w:hAnsi="Arial"/>
          <w:b/>
          <w:color w:val="auto"/>
          <w:sz w:val="22"/>
          <w:szCs w:val="22"/>
        </w:rPr>
        <w:t xml:space="preserve"> VIGÊNCIA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lang w:val="pt-BR"/>
        </w:rPr>
      </w:pPr>
      <w:r>
        <w:rPr>
          <w:rFonts w:hint="default" w:ascii="Arial" w:hAnsi="Arial"/>
          <w:b/>
          <w:bCs/>
          <w:color w:val="auto"/>
          <w:sz w:val="22"/>
          <w:szCs w:val="22"/>
        </w:rPr>
        <w:t>16.1</w:t>
      </w:r>
      <w:r>
        <w:rPr>
          <w:rFonts w:hint="default" w:ascii="Arial" w:hAnsi="Arial"/>
          <w:b/>
          <w:bCs/>
          <w:color w:val="auto"/>
          <w:sz w:val="22"/>
          <w:szCs w:val="22"/>
          <w:lang w:val="pt-BR"/>
        </w:rPr>
        <w:t>.</w:t>
      </w:r>
      <w:r>
        <w:rPr>
          <w:rFonts w:hint="default" w:ascii="Arial" w:hAnsi="Arial"/>
          <w:color w:val="auto"/>
          <w:sz w:val="22"/>
          <w:szCs w:val="22"/>
        </w:rPr>
        <w:t xml:space="preserve"> O período de vigência do contrato será de 12 (doze) meses, contados a partir da data de sua assinatura, tendo eficácia legal após a publicação do extrato do Contrato no Diário Oficial. Ressalvada a hipótese de prorrogação, nos termos do art. 57, II, da Lei nº 8.666/93, contados da data indicada no Termo de autorização de Inicio dos serviços</w:t>
      </w:r>
      <w:r>
        <w:rPr>
          <w:rFonts w:hint="default" w:ascii="Arial" w:hAnsi="Arial"/>
          <w:color w:val="auto"/>
          <w:sz w:val="22"/>
          <w:szCs w:val="22"/>
          <w:lang w:val="pt-BR"/>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rPr>
        <w:t>16.2</w:t>
      </w:r>
      <w:r>
        <w:rPr>
          <w:rFonts w:hint="default" w:ascii="Arial" w:hAnsi="Arial"/>
          <w:b/>
          <w:bCs/>
          <w:color w:val="auto"/>
          <w:sz w:val="22"/>
          <w:szCs w:val="22"/>
          <w:lang w:val="pt-BR"/>
        </w:rPr>
        <w:t>.</w:t>
      </w:r>
      <w:r>
        <w:rPr>
          <w:rFonts w:hint="default" w:ascii="Arial" w:hAnsi="Arial"/>
          <w:b/>
          <w:bCs/>
          <w:color w:val="auto"/>
          <w:sz w:val="22"/>
          <w:szCs w:val="22"/>
        </w:rPr>
        <w:t xml:space="preserve"> </w:t>
      </w:r>
      <w:r>
        <w:rPr>
          <w:rFonts w:hint="default" w:ascii="Arial" w:hAnsi="Arial"/>
          <w:color w:val="auto"/>
          <w:sz w:val="22"/>
          <w:szCs w:val="22"/>
        </w:rPr>
        <w:t xml:space="preserve">Visando atender eventual necessidade da contratante, em decorrência de caso fortuito, força maior, licitação fracassada ou deserta, na qual se faça a necessária a atualização da planilha de composição de custos, a contratada ficará responsável a realizá-la por um período de até 24 </w:t>
      </w:r>
      <w:r>
        <w:rPr>
          <w:rFonts w:hint="default" w:ascii="Arial" w:hAnsi="Arial"/>
          <w:color w:val="auto"/>
          <w:sz w:val="22"/>
          <w:szCs w:val="22"/>
          <w:lang w:val="pt-BR"/>
        </w:rPr>
        <w:t xml:space="preserve">(vinte e quatro) </w:t>
      </w:r>
      <w:r>
        <w:rPr>
          <w:rFonts w:hint="default" w:ascii="Arial" w:hAnsi="Arial"/>
          <w:color w:val="auto"/>
          <w:sz w:val="22"/>
          <w:szCs w:val="22"/>
        </w:rPr>
        <w:t>meses a partir da entrega do projeto.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 xml:space="preserve">17. </w:t>
      </w:r>
      <w:r>
        <w:rPr>
          <w:rFonts w:hint="default" w:ascii="Arial" w:hAnsi="Arial"/>
          <w:b/>
          <w:color w:val="auto"/>
          <w:sz w:val="22"/>
          <w:szCs w:val="22"/>
          <w:lang w:val="pt-BR"/>
        </w:rPr>
        <w:t xml:space="preserve">CLÁUSULA DÉCIMA SÉTIMA: DO </w:t>
      </w:r>
      <w:r>
        <w:rPr>
          <w:rFonts w:hint="default" w:ascii="Arial" w:hAnsi="Arial"/>
          <w:b/>
          <w:color w:val="auto"/>
          <w:sz w:val="22"/>
          <w:szCs w:val="22"/>
        </w:rPr>
        <w:t>CRITÉRIO DE JULGAMENTO</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val="0"/>
          <w:bCs/>
          <w:color w:val="auto"/>
          <w:sz w:val="22"/>
          <w:szCs w:val="22"/>
        </w:rPr>
      </w:pPr>
      <w:r>
        <w:rPr>
          <w:rFonts w:hint="default" w:ascii="Arial" w:hAnsi="Arial"/>
          <w:b/>
          <w:bCs/>
          <w:color w:val="auto"/>
          <w:sz w:val="22"/>
          <w:szCs w:val="22"/>
          <w:lang w:val="pt-BR"/>
        </w:rPr>
        <w:t>17.1.</w:t>
      </w:r>
      <w:r>
        <w:rPr>
          <w:rFonts w:hint="default" w:ascii="Arial" w:hAnsi="Arial"/>
          <w:color w:val="auto"/>
          <w:sz w:val="22"/>
          <w:szCs w:val="22"/>
          <w:lang w:val="pt-BR"/>
        </w:rPr>
        <w:t xml:space="preserve"> </w:t>
      </w:r>
      <w:r>
        <w:rPr>
          <w:rFonts w:hint="default" w:ascii="Arial" w:hAnsi="Arial"/>
          <w:color w:val="auto"/>
          <w:sz w:val="22"/>
          <w:szCs w:val="22"/>
        </w:rPr>
        <w:t xml:space="preserve">O critério de julgamento das propostas será o de </w:t>
      </w:r>
      <w:r>
        <w:rPr>
          <w:rFonts w:hint="default" w:ascii="Arial" w:hAnsi="Arial"/>
          <w:b/>
          <w:color w:val="auto"/>
          <w:sz w:val="22"/>
          <w:szCs w:val="22"/>
          <w:lang w:val="pt-BR"/>
        </w:rPr>
        <w:t xml:space="preserve">TÉCNICA E PREÇO, </w:t>
      </w:r>
      <w:r>
        <w:rPr>
          <w:rFonts w:hint="default" w:ascii="Arial" w:hAnsi="Arial"/>
          <w:b w:val="0"/>
          <w:bCs/>
          <w:color w:val="auto"/>
          <w:sz w:val="22"/>
          <w:szCs w:val="22"/>
          <w:lang w:val="pt-BR"/>
        </w:rPr>
        <w:t>conforme anexo II</w:t>
      </w:r>
      <w:r>
        <w:rPr>
          <w:rFonts w:hint="default" w:ascii="Arial" w:hAnsi="Arial"/>
          <w:b w:val="0"/>
          <w:bCs/>
          <w:color w:val="auto"/>
          <w:sz w:val="22"/>
          <w:szCs w:val="22"/>
        </w:rPr>
        <w:t>.</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rPr>
        <w:t xml:space="preserve">18. </w:t>
      </w:r>
      <w:r>
        <w:rPr>
          <w:rFonts w:hint="default" w:ascii="Arial" w:hAnsi="Arial"/>
          <w:b/>
          <w:color w:val="auto"/>
          <w:sz w:val="22"/>
          <w:szCs w:val="22"/>
          <w:lang w:val="pt-BR"/>
        </w:rPr>
        <w:t xml:space="preserve">CLÁUSULA DÉCIMA OITAVA - </w:t>
      </w:r>
      <w:r>
        <w:rPr>
          <w:rFonts w:hint="default" w:ascii="Arial" w:hAnsi="Arial"/>
          <w:b/>
          <w:color w:val="auto"/>
          <w:sz w:val="22"/>
          <w:szCs w:val="22"/>
        </w:rPr>
        <w:t>DA DOTAÇÃO ORÇAMENTÁRIA</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b/>
          <w:bCs/>
          <w:color w:val="auto"/>
          <w:sz w:val="22"/>
          <w:szCs w:val="22"/>
          <w:lang w:val="pt-BR"/>
        </w:rPr>
        <w:t>18.1.</w:t>
      </w:r>
      <w:r>
        <w:rPr>
          <w:rFonts w:hint="default" w:ascii="Arial" w:hAnsi="Arial"/>
          <w:color w:val="auto"/>
          <w:sz w:val="22"/>
          <w:szCs w:val="22"/>
          <w:lang w:val="pt-BR"/>
        </w:rPr>
        <w:t xml:space="preserve"> </w:t>
      </w:r>
      <w:r>
        <w:rPr>
          <w:rFonts w:hint="default" w:ascii="Arial" w:hAnsi="Arial"/>
          <w:color w:val="auto"/>
          <w:sz w:val="22"/>
          <w:szCs w:val="22"/>
        </w:rPr>
        <w:t>As despesas oriundas da presente contratação correrão por conta de recursos consignados no orçamento da Prefeitura Municipal de Primavera do Leste nas dotações orçamentárias relacionadas abaixo:</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22"/>
          <w:szCs w:val="22"/>
        </w:rPr>
      </w:pPr>
      <w:r>
        <w:rPr>
          <w:rFonts w:hint="default" w:ascii="Arial" w:hAnsi="Arial"/>
          <w:b/>
          <w:color w:val="auto"/>
          <w:sz w:val="22"/>
          <w:szCs w:val="22"/>
        </w:rPr>
        <w:t xml:space="preserve">Secretaria de Municipal de Infraestrutura: </w:t>
      </w:r>
    </w:p>
    <w:tbl>
      <w:tblPr>
        <w:tblStyle w:val="1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70"/>
        <w:gridCol w:w="2155"/>
        <w:gridCol w:w="43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6"/>
                <w:szCs w:val="22"/>
              </w:rPr>
            </w:pPr>
            <w:r>
              <w:rPr>
                <w:rFonts w:hint="default" w:ascii="Arial" w:hAnsi="Arial"/>
                <w:b/>
                <w:color w:val="auto"/>
                <w:sz w:val="16"/>
                <w:szCs w:val="22"/>
              </w:rPr>
              <w:t>Und. Orçamentária</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6"/>
                <w:szCs w:val="22"/>
              </w:rPr>
            </w:pPr>
            <w:r>
              <w:rPr>
                <w:rFonts w:hint="default" w:ascii="Arial" w:hAnsi="Arial"/>
                <w:color w:val="auto"/>
                <w:sz w:val="16"/>
                <w:szCs w:val="22"/>
              </w:rPr>
              <w:t>09003</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6"/>
                <w:szCs w:val="22"/>
              </w:rPr>
            </w:pPr>
            <w:r>
              <w:rPr>
                <w:rFonts w:hint="default" w:ascii="Arial" w:hAnsi="Arial"/>
                <w:color w:val="auto"/>
                <w:sz w:val="16"/>
                <w:szCs w:val="22"/>
              </w:rPr>
              <w:t>Coordenadoria de Estradas de Rodagem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6"/>
                <w:szCs w:val="22"/>
              </w:rPr>
            </w:pPr>
            <w:r>
              <w:rPr>
                <w:rFonts w:hint="default" w:ascii="Arial" w:hAnsi="Arial"/>
                <w:b/>
                <w:color w:val="auto"/>
                <w:sz w:val="16"/>
                <w:szCs w:val="22"/>
              </w:rPr>
              <w:t>Unidade executora</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6"/>
                <w:szCs w:val="22"/>
              </w:rPr>
            </w:pPr>
            <w:r>
              <w:rPr>
                <w:rFonts w:hint="default" w:ascii="Arial" w:hAnsi="Arial"/>
                <w:color w:val="auto"/>
                <w:sz w:val="16"/>
                <w:szCs w:val="22"/>
              </w:rPr>
              <w:t>09003</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6"/>
                <w:szCs w:val="22"/>
              </w:rPr>
            </w:pPr>
            <w:r>
              <w:rPr>
                <w:rFonts w:hint="default" w:ascii="Arial" w:hAnsi="Arial"/>
                <w:color w:val="auto"/>
                <w:sz w:val="16"/>
                <w:szCs w:val="22"/>
              </w:rPr>
              <w:t>Coordenadoria de Estradas de Rodagem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6"/>
                <w:szCs w:val="22"/>
              </w:rPr>
            </w:pPr>
            <w:r>
              <w:rPr>
                <w:rFonts w:hint="default" w:ascii="Arial" w:hAnsi="Arial"/>
                <w:b/>
                <w:color w:val="auto"/>
                <w:sz w:val="16"/>
                <w:szCs w:val="22"/>
              </w:rPr>
              <w:t xml:space="preserve">Despesa/fonte </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1"/>
                <w:szCs w:val="22"/>
              </w:rPr>
            </w:pPr>
            <w:r>
              <w:rPr>
                <w:rFonts w:hint="default" w:ascii="Arial" w:hAnsi="Arial"/>
                <w:color w:val="auto"/>
                <w:sz w:val="15"/>
                <w:szCs w:val="22"/>
                <w:lang w:val="pt-BR"/>
              </w:rPr>
              <w:t>33</w:t>
            </w:r>
            <w:r>
              <w:rPr>
                <w:rFonts w:hint="default" w:ascii="Arial" w:hAnsi="Arial"/>
                <w:color w:val="auto"/>
                <w:sz w:val="15"/>
                <w:szCs w:val="22"/>
              </w:rPr>
              <w:t>.90.</w:t>
            </w:r>
            <w:r>
              <w:rPr>
                <w:rFonts w:hint="default" w:ascii="Arial" w:hAnsi="Arial"/>
                <w:color w:val="auto"/>
                <w:sz w:val="15"/>
                <w:szCs w:val="22"/>
                <w:lang w:val="pt-BR"/>
              </w:rPr>
              <w:t>39</w:t>
            </w:r>
            <w:r>
              <w:rPr>
                <w:rFonts w:hint="default" w:ascii="Arial" w:hAnsi="Arial"/>
                <w:color w:val="auto"/>
                <w:sz w:val="15"/>
                <w:szCs w:val="22"/>
              </w:rPr>
              <w:t xml:space="preserve">.00 - </w:t>
            </w:r>
            <w:r>
              <w:rPr>
                <w:rFonts w:hint="default" w:ascii="Arial" w:hAnsi="Arial"/>
                <w:color w:val="auto"/>
                <w:sz w:val="15"/>
                <w:szCs w:val="22"/>
                <w:lang w:val="pt-BR"/>
              </w:rPr>
              <w:t>15</w:t>
            </w:r>
            <w:r>
              <w:rPr>
                <w:rFonts w:hint="default" w:ascii="Arial" w:hAnsi="Arial"/>
                <w:color w:val="auto"/>
                <w:sz w:val="15"/>
                <w:szCs w:val="22"/>
              </w:rPr>
              <w:t>00</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6"/>
                <w:szCs w:val="22"/>
              </w:rPr>
            </w:pPr>
            <w:r>
              <w:rPr>
                <w:rFonts w:hint="default" w:ascii="Arial" w:hAnsi="Arial"/>
                <w:color w:val="auto"/>
                <w:sz w:val="16"/>
                <w:szCs w:val="22"/>
              </w:rPr>
              <w:t>Outros Serviços de Terceiros – Pessoa Jurídica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6"/>
                <w:szCs w:val="22"/>
              </w:rPr>
            </w:pPr>
            <w:r>
              <w:rPr>
                <w:rFonts w:hint="default" w:ascii="Arial" w:hAnsi="Arial"/>
                <w:b/>
                <w:color w:val="auto"/>
                <w:sz w:val="16"/>
                <w:szCs w:val="22"/>
              </w:rPr>
              <w:t xml:space="preserve">Solicitação </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6"/>
                <w:szCs w:val="22"/>
                <w:lang w:val="pt-BR"/>
              </w:rPr>
            </w:pPr>
            <w:r>
              <w:rPr>
                <w:rFonts w:hint="default" w:ascii="Arial" w:hAnsi="Arial"/>
                <w:color w:val="auto"/>
                <w:sz w:val="16"/>
                <w:szCs w:val="22"/>
                <w:lang w:val="pt-BR"/>
              </w:rPr>
              <w:t>22/2023</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6"/>
                <w:szCs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6"/>
                <w:szCs w:val="22"/>
                <w:lang w:val="pt-BR"/>
              </w:rPr>
            </w:pPr>
            <w:r>
              <w:rPr>
                <w:rFonts w:hint="default" w:ascii="Arial" w:hAnsi="Arial"/>
                <w:b/>
                <w:color w:val="auto"/>
                <w:sz w:val="16"/>
                <w:szCs w:val="22"/>
                <w:lang w:val="pt-BR"/>
              </w:rPr>
              <w:t xml:space="preserve">Ficha </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6"/>
                <w:szCs w:val="22"/>
                <w:lang w:val="pt-BR"/>
              </w:rPr>
            </w:pPr>
            <w:r>
              <w:rPr>
                <w:rFonts w:hint="default" w:ascii="Arial" w:hAnsi="Arial"/>
                <w:color w:val="auto"/>
                <w:sz w:val="16"/>
                <w:szCs w:val="22"/>
                <w:lang w:val="pt-BR"/>
              </w:rPr>
              <w:t>854</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6"/>
                <w:szCs w:val="22"/>
              </w:rPr>
            </w:pPr>
          </w:p>
        </w:tc>
      </w:tr>
    </w:tbl>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1"/>
          <w:szCs w:val="22"/>
        </w:rPr>
      </w:pPr>
    </w:p>
    <w:p>
      <w:pPr>
        <w:keepNext w:val="0"/>
        <w:keepLines w:val="0"/>
        <w:pageBreakBefore w:val="0"/>
        <w:numPr>
          <w:ilvl w:val="0"/>
          <w:numId w:val="30"/>
        </w:numPr>
        <w:kinsoku/>
        <w:wordWrap/>
        <w:overflowPunct/>
        <w:topLinePunct w:val="0"/>
        <w:autoSpaceDE/>
        <w:bidi w:val="0"/>
        <w:adjustRightInd/>
        <w:snapToGrid/>
        <w:spacing w:after="0" w:line="360" w:lineRule="auto"/>
        <w:jc w:val="both"/>
        <w:rPr>
          <w:rFonts w:hint="default" w:ascii="Arial" w:hAnsi="Arial"/>
          <w:b/>
          <w:color w:val="auto"/>
          <w:sz w:val="22"/>
          <w:szCs w:val="22"/>
        </w:rPr>
      </w:pPr>
      <w:r>
        <w:rPr>
          <w:rFonts w:hint="default" w:ascii="Arial" w:hAnsi="Arial"/>
          <w:b/>
          <w:color w:val="auto"/>
          <w:sz w:val="22"/>
          <w:szCs w:val="22"/>
          <w:lang w:val="pt-BR"/>
        </w:rPr>
        <w:t>CLÁUSULA DÉCIMA NONA -</w:t>
      </w:r>
      <w:r>
        <w:rPr>
          <w:rFonts w:hint="default" w:ascii="Arial" w:hAnsi="Arial"/>
          <w:b/>
          <w:color w:val="auto"/>
          <w:sz w:val="22"/>
          <w:szCs w:val="22"/>
        </w:rPr>
        <w:t xml:space="preserve"> DO PAGAMENTO</w:t>
      </w:r>
    </w:p>
    <w:p>
      <w:pPr>
        <w:keepNext w:val="0"/>
        <w:keepLines w:val="0"/>
        <w:pageBreakBefore w:val="0"/>
        <w:numPr>
          <w:ilvl w:val="1"/>
          <w:numId w:val="30"/>
        </w:numPr>
        <w:kinsoku/>
        <w:wordWrap/>
        <w:overflowPunct/>
        <w:topLinePunct w:val="0"/>
        <w:autoSpaceDE/>
        <w:bidi w:val="0"/>
        <w:adjustRightInd/>
        <w:snapToGrid/>
        <w:spacing w:after="0" w:line="360" w:lineRule="auto"/>
        <w:jc w:val="both"/>
        <w:rPr>
          <w:rFonts w:hint="default" w:ascii="Arial" w:hAnsi="Arial"/>
          <w:color w:val="auto"/>
          <w:sz w:val="22"/>
          <w:szCs w:val="22"/>
        </w:rPr>
      </w:pPr>
      <w:r>
        <w:rPr>
          <w:rFonts w:hint="default" w:ascii="Arial" w:hAnsi="Arial"/>
          <w:color w:val="auto"/>
          <w:sz w:val="22"/>
          <w:szCs w:val="22"/>
        </w:rPr>
        <w:t xml:space="preserve">O pagamento será efetuado em até 30 </w:t>
      </w:r>
      <w:r>
        <w:rPr>
          <w:rFonts w:hint="default" w:ascii="Arial" w:hAnsi="Arial"/>
          <w:color w:val="auto"/>
          <w:sz w:val="22"/>
          <w:szCs w:val="22"/>
          <w:lang w:val="pt-BR"/>
        </w:rPr>
        <w:t>(</w:t>
      </w:r>
      <w:r>
        <w:rPr>
          <w:rFonts w:hint="default" w:ascii="Arial" w:hAnsi="Arial"/>
          <w:color w:val="auto"/>
          <w:sz w:val="22"/>
          <w:szCs w:val="22"/>
        </w:rPr>
        <w:t>trinta</w:t>
      </w:r>
      <w:r>
        <w:rPr>
          <w:rFonts w:hint="default" w:ascii="Arial" w:hAnsi="Arial"/>
          <w:color w:val="auto"/>
          <w:sz w:val="22"/>
          <w:szCs w:val="22"/>
          <w:lang w:val="pt-BR"/>
        </w:rPr>
        <w:t>)</w:t>
      </w:r>
      <w:r>
        <w:rPr>
          <w:rFonts w:hint="default" w:ascii="Arial" w:hAnsi="Arial"/>
          <w:color w:val="auto"/>
          <w:sz w:val="22"/>
          <w:szCs w:val="22"/>
        </w:rPr>
        <w:t xml:space="preserve"> dias após a entrega da nota fiscal devidamente atestada pelo setor competente.</w:t>
      </w:r>
    </w:p>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22"/>
          <w:szCs w:val="22"/>
        </w:rPr>
      </w:pPr>
    </w:p>
    <w:p>
      <w:pPr>
        <w:keepNext w:val="0"/>
        <w:keepLines w:val="0"/>
        <w:pageBreakBefore w:val="0"/>
        <w:numPr>
          <w:ilvl w:val="0"/>
          <w:numId w:val="31"/>
        </w:numPr>
        <w:kinsoku/>
        <w:wordWrap/>
        <w:overflowPunct/>
        <w:topLinePunct w:val="0"/>
        <w:autoSpaceDE/>
        <w:bidi w:val="0"/>
        <w:adjustRightInd/>
        <w:snapToGrid/>
        <w:spacing w:after="0" w:line="360" w:lineRule="auto"/>
        <w:jc w:val="both"/>
        <w:rPr>
          <w:rFonts w:hint="default" w:ascii="Arial" w:hAnsi="Arial"/>
          <w:b/>
          <w:color w:val="auto"/>
          <w:sz w:val="22"/>
          <w:szCs w:val="22"/>
          <w:highlight w:val="none"/>
        </w:rPr>
      </w:pPr>
      <w:r>
        <w:rPr>
          <w:rFonts w:hint="default" w:ascii="Arial" w:hAnsi="Arial"/>
          <w:b/>
          <w:color w:val="auto"/>
          <w:sz w:val="22"/>
          <w:szCs w:val="22"/>
          <w:highlight w:val="none"/>
        </w:rPr>
        <w:t xml:space="preserve">CLÁUSULA VIGÉSIMA -  </w:t>
      </w:r>
      <w:r>
        <w:rPr>
          <w:rFonts w:hint="default" w:ascii="Arial" w:hAnsi="Arial"/>
          <w:b/>
          <w:color w:val="auto"/>
          <w:sz w:val="22"/>
          <w:szCs w:val="22"/>
          <w:highlight w:val="none"/>
          <w:lang w:val="pt-BR"/>
        </w:rPr>
        <w:t>DAS SANÇÕES ADMINISTRATIVAS</w:t>
      </w: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highlight w:val="none"/>
        </w:rPr>
      </w:pPr>
      <w:r>
        <w:rPr>
          <w:rFonts w:hint="default" w:ascii="Arial" w:hAnsi="Arial" w:eastAsia="SimSun"/>
          <w:b/>
          <w:bCs w:val="0"/>
          <w:color w:val="auto"/>
          <w:sz w:val="22"/>
          <w:szCs w:val="22"/>
          <w:highlight w:val="none"/>
          <w:lang w:val="pt-BR"/>
        </w:rPr>
        <w:t>20</w:t>
      </w:r>
      <w:r>
        <w:rPr>
          <w:rFonts w:hint="default" w:ascii="Arial" w:hAnsi="Arial" w:eastAsia="SimSun"/>
          <w:b/>
          <w:bCs w:val="0"/>
          <w:color w:val="auto"/>
          <w:sz w:val="22"/>
          <w:szCs w:val="22"/>
          <w:highlight w:val="none"/>
        </w:rPr>
        <w:t>.1.</w:t>
      </w:r>
      <w:r>
        <w:rPr>
          <w:rFonts w:hint="default" w:ascii="Arial" w:hAnsi="Arial" w:eastAsia="SimSun"/>
          <w:color w:val="auto"/>
          <w:sz w:val="22"/>
          <w:szCs w:val="22"/>
          <w:highlight w:val="none"/>
        </w:rPr>
        <w:t xml:space="preserve"> A licitante vencedora que descumprir quaisquer das condições deste instrumento ficará sujeita às penalidades previstas nos art. 86 e 87 da Lei 8.666/93, quais sejam:</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highlight w:val="none"/>
        </w:rPr>
      </w:pP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highlight w:val="none"/>
        </w:rPr>
      </w:pPr>
      <w:r>
        <w:rPr>
          <w:rFonts w:hint="default" w:ascii="Arial" w:hAnsi="Arial" w:eastAsia="SimSun"/>
          <w:b/>
          <w:bCs w:val="0"/>
          <w:color w:val="auto"/>
          <w:sz w:val="22"/>
          <w:szCs w:val="22"/>
          <w:highlight w:val="none"/>
          <w:lang w:val="pt-BR"/>
        </w:rPr>
        <w:t>20</w:t>
      </w:r>
      <w:r>
        <w:rPr>
          <w:rFonts w:hint="default" w:ascii="Arial" w:hAnsi="Arial" w:eastAsia="SimSun"/>
          <w:b/>
          <w:bCs w:val="0"/>
          <w:color w:val="auto"/>
          <w:sz w:val="22"/>
          <w:szCs w:val="22"/>
          <w:highlight w:val="none"/>
        </w:rPr>
        <w:t>.1.1.</w:t>
      </w:r>
      <w:r>
        <w:rPr>
          <w:rFonts w:hint="default" w:ascii="Arial" w:hAnsi="Arial" w:eastAsia="SimSun"/>
          <w:b w:val="0"/>
          <w:bCs/>
          <w:color w:val="auto"/>
          <w:sz w:val="22"/>
          <w:szCs w:val="22"/>
          <w:highlight w:val="none"/>
        </w:rPr>
        <w:t xml:space="preserve"> </w:t>
      </w:r>
      <w:r>
        <w:rPr>
          <w:rFonts w:hint="default" w:ascii="Arial" w:hAnsi="Arial" w:eastAsia="SimSun"/>
          <w:color w:val="auto"/>
          <w:sz w:val="22"/>
          <w:szCs w:val="22"/>
          <w:highlight w:val="none"/>
        </w:rPr>
        <w:t>Por atraso injustificado na execução do objeto:</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.1.1.1.</w:t>
      </w:r>
      <w:r>
        <w:rPr>
          <w:rFonts w:hint="default" w:ascii="Arial" w:hAnsi="Arial" w:eastAsia="SimSun"/>
          <w:color w:val="auto"/>
          <w:sz w:val="22"/>
          <w:szCs w:val="22"/>
        </w:rPr>
        <w:t xml:space="preserve"> Atraso em até de 50% além do tempo previsto para entrega ou execução, multa diária de 0,25% (vinte e cinco centésimos por cento</w:t>
      </w:r>
      <w:r>
        <w:rPr>
          <w:rFonts w:hint="default" w:ascii="Arial" w:hAnsi="Arial" w:eastAsia="SimSun"/>
          <w:color w:val="auto"/>
          <w:sz w:val="22"/>
          <w:szCs w:val="22"/>
          <w:lang w:val="pt-BR"/>
        </w:rPr>
        <w:t xml:space="preserve"> sobre o valor homologado</w:t>
      </w:r>
      <w:r>
        <w:rPr>
          <w:rFonts w:hint="default" w:ascii="Arial" w:hAnsi="Arial" w:eastAsia="SimSun"/>
          <w:color w:val="auto"/>
          <w:sz w:val="22"/>
          <w:szCs w:val="22"/>
        </w:rPr>
        <w:t>;</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.1.1.2.</w:t>
      </w:r>
      <w:r>
        <w:rPr>
          <w:rFonts w:hint="default" w:ascii="Arial" w:hAnsi="Arial" w:eastAsia="SimSun"/>
          <w:color w:val="auto"/>
          <w:sz w:val="22"/>
          <w:szCs w:val="22"/>
        </w:rPr>
        <w:t xml:space="preserve"> Atraso superior a 50%, multa diária de 0,50% (cinquenta centésimos por cento) sobre o total dos dias em atraso, sem prejuízo das demais cominações legais</w:t>
      </w:r>
      <w:r>
        <w:rPr>
          <w:rFonts w:hint="default" w:ascii="Arial" w:hAnsi="Arial" w:eastAsia="SimSun"/>
          <w:color w:val="auto"/>
          <w:sz w:val="22"/>
          <w:szCs w:val="22"/>
          <w:lang w:val="pt-BR"/>
        </w:rPr>
        <w:t xml:space="preserve"> considerando o valor homologado</w:t>
      </w:r>
      <w:r>
        <w:rPr>
          <w:rFonts w:hint="default" w:ascii="Arial" w:hAnsi="Arial" w:eastAsia="SimSun"/>
          <w:color w:val="auto"/>
          <w:sz w:val="22"/>
          <w:szCs w:val="22"/>
        </w:rPr>
        <w:t>;</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.1.1.3.</w:t>
      </w:r>
      <w:r>
        <w:rPr>
          <w:rFonts w:hint="default" w:ascii="Arial" w:hAnsi="Arial" w:eastAsia="SimSun"/>
          <w:color w:val="auto"/>
          <w:sz w:val="22"/>
          <w:szCs w:val="22"/>
        </w:rPr>
        <w:t xml:space="preserve"> No caso de atraso no recolhimento da multa aplicada, incidirá nova multa sobre o valor devido, equivalente a 0,20% (vinte centésimos por cento) até 10 (dez) dias de atraso e 0,40% (quarenta centésimos por cento) acima desse prazo, calculado sobre o total dos dias em atraso</w:t>
      </w:r>
      <w:r>
        <w:rPr>
          <w:rFonts w:hint="default" w:ascii="Arial" w:hAnsi="Arial" w:eastAsia="SimSun"/>
          <w:color w:val="auto"/>
          <w:sz w:val="22"/>
          <w:szCs w:val="22"/>
          <w:lang w:val="pt-BR"/>
        </w:rPr>
        <w:t xml:space="preserve"> considerando o valor homologado</w:t>
      </w:r>
      <w:r>
        <w:rPr>
          <w:rFonts w:hint="default" w:ascii="Arial" w:hAnsi="Arial" w:eastAsia="SimSun"/>
          <w:color w:val="auto"/>
          <w:sz w:val="22"/>
          <w:szCs w:val="22"/>
        </w:rPr>
        <w:t>;</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.1.2.</w:t>
      </w:r>
      <w:r>
        <w:rPr>
          <w:rFonts w:hint="default" w:ascii="Arial" w:hAnsi="Arial" w:eastAsia="SimSun"/>
          <w:b w:val="0"/>
          <w:bCs/>
          <w:color w:val="auto"/>
          <w:sz w:val="22"/>
          <w:szCs w:val="22"/>
        </w:rPr>
        <w:t xml:space="preserve"> </w:t>
      </w:r>
      <w:r>
        <w:rPr>
          <w:rFonts w:hint="default" w:ascii="Arial" w:hAnsi="Arial" w:eastAsia="SimSun"/>
          <w:color w:val="auto"/>
          <w:sz w:val="22"/>
          <w:szCs w:val="22"/>
        </w:rPr>
        <w:t>Pela inexecução parcial ou total das condições estabelecidas neste ato convocatório, a Prefeitura poderá garantida a prévia defesa, aplicar, também, as seguintes sanções:</w:t>
      </w: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.1.2.1.</w:t>
      </w:r>
      <w:r>
        <w:rPr>
          <w:rFonts w:hint="default" w:ascii="Arial" w:hAnsi="Arial" w:eastAsia="SimSun"/>
          <w:b/>
          <w:bCs w:val="0"/>
          <w:color w:val="auto"/>
          <w:sz w:val="22"/>
          <w:szCs w:val="22"/>
          <w:lang w:val="pt-BR"/>
        </w:rPr>
        <w:t xml:space="preserve"> </w:t>
      </w:r>
      <w:r>
        <w:rPr>
          <w:rFonts w:hint="default" w:ascii="Arial" w:hAnsi="Arial" w:eastAsia="SimSun"/>
          <w:b w:val="0"/>
          <w:bCs/>
          <w:color w:val="auto"/>
          <w:sz w:val="22"/>
          <w:szCs w:val="22"/>
          <w:lang w:val="pt-BR"/>
        </w:rPr>
        <w:t>A</w:t>
      </w:r>
      <w:r>
        <w:rPr>
          <w:rFonts w:hint="default" w:ascii="Arial" w:hAnsi="Arial" w:eastAsia="SimSun"/>
          <w:color w:val="auto"/>
          <w:sz w:val="22"/>
          <w:szCs w:val="22"/>
        </w:rPr>
        <w:t>dvertência;</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tabs>
          <w:tab w:val="left" w:pos="993"/>
        </w:tabs>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.1.2.2.</w:t>
      </w:r>
      <w:r>
        <w:rPr>
          <w:rFonts w:hint="default" w:ascii="Arial" w:hAnsi="Arial" w:eastAsia="SimSun"/>
          <w:color w:val="auto"/>
          <w:sz w:val="22"/>
          <w:szCs w:val="22"/>
        </w:rPr>
        <w:tab/>
      </w:r>
      <w:r>
        <w:rPr>
          <w:rFonts w:hint="default" w:ascii="Arial" w:hAnsi="Arial" w:eastAsia="SimSun"/>
          <w:color w:val="auto"/>
          <w:sz w:val="22"/>
          <w:szCs w:val="22"/>
          <w:lang w:val="pt-BR"/>
        </w:rPr>
        <w:t>M</w:t>
      </w:r>
      <w:r>
        <w:rPr>
          <w:rFonts w:hint="default" w:ascii="Arial" w:hAnsi="Arial" w:eastAsia="SimSun"/>
          <w:color w:val="auto"/>
          <w:sz w:val="22"/>
          <w:szCs w:val="22"/>
        </w:rPr>
        <w:t>ulta de até 20% (vinte por cento) sobre o valor homologado, atualizado, recolhida no prazo de 15 (quinze) dias corridos, contados da comunicação oficial, sem embargo de indenização dos prejuízos porventura causados a Prefeitura Municipal de Primavera do Leste;</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tabs>
          <w:tab w:val="left" w:pos="993"/>
        </w:tabs>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.1.2.3.</w:t>
      </w:r>
      <w:r>
        <w:rPr>
          <w:rFonts w:hint="default" w:ascii="Arial" w:hAnsi="Arial" w:eastAsia="SimSun"/>
          <w:color w:val="auto"/>
          <w:sz w:val="22"/>
          <w:szCs w:val="22"/>
        </w:rPr>
        <w:tab/>
      </w:r>
      <w:r>
        <w:rPr>
          <w:rFonts w:hint="default" w:ascii="Arial" w:hAnsi="Arial" w:eastAsia="SimSun"/>
          <w:color w:val="auto"/>
          <w:sz w:val="22"/>
          <w:szCs w:val="22"/>
          <w:lang w:val="pt-BR"/>
        </w:rPr>
        <w:t>S</w:t>
      </w:r>
      <w:r>
        <w:rPr>
          <w:rFonts w:hint="default" w:ascii="Arial" w:hAnsi="Arial" w:eastAsia="SimSun"/>
          <w:color w:val="auto"/>
          <w:sz w:val="22"/>
          <w:szCs w:val="22"/>
        </w:rPr>
        <w:t xml:space="preserve">uspensão temporária de participação em licitação e impedimento de licitar e contratar com a Administração Pública Municipal, bem como o cancelamento de seu certificado de registro cadastral no cadastro de fornecedores da Prefeitura Municipal de Primavera do Leste por prazo não superior a 02 (dois) anos; </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tabs>
          <w:tab w:val="left" w:pos="993"/>
        </w:tabs>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.1.2.4.</w:t>
      </w:r>
      <w:r>
        <w:rPr>
          <w:rFonts w:hint="default" w:ascii="Arial" w:hAnsi="Arial" w:eastAsia="SimSun"/>
          <w:b w:val="0"/>
          <w:bCs/>
          <w:color w:val="auto"/>
          <w:sz w:val="22"/>
          <w:szCs w:val="22"/>
        </w:rPr>
        <w:tab/>
      </w:r>
      <w:r>
        <w:rPr>
          <w:rFonts w:hint="default" w:ascii="Arial" w:hAnsi="Arial" w:eastAsia="SimSun"/>
          <w:b w:val="0"/>
          <w:bCs/>
          <w:color w:val="auto"/>
          <w:sz w:val="22"/>
          <w:szCs w:val="22"/>
          <w:lang w:val="pt-BR"/>
        </w:rPr>
        <w:t>D</w:t>
      </w:r>
      <w:r>
        <w:rPr>
          <w:rFonts w:hint="default" w:ascii="Arial" w:hAnsi="Arial" w:eastAsia="SimSun"/>
          <w:color w:val="auto"/>
          <w:sz w:val="22"/>
          <w:szCs w:val="22"/>
        </w:rPr>
        <w:t>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.2.</w:t>
      </w:r>
      <w:r>
        <w:rPr>
          <w:rFonts w:hint="default" w:ascii="Arial" w:hAnsi="Arial" w:eastAsia="SimSun"/>
          <w:color w:val="auto"/>
          <w:sz w:val="22"/>
          <w:szCs w:val="22"/>
        </w:rPr>
        <w:t xml:space="preserve"> As multas serão descontadas dos créditos da empresa detentora da ata ou cobradas administrativa ou judicialmente; </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.3.</w:t>
      </w:r>
      <w:r>
        <w:rPr>
          <w:rFonts w:hint="default" w:ascii="Arial" w:hAnsi="Arial" w:eastAsia="SimSun"/>
          <w:color w:val="auto"/>
          <w:sz w:val="22"/>
          <w:szCs w:val="22"/>
        </w:rPr>
        <w:t xml:space="preserve"> As penalidades previstas neste item têm caráter de sanção administrativa, consequentemente, a sua aplicação não exime a empresa detentora da ata, da reparação das eventuais perdas e danos que seu ato venha acarretar à Prefeitura Municipal de Primavera do Leste;</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.4.</w:t>
      </w:r>
      <w:r>
        <w:rPr>
          <w:rFonts w:hint="default" w:ascii="Arial" w:hAnsi="Arial" w:eastAsia="SimSun"/>
          <w:color w:val="auto"/>
          <w:sz w:val="22"/>
          <w:szCs w:val="22"/>
        </w:rPr>
        <w:t xml:space="preserve"> As penalidades são independentes e a aplicação de uma não exclui a das demais, quando cabíveis; </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tabs>
          <w:tab w:val="left" w:pos="-6521"/>
          <w:tab w:val="left" w:pos="851"/>
        </w:tabs>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.5.</w:t>
      </w:r>
      <w:r>
        <w:rPr>
          <w:rFonts w:hint="default" w:ascii="Arial" w:hAnsi="Arial" w:eastAsia="SimSun"/>
          <w:b w:val="0"/>
          <w:bCs/>
          <w:color w:val="auto"/>
          <w:sz w:val="22"/>
          <w:szCs w:val="22"/>
        </w:rPr>
        <w:t xml:space="preserve"> </w:t>
      </w:r>
      <w:r>
        <w:rPr>
          <w:rFonts w:hint="default" w:ascii="Arial" w:hAnsi="Arial" w:eastAsia="SimSun"/>
          <w:color w:val="auto"/>
          <w:sz w:val="22"/>
          <w:szCs w:val="22"/>
        </w:rPr>
        <w:t>Desclassificação ou inabilitação caso o procedimento se encontre em fase de julgamento;</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.5.</w:t>
      </w:r>
      <w:r>
        <w:rPr>
          <w:rFonts w:hint="default" w:ascii="Arial" w:hAnsi="Arial" w:eastAsia="SimSun"/>
          <w:b/>
          <w:bCs w:val="0"/>
          <w:color w:val="auto"/>
          <w:sz w:val="22"/>
          <w:szCs w:val="22"/>
          <w:lang w:val="pt-BR"/>
        </w:rPr>
        <w:t>1</w:t>
      </w:r>
      <w:r>
        <w:rPr>
          <w:rFonts w:hint="default" w:ascii="Arial" w:hAnsi="Arial" w:eastAsia="SimSun"/>
          <w:b/>
          <w:bCs w:val="0"/>
          <w:color w:val="auto"/>
          <w:sz w:val="22"/>
          <w:szCs w:val="22"/>
        </w:rPr>
        <w:t>.</w:t>
      </w:r>
      <w:r>
        <w:rPr>
          <w:rFonts w:hint="default" w:ascii="Arial" w:hAnsi="Arial" w:eastAsia="SimSun"/>
          <w:color w:val="auto"/>
          <w:sz w:val="22"/>
          <w:szCs w:val="22"/>
        </w:rPr>
        <w:t xml:space="preserve"> Cancelamento da ata de registro de preços, se esta já estiver assinada, procedendo-se a paralisação do fornecimento;</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widowControl w:val="0"/>
        <w:autoSpaceDE w:val="0"/>
        <w:autoSpaceDN w:val="0"/>
        <w:adjustRightInd w:val="0"/>
        <w:spacing w:beforeLines="0" w:after="120" w:afterLines="0" w:line="360" w:lineRule="auto"/>
        <w:ind w:right="240" w:rightChars="100"/>
        <w:jc w:val="both"/>
        <w:rPr>
          <w:rFonts w:hint="default" w:ascii="Arial" w:hAnsi="Arial" w:eastAsia="SimSun"/>
          <w:color w:val="auto"/>
          <w:sz w:val="22"/>
          <w:szCs w:val="22"/>
        </w:rPr>
      </w:pPr>
      <w:r>
        <w:rPr>
          <w:rFonts w:hint="default" w:ascii="Arial" w:hAnsi="Arial" w:eastAsia="SimSun"/>
          <w:b/>
          <w:bCs w:val="0"/>
          <w:color w:val="auto"/>
          <w:sz w:val="22"/>
          <w:szCs w:val="22"/>
          <w:lang w:val="pt-BR"/>
        </w:rPr>
        <w:t>20</w:t>
      </w:r>
      <w:r>
        <w:rPr>
          <w:rFonts w:hint="default" w:ascii="Arial" w:hAnsi="Arial" w:eastAsia="SimSun"/>
          <w:b/>
          <w:bCs w:val="0"/>
          <w:color w:val="auto"/>
          <w:sz w:val="22"/>
          <w:szCs w:val="22"/>
        </w:rPr>
        <w:t xml:space="preserve">.6. </w:t>
      </w:r>
      <w:r>
        <w:rPr>
          <w:rFonts w:hint="default" w:ascii="Arial" w:hAnsi="Arial" w:eastAsia="SimSun"/>
          <w:color w:val="auto"/>
          <w:sz w:val="22"/>
          <w:szCs w:val="22"/>
        </w:rPr>
        <w:t>As penalidades serão obrigatoriamente registradas no Sistema de Cadastramento de Fornecedores da Prefeitura Municipal de Primavera do Leste, e no caso de ficar impedida de licitar e contratar, a licitante deverá ser descredenciada por igual período, sem prejuízo das multas previstas neste Edital e das demais cominações legais;</w:t>
      </w:r>
    </w:p>
    <w:p>
      <w:pPr>
        <w:pStyle w:val="86"/>
        <w:widowControl w:val="0"/>
        <w:numPr>
          <w:ilvl w:val="0"/>
          <w:numId w:val="23"/>
        </w:numPr>
        <w:tabs>
          <w:tab w:val="left" w:pos="567"/>
        </w:tabs>
        <w:spacing w:beforeLines="0" w:after="120" w:afterLines="0" w:line="360" w:lineRule="auto"/>
        <w:ind w:right="240" w:rightChars="100"/>
        <w:jc w:val="both"/>
        <w:rPr>
          <w:rFonts w:hint="default" w:ascii="Arial" w:hAnsi="Arial" w:eastAsia="SimSun"/>
          <w:b/>
          <w:vanish/>
          <w:color w:val="auto"/>
          <w:sz w:val="22"/>
          <w:szCs w:val="22"/>
        </w:rPr>
      </w:pPr>
    </w:p>
    <w:p>
      <w:pPr>
        <w:numPr>
          <w:ilvl w:val="0"/>
          <w:numId w:val="0"/>
        </w:numPr>
        <w:spacing w:after="120" w:line="360" w:lineRule="auto"/>
        <w:jc w:val="both"/>
        <w:rPr>
          <w:rFonts w:hint="default" w:ascii="Arial" w:hAnsi="Arial" w:eastAsia="Calibri" w:cs="Arial"/>
          <w:b/>
          <w:color w:val="auto"/>
          <w:sz w:val="22"/>
          <w:szCs w:val="22"/>
          <w:lang w:val="pt-BR" w:eastAsia="en-US"/>
        </w:rPr>
      </w:pPr>
      <w:r>
        <w:rPr>
          <w:rFonts w:hint="default" w:ascii="Arial" w:hAnsi="Arial" w:eastAsia="SimSun"/>
          <w:b/>
          <w:bCs/>
          <w:color w:val="auto"/>
          <w:sz w:val="22"/>
          <w:szCs w:val="22"/>
          <w:lang w:val="pt-BR"/>
        </w:rPr>
        <w:t>20.7.</w:t>
      </w:r>
      <w:r>
        <w:rPr>
          <w:rFonts w:hint="default" w:ascii="Arial" w:hAnsi="Arial" w:eastAsia="SimSun"/>
          <w:b/>
          <w:bCs/>
          <w:color w:val="auto"/>
          <w:sz w:val="22"/>
          <w:szCs w:val="22"/>
        </w:rPr>
        <w:t xml:space="preserve"> </w:t>
      </w:r>
      <w:r>
        <w:rPr>
          <w:rFonts w:hint="default" w:ascii="Arial" w:hAnsi="Arial" w:eastAsia="SimSun"/>
          <w:color w:val="auto"/>
          <w:sz w:val="22"/>
          <w:szCs w:val="22"/>
        </w:rPr>
        <w:t>Do ato que aplicar a penalidade caberá recurso, no prazo de 05 (cinco) dias úteis, a contar da ciência da intimação, podendo a Administração reconsiderar sua decisão ou nesse prazo encaminhá-lo devidamente informados para a apreciação e decisão superior, dentro do mesmo prazo</w:t>
      </w:r>
      <w:r>
        <w:rPr>
          <w:rFonts w:hint="default" w:ascii="Arial" w:hAnsi="Arial" w:eastAsia="SimSun"/>
          <w:color w:val="auto"/>
          <w:sz w:val="22"/>
          <w:szCs w:val="22"/>
          <w:lang w:val="pt-BR"/>
        </w:rPr>
        <w:t>.</w:t>
      </w:r>
    </w:p>
    <w:p>
      <w:pPr>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b/>
          <w:color w:val="auto"/>
          <w:sz w:val="22"/>
          <w:szCs w:val="22"/>
          <w:lang w:val="pt-BR"/>
        </w:rPr>
      </w:pPr>
    </w:p>
    <w:p>
      <w:pPr>
        <w:numPr>
          <w:ilvl w:val="0"/>
          <w:numId w:val="31"/>
        </w:numPr>
        <w:spacing w:after="120" w:line="360" w:lineRule="auto"/>
        <w:ind w:left="0" w:leftChars="0" w:firstLine="0" w:firstLineChars="0"/>
        <w:jc w:val="both"/>
        <w:rPr>
          <w:rFonts w:hint="default" w:ascii="Arial" w:hAnsi="Arial" w:cs="Arial"/>
          <w:b/>
          <w:bCs/>
          <w:color w:val="auto"/>
          <w:sz w:val="22"/>
          <w:szCs w:val="22"/>
          <w:lang w:val="pt-BR"/>
        </w:rPr>
      </w:pPr>
      <w:r>
        <w:rPr>
          <w:rFonts w:hint="default" w:ascii="Arial" w:hAnsi="Arial" w:cs="Arial"/>
          <w:b/>
          <w:bCs/>
          <w:color w:val="auto"/>
          <w:sz w:val="22"/>
          <w:szCs w:val="22"/>
          <w:lang w:val="pt-BR"/>
        </w:rPr>
        <w:t>CLÁUSULA VIGÉSIMA PRIMEIRA: DA GARANTIA E ASSISTÊNCIA TÉCNICA</w:t>
      </w:r>
    </w:p>
    <w:p>
      <w:pPr>
        <w:numPr>
          <w:ilvl w:val="0"/>
          <w:numId w:val="0"/>
        </w:numPr>
        <w:spacing w:after="120" w:line="360" w:lineRule="auto"/>
        <w:ind w:leftChars="0"/>
        <w:jc w:val="both"/>
        <w:rPr>
          <w:rFonts w:hint="default" w:ascii="Arial" w:hAnsi="Arial" w:cs="Arial"/>
          <w:b w:val="0"/>
          <w:bCs w:val="0"/>
          <w:color w:val="auto"/>
          <w:sz w:val="22"/>
          <w:szCs w:val="22"/>
          <w:lang w:val="pt-BR"/>
        </w:rPr>
      </w:pPr>
      <w:r>
        <w:rPr>
          <w:rFonts w:hint="default" w:ascii="Arial" w:hAnsi="Arial" w:cs="Arial"/>
          <w:b/>
          <w:bCs/>
          <w:color w:val="auto"/>
          <w:sz w:val="22"/>
          <w:szCs w:val="22"/>
          <w:lang w:val="pt-BR"/>
        </w:rPr>
        <w:t>21.1.</w:t>
      </w:r>
      <w:r>
        <w:rPr>
          <w:rFonts w:hint="default" w:ascii="Arial" w:hAnsi="Arial" w:cs="Arial"/>
          <w:b w:val="0"/>
          <w:bCs w:val="0"/>
          <w:color w:val="auto"/>
          <w:sz w:val="22"/>
          <w:szCs w:val="22"/>
          <w:lang w:val="pt-BR"/>
        </w:rPr>
        <w:t xml:space="preserve"> Não se aplica.</w:t>
      </w:r>
    </w:p>
    <w:p>
      <w:pPr>
        <w:numPr>
          <w:ilvl w:val="0"/>
          <w:numId w:val="0"/>
        </w:numPr>
        <w:spacing w:after="120" w:line="360" w:lineRule="auto"/>
        <w:ind w:leftChars="0"/>
        <w:jc w:val="both"/>
        <w:rPr>
          <w:rFonts w:hint="default" w:ascii="Arial" w:hAnsi="Arial" w:cs="Arial"/>
          <w:b w:val="0"/>
          <w:bCs w:val="0"/>
          <w:color w:val="auto"/>
          <w:sz w:val="22"/>
          <w:szCs w:val="22"/>
          <w:lang w:val="pt-BR"/>
        </w:rPr>
      </w:pPr>
    </w:p>
    <w:p>
      <w:pPr>
        <w:numPr>
          <w:ilvl w:val="0"/>
          <w:numId w:val="31"/>
        </w:numPr>
        <w:spacing w:after="120" w:line="360" w:lineRule="auto"/>
        <w:ind w:left="0" w:leftChars="0" w:firstLine="0" w:firstLineChars="0"/>
        <w:jc w:val="both"/>
        <w:rPr>
          <w:rFonts w:hint="default" w:ascii="Arial" w:hAnsi="Arial" w:cs="Arial"/>
          <w:b/>
          <w:bCs/>
          <w:color w:val="auto"/>
          <w:sz w:val="22"/>
          <w:szCs w:val="22"/>
          <w:lang w:val="pt-BR"/>
        </w:rPr>
      </w:pPr>
      <w:r>
        <w:rPr>
          <w:rFonts w:hint="default" w:ascii="Arial" w:hAnsi="Arial" w:cs="Arial"/>
          <w:b/>
          <w:bCs/>
          <w:color w:val="auto"/>
          <w:sz w:val="22"/>
          <w:szCs w:val="22"/>
          <w:lang w:val="pt-BR"/>
        </w:rPr>
        <w:t>CLÁUSULA VIGÉSIMA SEGUNDA: DA COMPROVAÇÃO TÉCNICA, OPERACIONAL E FINANCEIRA</w:t>
      </w:r>
    </w:p>
    <w:p>
      <w:pPr>
        <w:pStyle w:val="42"/>
        <w:widowControl w:val="0"/>
        <w:numPr>
          <w:ilvl w:val="0"/>
          <w:numId w:val="0"/>
        </w:numPr>
        <w:tabs>
          <w:tab w:val="left" w:pos="0"/>
          <w:tab w:val="left" w:pos="993"/>
          <w:tab w:val="left" w:pos="1134"/>
          <w:tab w:val="clear" w:pos="4419"/>
          <w:tab w:val="clear" w:pos="8838"/>
        </w:tabs>
        <w:spacing w:after="120" w:line="360" w:lineRule="auto"/>
        <w:jc w:val="both"/>
        <w:rPr>
          <w:rFonts w:hint="default" w:ascii="Arial" w:hAnsi="Arial" w:eastAsia="SimSun"/>
          <w:color w:val="auto"/>
          <w:sz w:val="22"/>
          <w:szCs w:val="22"/>
          <w:lang w:eastAsia="en-US"/>
        </w:rPr>
      </w:pPr>
      <w:r>
        <w:rPr>
          <w:rFonts w:hint="default" w:ascii="Arial" w:hAnsi="Arial"/>
          <w:b/>
          <w:bCs w:val="0"/>
          <w:color w:val="auto"/>
          <w:sz w:val="22"/>
          <w:szCs w:val="22"/>
          <w:lang w:val="pt-BR"/>
        </w:rPr>
        <w:t>22.1.</w:t>
      </w:r>
      <w:r>
        <w:rPr>
          <w:rFonts w:hint="default" w:ascii="Arial" w:hAnsi="Arial" w:eastAsia="SimSun"/>
          <w:b w:val="0"/>
          <w:bCs/>
          <w:color w:val="auto"/>
          <w:sz w:val="22"/>
          <w:szCs w:val="22"/>
        </w:rPr>
        <w:t xml:space="preserve"> </w:t>
      </w:r>
      <w:r>
        <w:rPr>
          <w:rFonts w:hint="default" w:ascii="Arial" w:hAnsi="Arial" w:eastAsia="SimSun"/>
          <w:color w:val="auto"/>
          <w:sz w:val="22"/>
          <w:szCs w:val="22"/>
          <w:lang w:eastAsia="en-US"/>
        </w:rPr>
        <w:t xml:space="preserve">Os licitantes que </w:t>
      </w:r>
      <w:r>
        <w:rPr>
          <w:rFonts w:hint="default" w:ascii="Arial" w:hAnsi="Arial" w:eastAsia="SimSun"/>
          <w:b/>
          <w:color w:val="auto"/>
          <w:sz w:val="22"/>
          <w:szCs w:val="22"/>
          <w:u w:val="single"/>
          <w:lang w:eastAsia="en-US"/>
        </w:rPr>
        <w:t xml:space="preserve">TIVEREM ou NÃO </w:t>
      </w:r>
      <w:r>
        <w:rPr>
          <w:rFonts w:hint="default" w:ascii="Arial" w:hAnsi="Arial" w:eastAsia="SimSun"/>
          <w:color w:val="auto"/>
          <w:sz w:val="22"/>
          <w:szCs w:val="22"/>
          <w:u w:val="single"/>
          <w:lang w:eastAsia="en-US"/>
        </w:rPr>
        <w:t>CRC - Certificado de Registro Cadastral</w:t>
      </w:r>
      <w:r>
        <w:rPr>
          <w:rFonts w:hint="default" w:ascii="Arial" w:hAnsi="Arial" w:eastAsia="SimSun"/>
          <w:b/>
          <w:color w:val="auto"/>
          <w:sz w:val="22"/>
          <w:szCs w:val="22"/>
          <w:u w:val="single"/>
          <w:lang w:eastAsia="en-US"/>
        </w:rPr>
        <w:t xml:space="preserve"> </w:t>
      </w:r>
      <w:r>
        <w:rPr>
          <w:rFonts w:hint="default" w:ascii="Arial" w:hAnsi="Arial" w:eastAsia="SimSun"/>
          <w:color w:val="auto"/>
          <w:sz w:val="22"/>
          <w:szCs w:val="22"/>
          <w:lang w:eastAsia="en-US"/>
        </w:rPr>
        <w:t xml:space="preserve">emitido pela Prefeitura Municipal de Primavera do Leste - MT devidamente válido, </w:t>
      </w:r>
      <w:r>
        <w:rPr>
          <w:rFonts w:hint="default" w:ascii="Arial" w:hAnsi="Arial" w:eastAsia="SimSun"/>
          <w:b/>
          <w:color w:val="auto"/>
          <w:sz w:val="22"/>
          <w:szCs w:val="22"/>
          <w:u w:val="single"/>
          <w:lang w:eastAsia="en-US"/>
        </w:rPr>
        <w:t>deverão</w:t>
      </w:r>
      <w:r>
        <w:rPr>
          <w:rFonts w:hint="default" w:ascii="Arial" w:hAnsi="Arial" w:eastAsia="SimSun"/>
          <w:color w:val="auto"/>
          <w:sz w:val="22"/>
          <w:szCs w:val="22"/>
          <w:lang w:eastAsia="en-US"/>
        </w:rPr>
        <w:t xml:space="preserve"> apresentar a seguinte documentação relativa à</w:t>
      </w:r>
      <w:r>
        <w:rPr>
          <w:rFonts w:hint="default" w:ascii="Arial" w:hAnsi="Arial" w:eastAsia="SimSun"/>
          <w:b/>
          <w:color w:val="auto"/>
          <w:sz w:val="22"/>
          <w:szCs w:val="22"/>
          <w:lang w:eastAsia="en-US"/>
        </w:rPr>
        <w:t xml:space="preserve"> Qualificação Técnica</w:t>
      </w:r>
      <w:r>
        <w:rPr>
          <w:rFonts w:hint="default" w:ascii="Arial" w:hAnsi="Arial" w:eastAsia="SimSun"/>
          <w:color w:val="auto"/>
          <w:sz w:val="22"/>
          <w:szCs w:val="22"/>
          <w:lang w:eastAsia="en-US"/>
        </w:rPr>
        <w:t>:</w:t>
      </w:r>
    </w:p>
    <w:p>
      <w:pPr>
        <w:pStyle w:val="42"/>
        <w:widowControl w:val="0"/>
        <w:numPr>
          <w:ilvl w:val="0"/>
          <w:numId w:val="0"/>
        </w:numPr>
        <w:tabs>
          <w:tab w:val="left" w:pos="-7797"/>
          <w:tab w:val="left" w:pos="993"/>
          <w:tab w:val="left" w:pos="1134"/>
          <w:tab w:val="left" w:pos="2127"/>
          <w:tab w:val="left" w:pos="2268"/>
          <w:tab w:val="clear" w:pos="4419"/>
          <w:tab w:val="clear" w:pos="8838"/>
        </w:tabs>
        <w:autoSpaceDE w:val="0"/>
        <w:autoSpaceDN w:val="0"/>
        <w:adjustRightInd w:val="0"/>
        <w:spacing w:after="120" w:line="360" w:lineRule="auto"/>
        <w:ind w:right="240" w:rightChars="100"/>
        <w:jc w:val="both"/>
        <w:rPr>
          <w:rFonts w:hint="default" w:ascii="Arial" w:hAnsi="Arial" w:eastAsia="SimSun"/>
          <w:color w:val="auto"/>
          <w:sz w:val="22"/>
          <w:szCs w:val="22"/>
          <w:lang w:val="pt-BR"/>
        </w:rPr>
      </w:pPr>
      <w:r>
        <w:rPr>
          <w:rFonts w:hint="default" w:ascii="Arial" w:hAnsi="Arial"/>
          <w:b/>
          <w:bCs w:val="0"/>
          <w:color w:val="auto"/>
          <w:sz w:val="22"/>
          <w:szCs w:val="22"/>
          <w:lang w:val="pt-BR"/>
        </w:rPr>
        <w:t>22.1.1</w:t>
      </w:r>
      <w:r>
        <w:rPr>
          <w:rFonts w:hint="default" w:ascii="Arial" w:hAnsi="Arial"/>
          <w:b/>
          <w:color w:val="auto"/>
          <w:sz w:val="22"/>
          <w:szCs w:val="22"/>
          <w:lang w:val="pt-BR"/>
        </w:rPr>
        <w:t xml:space="preserve">. </w:t>
      </w:r>
      <w:r>
        <w:rPr>
          <w:rFonts w:hint="default" w:ascii="Arial" w:hAnsi="Arial" w:eastAsia="SimSun"/>
          <w:b/>
          <w:color w:val="auto"/>
          <w:sz w:val="22"/>
          <w:szCs w:val="22"/>
        </w:rPr>
        <w:t>Um ou mais Atestado</w:t>
      </w:r>
      <w:r>
        <w:rPr>
          <w:rFonts w:hint="default" w:ascii="Arial" w:hAnsi="Arial" w:eastAsia="SimSun"/>
          <w:b/>
          <w:color w:val="auto"/>
          <w:sz w:val="22"/>
          <w:szCs w:val="22"/>
          <w:lang w:val="pt-BR"/>
        </w:rPr>
        <w:t>s</w:t>
      </w:r>
      <w:r>
        <w:rPr>
          <w:rFonts w:hint="default" w:ascii="Arial" w:hAnsi="Arial" w:eastAsia="SimSun"/>
          <w:b/>
          <w:color w:val="auto"/>
          <w:sz w:val="22"/>
          <w:szCs w:val="22"/>
        </w:rPr>
        <w:t xml:space="preserve"> de Capacidade Técnica</w:t>
      </w:r>
      <w:r>
        <w:rPr>
          <w:rFonts w:hint="default" w:ascii="Arial" w:hAnsi="Arial" w:eastAsia="SimSun"/>
          <w:color w:val="auto"/>
          <w:sz w:val="22"/>
          <w:szCs w:val="22"/>
        </w:rPr>
        <w:t>, expedido por pessoa jurídica de direito público ou privado, que expressamente consignem a aptidão da licitante para desempenho satisfatório de atividade pertinente e compatível em características, quantidades e prazos com o objeto da presente licitação. Podendo ser exigido da proposta melhor classificada, que apresente cópia autenticada do contrato da prestação do serviço ou da nota fiscal, que deram origem ao Atestado. Se o atestado for emitido por pessoa jurídica de direito privado, este deverá ser emitido preferencialmente em papel timbrado do emitente contendo razão social, CNPJ, endereço e telefone da pessoa jurídica que emitiu o atestado, data de emissão e identificação do responsável pela emissão do atestado (nome, cargo e assinatura) e deverá constar o reconhecimento de firma passado em cartório do titular da empresa que firmou a declaração</w:t>
      </w:r>
      <w:r>
        <w:rPr>
          <w:rFonts w:hint="default" w:ascii="Arial" w:hAnsi="Arial"/>
          <w:color w:val="auto"/>
          <w:sz w:val="22"/>
          <w:szCs w:val="22"/>
          <w:lang w:val="pt-BR"/>
        </w:rPr>
        <w:t>;</w:t>
      </w:r>
    </w:p>
    <w:p>
      <w:pPr>
        <w:pStyle w:val="42"/>
        <w:widowControl w:val="0"/>
        <w:numPr>
          <w:ilvl w:val="0"/>
          <w:numId w:val="0"/>
        </w:numPr>
        <w:tabs>
          <w:tab w:val="left" w:pos="-7797"/>
          <w:tab w:val="left" w:pos="993"/>
          <w:tab w:val="left" w:pos="1134"/>
          <w:tab w:val="left" w:pos="2127"/>
          <w:tab w:val="left" w:pos="2268"/>
          <w:tab w:val="clear" w:pos="4419"/>
          <w:tab w:val="clear" w:pos="8838"/>
        </w:tabs>
        <w:autoSpaceDE w:val="0"/>
        <w:autoSpaceDN w:val="0"/>
        <w:adjustRightInd w:val="0"/>
        <w:spacing w:after="120" w:line="360" w:lineRule="auto"/>
        <w:ind w:right="240" w:rightChars="100"/>
        <w:jc w:val="both"/>
        <w:rPr>
          <w:rFonts w:hint="default" w:ascii="Arial" w:hAnsi="Arial" w:eastAsia="SimSun"/>
          <w:color w:val="auto"/>
          <w:sz w:val="22"/>
          <w:szCs w:val="22"/>
          <w:lang w:val="pt-BR"/>
        </w:rPr>
      </w:pPr>
      <w:r>
        <w:rPr>
          <w:rFonts w:hint="default" w:ascii="Arial" w:hAnsi="Arial"/>
          <w:b/>
          <w:bCs w:val="0"/>
          <w:color w:val="auto"/>
          <w:sz w:val="22"/>
          <w:szCs w:val="22"/>
          <w:lang w:val="pt-BR"/>
        </w:rPr>
        <w:t>22.1.1.1.</w:t>
      </w:r>
      <w:r>
        <w:rPr>
          <w:rFonts w:hint="default" w:ascii="Arial" w:hAnsi="Arial" w:eastAsia="SimSun"/>
          <w:b w:val="0"/>
          <w:bCs/>
          <w:color w:val="auto"/>
          <w:sz w:val="22"/>
          <w:szCs w:val="22"/>
        </w:rPr>
        <w:t xml:space="preserve"> </w:t>
      </w:r>
      <w:r>
        <w:rPr>
          <w:rFonts w:hint="default" w:ascii="Arial" w:hAnsi="Arial" w:eastAsia="SimSun"/>
          <w:color w:val="auto"/>
          <w:sz w:val="22"/>
          <w:szCs w:val="22"/>
        </w:rPr>
        <w:t>O Município de Primavera do Leste para comprovar a veracidade dos atestados, poderá requisitar cópias dos respectivos contratos e aditivos e/ou outros documentos comprobatórios do conteúdo declarado</w:t>
      </w:r>
      <w:r>
        <w:rPr>
          <w:rFonts w:hint="default" w:ascii="Arial" w:hAnsi="Arial" w:eastAsia="SimSun"/>
          <w:color w:val="auto"/>
          <w:sz w:val="22"/>
          <w:szCs w:val="22"/>
          <w:lang w:val="pt-BR"/>
        </w:rPr>
        <w:t>.</w:t>
      </w:r>
    </w:p>
    <w:p>
      <w:pPr>
        <w:widowControl w:val="0"/>
        <w:spacing w:after="120" w:line="360" w:lineRule="auto"/>
        <w:ind w:right="84" w:rightChars="35"/>
        <w:jc w:val="both"/>
        <w:rPr>
          <w:rFonts w:hint="default" w:ascii="Arial" w:hAnsi="Arial" w:eastAsia="Times New Roman"/>
          <w:b/>
          <w:sz w:val="22"/>
          <w:szCs w:val="22"/>
        </w:rPr>
      </w:pPr>
      <w:r>
        <w:rPr>
          <w:rFonts w:hint="default" w:ascii="Arial" w:hAnsi="Arial" w:eastAsia="SimSun" w:cs="Arial"/>
          <w:b/>
          <w:bCs/>
          <w:color w:val="auto"/>
          <w:sz w:val="22"/>
          <w:szCs w:val="22"/>
          <w:lang w:val="pt-BR"/>
        </w:rPr>
        <w:t>22.11.</w:t>
      </w:r>
      <w:r>
        <w:rPr>
          <w:rFonts w:hint="default" w:ascii="Arial" w:hAnsi="Arial" w:eastAsia="SimSun" w:cs="Arial"/>
          <w:color w:val="auto"/>
          <w:sz w:val="22"/>
          <w:szCs w:val="22"/>
          <w:lang w:val="pt-BR"/>
        </w:rPr>
        <w:t xml:space="preserve"> </w:t>
      </w:r>
      <w:r>
        <w:rPr>
          <w:rFonts w:hint="default" w:ascii="Arial" w:hAnsi="Arial" w:eastAsia="Times New Roman"/>
          <w:b/>
          <w:sz w:val="22"/>
          <w:szCs w:val="22"/>
        </w:rPr>
        <w:t xml:space="preserve">A documentação relativa à Qualificação Econômico-Financeira </w:t>
      </w:r>
      <w:r>
        <w:rPr>
          <w:rFonts w:hint="default" w:ascii="Arial" w:hAnsi="Arial" w:eastAsia="Times New Roman"/>
          <w:sz w:val="22"/>
          <w:szCs w:val="22"/>
        </w:rPr>
        <w:t>consistirá na apresentação dos seguintes documentos:</w:t>
      </w:r>
    </w:p>
    <w:p>
      <w:pPr>
        <w:widowControl w:val="0"/>
        <w:spacing w:after="120" w:line="360" w:lineRule="auto"/>
        <w:ind w:right="84" w:rightChars="35"/>
        <w:jc w:val="both"/>
        <w:rPr>
          <w:rFonts w:hint="default" w:ascii="Arial" w:hAnsi="Arial" w:eastAsia="Times New Roman"/>
          <w:sz w:val="22"/>
          <w:szCs w:val="22"/>
        </w:rPr>
      </w:pPr>
      <w:r>
        <w:rPr>
          <w:rFonts w:hint="default" w:ascii="Arial" w:hAnsi="Arial" w:eastAsia="Times New Roman"/>
          <w:b/>
          <w:sz w:val="22"/>
          <w:szCs w:val="22"/>
        </w:rPr>
        <w:t>a) Balanço patrimonial</w:t>
      </w:r>
      <w:r>
        <w:rPr>
          <w:rFonts w:hint="default" w:ascii="Arial" w:hAnsi="Arial" w:eastAsia="Times New Roman"/>
          <w:sz w:val="22"/>
          <w:szCs w:val="22"/>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w:t>
      </w:r>
      <w:r>
        <w:rPr>
          <w:rFonts w:hint="default" w:ascii="Arial" w:hAnsi="Arial"/>
          <w:sz w:val="22"/>
          <w:szCs w:val="22"/>
          <w:lang w:val="pt-BR"/>
        </w:rPr>
        <w:t xml:space="preserve"> </w:t>
      </w:r>
      <w:r>
        <w:rPr>
          <w:rFonts w:hint="default" w:ascii="Arial" w:hAnsi="Arial" w:eastAsia="Times New Roman"/>
          <w:sz w:val="22"/>
          <w:szCs w:val="22"/>
        </w:rPr>
        <w:t xml:space="preserve">DISPONIBILIDADE INTERNA - IGP-DI, publicado pela Fundação Getúlio Vargas - FGV ou de outro indicador que o venha substituir, registrado na Junta Comercial; </w:t>
      </w:r>
    </w:p>
    <w:p>
      <w:pPr>
        <w:widowControl w:val="0"/>
        <w:spacing w:after="120" w:line="360" w:lineRule="auto"/>
        <w:ind w:right="84" w:rightChars="35"/>
        <w:jc w:val="both"/>
        <w:rPr>
          <w:rFonts w:hint="default" w:ascii="Arial" w:hAnsi="Arial" w:eastAsia="Times New Roman"/>
          <w:sz w:val="22"/>
          <w:szCs w:val="22"/>
        </w:rPr>
      </w:pPr>
      <w:r>
        <w:rPr>
          <w:rFonts w:hint="default" w:ascii="Arial" w:hAnsi="Arial" w:eastAsia="Times New Roman"/>
          <w:sz w:val="22"/>
          <w:szCs w:val="22"/>
        </w:rPr>
        <w:t xml:space="preserve">Serão considerados aceitos como na forma da lei o balanço patrimonial e demonstrações contábeis assim apresentados: </w:t>
      </w:r>
    </w:p>
    <w:p>
      <w:pPr>
        <w:widowControl w:val="0"/>
        <w:spacing w:after="60" w:line="360" w:lineRule="auto"/>
        <w:ind w:right="240" w:rightChars="100"/>
        <w:jc w:val="both"/>
        <w:rPr>
          <w:rFonts w:hint="default" w:ascii="Arial" w:hAnsi="Arial" w:eastAsia="Times New Roman"/>
          <w:sz w:val="22"/>
          <w:szCs w:val="22"/>
        </w:rPr>
      </w:pPr>
      <w:r>
        <w:rPr>
          <w:rFonts w:hint="default" w:ascii="Arial" w:hAnsi="Arial" w:eastAsia="Times New Roman"/>
          <w:b/>
          <w:sz w:val="22"/>
          <w:szCs w:val="22"/>
        </w:rPr>
        <w:t>1º)</w:t>
      </w:r>
      <w:r>
        <w:rPr>
          <w:rFonts w:hint="default" w:ascii="Arial" w:hAnsi="Arial" w:eastAsia="Times New Roman"/>
          <w:sz w:val="22"/>
          <w:szCs w:val="22"/>
        </w:rPr>
        <w:t xml:space="preserve"> Sociedades regidas pela Lei n. 6.404/76 (</w:t>
      </w:r>
      <w:r>
        <w:rPr>
          <w:rFonts w:hint="default" w:ascii="Arial" w:hAnsi="Arial" w:eastAsia="Times New Roman"/>
          <w:b/>
          <w:sz w:val="22"/>
          <w:szCs w:val="22"/>
        </w:rPr>
        <w:t>sociedade anônima</w:t>
      </w:r>
      <w:r>
        <w:rPr>
          <w:rFonts w:hint="default" w:ascii="Arial" w:hAnsi="Arial" w:eastAsia="Times New Roman"/>
          <w:sz w:val="22"/>
          <w:szCs w:val="22"/>
        </w:rPr>
        <w:t xml:space="preserve">): </w:t>
      </w:r>
    </w:p>
    <w:p>
      <w:pPr>
        <w:widowControl w:val="0"/>
        <w:spacing w:after="60" w:line="360" w:lineRule="auto"/>
        <w:ind w:right="240" w:rightChars="100"/>
        <w:jc w:val="both"/>
        <w:rPr>
          <w:rFonts w:hint="default" w:ascii="Arial" w:hAnsi="Arial" w:eastAsia="Times New Roman"/>
          <w:sz w:val="22"/>
          <w:szCs w:val="22"/>
        </w:rPr>
      </w:pPr>
      <w:r>
        <w:rPr>
          <w:rFonts w:hint="default" w:ascii="Arial" w:hAnsi="Arial" w:eastAsia="Times New Roman"/>
          <w:sz w:val="22"/>
          <w:szCs w:val="22"/>
        </w:rPr>
        <w:t xml:space="preserve"> - publicados em Diário Oficial </w:t>
      </w:r>
      <w:r>
        <w:rPr>
          <w:rFonts w:hint="default" w:ascii="Arial" w:hAnsi="Arial" w:eastAsia="Times New Roman"/>
          <w:b/>
          <w:sz w:val="22"/>
          <w:szCs w:val="22"/>
        </w:rPr>
        <w:t>ou</w:t>
      </w:r>
      <w:r>
        <w:rPr>
          <w:rFonts w:hint="default" w:ascii="Arial" w:hAnsi="Arial" w:eastAsia="Times New Roman"/>
          <w:sz w:val="22"/>
          <w:szCs w:val="22"/>
        </w:rPr>
        <w:t>;</w:t>
      </w:r>
    </w:p>
    <w:p>
      <w:pPr>
        <w:widowControl w:val="0"/>
        <w:spacing w:after="60" w:line="360" w:lineRule="auto"/>
        <w:ind w:right="240" w:rightChars="100"/>
        <w:jc w:val="both"/>
        <w:rPr>
          <w:rFonts w:hint="default" w:ascii="Arial" w:hAnsi="Arial" w:eastAsia="Times New Roman"/>
          <w:sz w:val="22"/>
          <w:szCs w:val="22"/>
        </w:rPr>
      </w:pPr>
      <w:r>
        <w:rPr>
          <w:rFonts w:hint="default" w:ascii="Arial" w:hAnsi="Arial" w:eastAsia="Times New Roman"/>
          <w:sz w:val="22"/>
          <w:szCs w:val="22"/>
        </w:rPr>
        <w:t xml:space="preserve"> - publicados em jornal de grande circulação </w:t>
      </w:r>
      <w:r>
        <w:rPr>
          <w:rFonts w:hint="default" w:ascii="Arial" w:hAnsi="Arial" w:eastAsia="Times New Roman"/>
          <w:b/>
          <w:sz w:val="22"/>
          <w:szCs w:val="22"/>
        </w:rPr>
        <w:t>ou</w:t>
      </w:r>
      <w:r>
        <w:rPr>
          <w:rFonts w:hint="default" w:ascii="Arial" w:hAnsi="Arial" w:eastAsia="Times New Roman"/>
          <w:sz w:val="22"/>
          <w:szCs w:val="22"/>
        </w:rPr>
        <w:t>;</w:t>
      </w:r>
    </w:p>
    <w:p>
      <w:pPr>
        <w:widowControl w:val="0"/>
        <w:spacing w:after="120" w:line="360" w:lineRule="auto"/>
        <w:ind w:right="240" w:rightChars="100"/>
        <w:jc w:val="both"/>
        <w:rPr>
          <w:rFonts w:hint="default" w:ascii="Arial" w:hAnsi="Arial" w:eastAsia="Times New Roman"/>
          <w:sz w:val="22"/>
          <w:szCs w:val="22"/>
        </w:rPr>
      </w:pPr>
      <w:r>
        <w:rPr>
          <w:rFonts w:hint="default" w:ascii="Arial" w:hAnsi="Arial" w:eastAsia="Times New Roman"/>
          <w:sz w:val="22"/>
          <w:szCs w:val="22"/>
        </w:rPr>
        <w:t xml:space="preserve"> - por fotocópia registrada ou autenticada na Junta Comercial da sede ou domicílio da licitante; </w:t>
      </w:r>
    </w:p>
    <w:p>
      <w:pPr>
        <w:widowControl w:val="0"/>
        <w:spacing w:line="360" w:lineRule="auto"/>
        <w:ind w:right="240" w:rightChars="100"/>
        <w:jc w:val="both"/>
        <w:rPr>
          <w:rFonts w:hint="default" w:ascii="Arial" w:hAnsi="Arial" w:eastAsia="Times New Roman"/>
          <w:sz w:val="22"/>
          <w:szCs w:val="22"/>
        </w:rPr>
      </w:pPr>
      <w:r>
        <w:rPr>
          <w:rFonts w:hint="default" w:ascii="Arial" w:hAnsi="Arial" w:eastAsia="Times New Roman"/>
          <w:b/>
          <w:sz w:val="22"/>
          <w:szCs w:val="22"/>
        </w:rPr>
        <w:t>2º)</w:t>
      </w:r>
      <w:r>
        <w:rPr>
          <w:rFonts w:hint="default" w:ascii="Arial" w:hAnsi="Arial" w:eastAsia="Times New Roman"/>
          <w:sz w:val="22"/>
          <w:szCs w:val="22"/>
        </w:rPr>
        <w:t xml:space="preserve"> Sociedades por cota de responsabilidade limitada (</w:t>
      </w:r>
      <w:r>
        <w:rPr>
          <w:rFonts w:hint="default" w:ascii="Arial" w:hAnsi="Arial" w:eastAsia="Times New Roman"/>
          <w:b/>
          <w:sz w:val="22"/>
          <w:szCs w:val="22"/>
        </w:rPr>
        <w:t>LTDA</w:t>
      </w:r>
      <w:r>
        <w:rPr>
          <w:rFonts w:hint="default" w:ascii="Arial" w:hAnsi="Arial" w:eastAsia="Times New Roman"/>
          <w:sz w:val="22"/>
          <w:szCs w:val="22"/>
        </w:rPr>
        <w:t>):</w:t>
      </w:r>
    </w:p>
    <w:p>
      <w:pPr>
        <w:widowControl w:val="0"/>
        <w:spacing w:after="120" w:line="360" w:lineRule="auto"/>
        <w:ind w:right="240" w:rightChars="100"/>
        <w:jc w:val="both"/>
        <w:rPr>
          <w:rFonts w:hint="default" w:ascii="Arial" w:hAnsi="Arial" w:eastAsia="Times New Roman"/>
          <w:sz w:val="22"/>
          <w:szCs w:val="22"/>
        </w:rPr>
      </w:pPr>
      <w:r>
        <w:rPr>
          <w:rFonts w:hint="default" w:ascii="Arial" w:hAnsi="Arial" w:eastAsia="Times New Roman"/>
          <w:sz w:val="22"/>
          <w:szCs w:val="22"/>
        </w:rPr>
        <w:t xml:space="preserve">- Acompanhados por fotocópia dos Termos de Abertura e de Encerramento do Livro Diário, devidamente autenticada na Junta Comercial da sede ou domicílio da licitante ou em outro órgão equivalente </w:t>
      </w:r>
      <w:r>
        <w:rPr>
          <w:rFonts w:hint="default" w:ascii="Arial" w:hAnsi="Arial" w:eastAsia="Times New Roman"/>
          <w:b/>
          <w:sz w:val="22"/>
          <w:szCs w:val="22"/>
        </w:rPr>
        <w:t>ou</w:t>
      </w:r>
      <w:r>
        <w:rPr>
          <w:rFonts w:hint="default" w:ascii="Arial" w:hAnsi="Arial" w:eastAsia="Times New Roman"/>
          <w:sz w:val="22"/>
          <w:szCs w:val="22"/>
        </w:rPr>
        <w:t>;</w:t>
      </w:r>
    </w:p>
    <w:p>
      <w:pPr>
        <w:widowControl w:val="0"/>
        <w:spacing w:line="360" w:lineRule="auto"/>
        <w:ind w:right="240" w:rightChars="100"/>
        <w:jc w:val="both"/>
        <w:rPr>
          <w:rFonts w:hint="default" w:ascii="Arial" w:hAnsi="Arial" w:eastAsia="Times New Roman"/>
          <w:sz w:val="22"/>
          <w:szCs w:val="22"/>
        </w:rPr>
      </w:pPr>
      <w:r>
        <w:rPr>
          <w:rFonts w:hint="default" w:ascii="Arial" w:hAnsi="Arial" w:eastAsia="Times New Roman"/>
          <w:sz w:val="22"/>
          <w:szCs w:val="22"/>
        </w:rPr>
        <w:t>- Fotocópia do Balanço e das Demonstrações Contábeis devidamente registradas ou autenticadas na Junta Comercial da sede ou domicílio da licitante;</w:t>
      </w:r>
    </w:p>
    <w:p>
      <w:pPr>
        <w:widowControl w:val="0"/>
        <w:spacing w:before="120" w:after="120" w:line="360" w:lineRule="auto"/>
        <w:ind w:right="240" w:rightChars="100"/>
        <w:jc w:val="both"/>
        <w:rPr>
          <w:rFonts w:hint="default" w:ascii="Arial" w:hAnsi="Arial" w:eastAsia="Times New Roman"/>
          <w:sz w:val="22"/>
          <w:szCs w:val="22"/>
        </w:rPr>
      </w:pPr>
      <w:r>
        <w:rPr>
          <w:rFonts w:hint="default" w:ascii="Arial" w:hAnsi="Arial" w:eastAsia="Times New Roman"/>
          <w:b/>
          <w:sz w:val="22"/>
          <w:szCs w:val="22"/>
        </w:rPr>
        <w:t>3º)</w:t>
      </w:r>
      <w:r>
        <w:rPr>
          <w:rFonts w:hint="default" w:ascii="Arial" w:hAnsi="Arial" w:eastAsia="Times New Roman"/>
          <w:sz w:val="22"/>
          <w:szCs w:val="22"/>
        </w:rPr>
        <w:t xml:space="preserve"> Sociedade sujeita ao regime estabelecido na Lei Complementar nº 123/2006 – Estatuto da Microempresa e da Empresa de Pequeno Porte (</w:t>
      </w:r>
      <w:r>
        <w:rPr>
          <w:rFonts w:hint="default" w:ascii="Arial" w:hAnsi="Arial" w:eastAsia="Times New Roman"/>
          <w:b/>
          <w:sz w:val="22"/>
          <w:szCs w:val="22"/>
        </w:rPr>
        <w:t>ME ou EPP</w:t>
      </w:r>
      <w:r>
        <w:rPr>
          <w:rFonts w:hint="default" w:ascii="Arial" w:hAnsi="Arial" w:eastAsia="Times New Roman"/>
          <w:sz w:val="22"/>
          <w:szCs w:val="22"/>
        </w:rPr>
        <w:t xml:space="preserve">): </w:t>
      </w:r>
    </w:p>
    <w:p>
      <w:pPr>
        <w:widowControl w:val="0"/>
        <w:spacing w:after="120" w:line="360" w:lineRule="auto"/>
        <w:ind w:right="240" w:rightChars="100"/>
        <w:jc w:val="both"/>
        <w:rPr>
          <w:rFonts w:hint="default" w:ascii="Arial" w:hAnsi="Arial" w:eastAsia="Times New Roman"/>
          <w:sz w:val="22"/>
          <w:szCs w:val="22"/>
        </w:rPr>
      </w:pPr>
      <w:r>
        <w:rPr>
          <w:rFonts w:hint="default" w:ascii="Arial" w:hAnsi="Arial" w:eastAsia="Times New Roman"/>
          <w:sz w:val="22"/>
          <w:szCs w:val="22"/>
        </w:rPr>
        <w:t xml:space="preserve">- Acompanhados por fotocópia dos Termos de Abertura e de Encerramento do livro Diário, devidamente autenticado na Junta Comercial da sede ou domicílio da licitante ou em outro órgão equivalente; </w:t>
      </w:r>
      <w:r>
        <w:rPr>
          <w:rFonts w:hint="default" w:ascii="Arial" w:hAnsi="Arial" w:eastAsia="Times New Roman"/>
          <w:b/>
          <w:sz w:val="22"/>
          <w:szCs w:val="22"/>
        </w:rPr>
        <w:t>ou</w:t>
      </w:r>
      <w:r>
        <w:rPr>
          <w:rFonts w:hint="default" w:ascii="Arial" w:hAnsi="Arial" w:eastAsia="Times New Roman"/>
          <w:sz w:val="22"/>
          <w:szCs w:val="22"/>
        </w:rPr>
        <w:t>;</w:t>
      </w:r>
    </w:p>
    <w:p>
      <w:pPr>
        <w:widowControl w:val="0"/>
        <w:spacing w:after="120" w:line="360" w:lineRule="auto"/>
        <w:ind w:right="240" w:rightChars="100"/>
        <w:jc w:val="both"/>
        <w:rPr>
          <w:rFonts w:hint="default"/>
          <w:sz w:val="22"/>
          <w:szCs w:val="22"/>
        </w:rPr>
      </w:pPr>
      <w:r>
        <w:rPr>
          <w:rFonts w:hint="default" w:ascii="Arial" w:hAnsi="Arial" w:eastAsia="Times New Roman"/>
          <w:sz w:val="22"/>
          <w:szCs w:val="22"/>
        </w:rPr>
        <w:t>- declaração simplificada do último imposto de renda ou se cadastradas e optantes pelo “SIMPLES NACIONAL”, deverão apresentar Declaração de Informações Socioeconômicas e Fiscais – DEFIS/</w:t>
      </w:r>
      <w:r>
        <w:rPr>
          <w:rFonts w:hint="default" w:ascii="Arial" w:hAnsi="Arial" w:eastAsia="Times New Roman"/>
          <w:color w:val="auto"/>
          <w:sz w:val="22"/>
          <w:szCs w:val="22"/>
        </w:rPr>
        <w:fldChar w:fldCharType="begin"/>
      </w:r>
      <w:r>
        <w:rPr>
          <w:rFonts w:hint="default" w:ascii="Arial" w:hAnsi="Arial" w:eastAsia="Times New Roman"/>
          <w:color w:val="auto"/>
          <w:sz w:val="22"/>
          <w:szCs w:val="22"/>
        </w:rPr>
        <w:instrText xml:space="preserve"> HYPERLINK "http://www8.receita.fazenda.gov.br/simplesnacional/servicos/grupo.aspx?grp=5" </w:instrText>
      </w:r>
      <w:r>
        <w:rPr>
          <w:rFonts w:hint="default" w:ascii="Arial" w:hAnsi="Arial" w:eastAsia="Times New Roman"/>
          <w:color w:val="auto"/>
          <w:sz w:val="22"/>
          <w:szCs w:val="22"/>
        </w:rPr>
        <w:fldChar w:fldCharType="separate"/>
      </w:r>
      <w:r>
        <w:rPr>
          <w:rStyle w:val="17"/>
          <w:rFonts w:hint="default" w:ascii="Arial" w:hAnsi="Arial" w:eastAsia="Times New Roman"/>
          <w:color w:val="auto"/>
          <w:sz w:val="22"/>
          <w:szCs w:val="22"/>
          <w:u w:val="none"/>
        </w:rPr>
        <w:t>PGDAS-D</w:t>
      </w:r>
      <w:r>
        <w:rPr>
          <w:rFonts w:hint="default" w:ascii="Arial" w:hAnsi="Arial" w:eastAsia="Times New Roman"/>
          <w:color w:val="auto"/>
          <w:sz w:val="22"/>
          <w:szCs w:val="22"/>
          <w:u w:val="none"/>
        </w:rPr>
        <w:fldChar w:fldCharType="end"/>
      </w:r>
      <w:r>
        <w:rPr>
          <w:rFonts w:hint="default" w:ascii="Arial" w:hAnsi="Arial" w:eastAsia="Times New Roman"/>
          <w:color w:val="auto"/>
          <w:sz w:val="22"/>
          <w:szCs w:val="22"/>
        </w:rPr>
        <w:t xml:space="preserve">. </w:t>
      </w:r>
    </w:p>
    <w:p>
      <w:pPr>
        <w:widowControl w:val="0"/>
        <w:autoSpaceDE w:val="0"/>
        <w:autoSpaceDN w:val="0"/>
        <w:adjustRightInd w:val="0"/>
        <w:spacing w:line="360" w:lineRule="auto"/>
        <w:ind w:right="240" w:rightChars="100"/>
        <w:jc w:val="both"/>
        <w:rPr>
          <w:rFonts w:hint="default" w:ascii="Arial" w:hAnsi="Arial" w:eastAsia="Times New Roman"/>
          <w:sz w:val="22"/>
          <w:szCs w:val="22"/>
        </w:rPr>
      </w:pPr>
      <w:r>
        <w:rPr>
          <w:rFonts w:hint="default" w:ascii="Arial" w:hAnsi="Arial" w:eastAsia="Times New Roman"/>
          <w:b/>
          <w:sz w:val="22"/>
          <w:szCs w:val="22"/>
        </w:rPr>
        <w:t>4º)</w:t>
      </w:r>
      <w:r>
        <w:rPr>
          <w:rFonts w:hint="default" w:ascii="Arial" w:hAnsi="Arial" w:eastAsia="Times New Roman"/>
          <w:sz w:val="22"/>
          <w:szCs w:val="22"/>
        </w:rPr>
        <w:t xml:space="preserve"> Sociedade criada no exercício em curso ou inativa no exercício anterior: </w:t>
      </w:r>
    </w:p>
    <w:p>
      <w:pPr>
        <w:widowControl w:val="0"/>
        <w:spacing w:after="120" w:line="360" w:lineRule="auto"/>
        <w:ind w:right="240" w:rightChars="100"/>
        <w:jc w:val="both"/>
        <w:rPr>
          <w:rFonts w:hint="default" w:ascii="Arial" w:hAnsi="Arial" w:eastAsia="Times New Roman"/>
          <w:sz w:val="22"/>
          <w:szCs w:val="22"/>
        </w:rPr>
      </w:pPr>
      <w:r>
        <w:rPr>
          <w:rFonts w:hint="default" w:ascii="Arial" w:hAnsi="Arial" w:eastAsia="Times New Roman"/>
          <w:sz w:val="22"/>
          <w:szCs w:val="22"/>
        </w:rPr>
        <w:t>- - Fotocópia do Balanço de Abertura, devidamente registrado ou autenticado na Junta Comercial da sede ou domicílio das licitantes nos casos de sociedades anônimas;</w:t>
      </w:r>
    </w:p>
    <w:p>
      <w:pPr>
        <w:widowControl w:val="0"/>
        <w:spacing w:after="120" w:line="360" w:lineRule="auto"/>
        <w:ind w:right="240" w:rightChars="100"/>
        <w:jc w:val="both"/>
        <w:rPr>
          <w:rFonts w:hint="default" w:ascii="Arial" w:hAnsi="Arial" w:eastAsia="Times New Roman"/>
          <w:sz w:val="22"/>
          <w:szCs w:val="22"/>
        </w:rPr>
      </w:pPr>
      <w:r>
        <w:rPr>
          <w:rFonts w:hint="default" w:ascii="Arial" w:hAnsi="Arial" w:eastAsia="Times New Roman"/>
          <w:b/>
          <w:sz w:val="22"/>
          <w:szCs w:val="22"/>
        </w:rPr>
        <w:t xml:space="preserve">5°) </w:t>
      </w:r>
      <w:r>
        <w:rPr>
          <w:rFonts w:hint="default" w:ascii="Arial" w:hAnsi="Arial" w:eastAsia="Times New Roman"/>
          <w:sz w:val="22"/>
          <w:szCs w:val="22"/>
        </w:rPr>
        <w:t xml:space="preserve">O MEI (Micro Empreendedor Individual) para fins da habilitação econômico-financeira deverá apresentar a Declaração Anual Simplificada para o Microempreendedor Individual (DASN-SIMEI) ou sua substituta, a Declaração Única do MEI (DUMEI). </w:t>
      </w:r>
    </w:p>
    <w:p>
      <w:pPr>
        <w:widowControl w:val="0"/>
        <w:spacing w:after="120" w:line="360" w:lineRule="auto"/>
        <w:ind w:right="240" w:rightChars="100"/>
        <w:jc w:val="both"/>
        <w:rPr>
          <w:rFonts w:hint="default" w:ascii="Arial" w:hAnsi="Arial" w:eastAsia="Times New Roman"/>
          <w:sz w:val="22"/>
          <w:szCs w:val="22"/>
        </w:rPr>
      </w:pPr>
      <w:r>
        <w:rPr>
          <w:rFonts w:hint="default" w:ascii="Arial" w:hAnsi="Arial" w:eastAsia="Times New Roman"/>
          <w:b/>
          <w:sz w:val="22"/>
          <w:szCs w:val="22"/>
        </w:rPr>
        <w:t xml:space="preserve">I. </w:t>
      </w:r>
      <w:r>
        <w:rPr>
          <w:rFonts w:hint="default" w:ascii="Arial" w:hAnsi="Arial" w:eastAsia="Times New Roman"/>
          <w:sz w:val="22"/>
          <w:szCs w:val="22"/>
        </w:rPr>
        <w:t xml:space="preserve">Caso o MEI tenha sido constituído no mesmo exercício do lançamento da licitação, deverá apresentar os relatórios mensais de receita bruta, assinados pelo próprio Micro Empreendedor.  </w:t>
      </w:r>
    </w:p>
    <w:p>
      <w:pPr>
        <w:widowControl w:val="0"/>
        <w:spacing w:after="120" w:line="360" w:lineRule="auto"/>
        <w:ind w:right="240" w:rightChars="100"/>
        <w:jc w:val="both"/>
        <w:rPr>
          <w:rFonts w:hint="default" w:ascii="Arial" w:hAnsi="Arial" w:eastAsia="Times New Roman"/>
          <w:sz w:val="22"/>
          <w:szCs w:val="22"/>
        </w:rPr>
      </w:pPr>
      <w:r>
        <w:rPr>
          <w:rFonts w:hint="default" w:ascii="Arial" w:hAnsi="Arial" w:eastAsia="Times New Roman"/>
          <w:b/>
          <w:sz w:val="22"/>
          <w:szCs w:val="22"/>
        </w:rPr>
        <w:t>6º)</w:t>
      </w:r>
      <w:r>
        <w:rPr>
          <w:rFonts w:hint="default" w:ascii="Arial" w:hAnsi="Arial" w:eastAsia="Times New Roman"/>
          <w:sz w:val="22"/>
          <w:szCs w:val="22"/>
        </w:rPr>
        <w:t xml:space="preserve"> o </w:t>
      </w:r>
      <w:r>
        <w:rPr>
          <w:rFonts w:hint="default" w:ascii="Arial" w:hAnsi="Arial" w:eastAsia="Times New Roman"/>
          <w:b/>
          <w:sz w:val="22"/>
          <w:szCs w:val="22"/>
        </w:rPr>
        <w:t>balanço patrimonial</w:t>
      </w:r>
      <w:r>
        <w:rPr>
          <w:rFonts w:hint="default" w:ascii="Arial" w:hAnsi="Arial" w:eastAsia="Times New Roman"/>
          <w:sz w:val="22"/>
          <w:szCs w:val="22"/>
        </w:rPr>
        <w:t xml:space="preserve">, as </w:t>
      </w:r>
      <w:r>
        <w:rPr>
          <w:rFonts w:hint="default" w:ascii="Arial" w:hAnsi="Arial" w:eastAsia="Times New Roman"/>
          <w:b/>
          <w:sz w:val="22"/>
          <w:szCs w:val="22"/>
        </w:rPr>
        <w:t>demonstrações contábeis</w:t>
      </w:r>
      <w:r>
        <w:rPr>
          <w:rFonts w:hint="default" w:ascii="Arial" w:hAnsi="Arial" w:eastAsia="Times New Roman"/>
          <w:sz w:val="22"/>
          <w:szCs w:val="22"/>
        </w:rPr>
        <w:t xml:space="preserve"> e o </w:t>
      </w:r>
      <w:r>
        <w:rPr>
          <w:rFonts w:hint="default" w:ascii="Arial" w:hAnsi="Arial" w:eastAsia="Times New Roman"/>
          <w:b/>
          <w:sz w:val="22"/>
          <w:szCs w:val="22"/>
        </w:rPr>
        <w:t>balanço de abertura</w:t>
      </w:r>
      <w:r>
        <w:rPr>
          <w:rFonts w:hint="default" w:ascii="Arial" w:hAnsi="Arial" w:eastAsia="Times New Roman"/>
          <w:sz w:val="22"/>
          <w:szCs w:val="22"/>
        </w:rPr>
        <w:t xml:space="preserve"> deverão estar </w:t>
      </w:r>
      <w:r>
        <w:rPr>
          <w:rFonts w:hint="default" w:ascii="Arial" w:hAnsi="Arial" w:eastAsia="Times New Roman"/>
          <w:b/>
          <w:sz w:val="22"/>
          <w:szCs w:val="22"/>
        </w:rPr>
        <w:t>assinados pelos administradores</w:t>
      </w:r>
      <w:r>
        <w:rPr>
          <w:rFonts w:hint="default" w:ascii="Arial" w:hAnsi="Arial" w:eastAsia="Times New Roman"/>
          <w:sz w:val="22"/>
          <w:szCs w:val="22"/>
        </w:rPr>
        <w:t xml:space="preserve"> das empresas constantes do ato constitutivo, estatuto ou contrato social e por Contador legalmente habilitado;</w:t>
      </w:r>
    </w:p>
    <w:p>
      <w:pPr>
        <w:widowControl w:val="0"/>
        <w:spacing w:after="120" w:line="360" w:lineRule="auto"/>
        <w:ind w:right="240" w:rightChars="100"/>
        <w:jc w:val="both"/>
        <w:rPr>
          <w:rFonts w:hint="default" w:ascii="Arial" w:hAnsi="Arial" w:eastAsia="Times New Roman"/>
          <w:b/>
          <w:sz w:val="22"/>
          <w:szCs w:val="22"/>
        </w:rPr>
      </w:pPr>
      <w:r>
        <w:rPr>
          <w:rFonts w:hint="default" w:ascii="Arial" w:hAnsi="Arial" w:eastAsia="Times New Roman"/>
          <w:b/>
          <w:sz w:val="22"/>
          <w:szCs w:val="22"/>
        </w:rPr>
        <w:t>b) Todas as formas societárias deverão apresentar Certidão de Falência e Recuperação Judicial, emitida pelo Distribuidor da sede da pessoa jurídica;</w:t>
      </w:r>
    </w:p>
    <w:p>
      <w:pPr>
        <w:widowControl w:val="0"/>
        <w:spacing w:after="120" w:line="360" w:lineRule="auto"/>
        <w:ind w:left="720" w:leftChars="300" w:right="240" w:rightChars="100"/>
        <w:jc w:val="both"/>
        <w:rPr>
          <w:rFonts w:hint="default" w:ascii="Arial" w:hAnsi="Arial" w:eastAsia="Times New Roman"/>
          <w:sz w:val="22"/>
          <w:szCs w:val="22"/>
        </w:rPr>
      </w:pPr>
      <w:r>
        <w:rPr>
          <w:rFonts w:hint="default" w:ascii="Arial" w:hAnsi="Arial" w:eastAsia="Times New Roman"/>
          <w:b/>
          <w:sz w:val="22"/>
          <w:szCs w:val="22"/>
        </w:rPr>
        <w:t xml:space="preserve">b.1) </w:t>
      </w:r>
      <w:r>
        <w:rPr>
          <w:rFonts w:hint="default" w:ascii="Arial" w:hAnsi="Arial" w:eastAsia="Times New Roman"/>
          <w:sz w:val="22"/>
          <w:szCs w:val="22"/>
        </w:rPr>
        <w:t>No caso de certidão positiva de recuperação judicial ou extrajudicial, o licitante deverá apresentar a comprovação de que o respectivo plano de recuperação foi acolhido judicialmente, na forma do art. 58, da Lei n.º 11.101, de 09 de fevereiro de 2005, sob pena de inabilitação, devendo, ainda, comprovar todos os demais requisitos de habilitação;</w:t>
      </w:r>
    </w:p>
    <w:p>
      <w:pPr>
        <w:widowControl w:val="0"/>
        <w:spacing w:after="120" w:line="360" w:lineRule="auto"/>
        <w:ind w:left="720" w:leftChars="300" w:right="240" w:rightChars="100"/>
        <w:jc w:val="both"/>
        <w:rPr>
          <w:rFonts w:hint="default" w:ascii="Arial" w:hAnsi="Arial" w:eastAsia="Times New Roman"/>
          <w:sz w:val="22"/>
          <w:szCs w:val="22"/>
        </w:rPr>
      </w:pPr>
      <w:r>
        <w:rPr>
          <w:rFonts w:hint="default" w:ascii="Arial" w:hAnsi="Arial" w:eastAsia="Times New Roman"/>
          <w:b/>
          <w:sz w:val="22"/>
          <w:szCs w:val="22"/>
        </w:rPr>
        <w:t>b.2)</w:t>
      </w:r>
      <w:r>
        <w:rPr>
          <w:rFonts w:hint="default" w:ascii="Arial" w:hAnsi="Arial" w:eastAsia="Times New Roman"/>
          <w:sz w:val="22"/>
          <w:szCs w:val="22"/>
        </w:rPr>
        <w:t xml:space="preserve"> Para a licitante que apresentar certidão que não contenha data de validade em seu corpo deverá ser observado o disposto </w:t>
      </w:r>
      <w:r>
        <w:rPr>
          <w:rFonts w:hint="default" w:ascii="Arial" w:hAnsi="Arial"/>
          <w:sz w:val="22"/>
          <w:szCs w:val="22"/>
          <w:lang w:val="pt-BR"/>
        </w:rPr>
        <w:t>no Edital de Licitação dessa contratação</w:t>
      </w:r>
      <w:r>
        <w:rPr>
          <w:rFonts w:hint="default" w:ascii="Arial" w:hAnsi="Arial" w:eastAsia="Times New Roman"/>
          <w:sz w:val="22"/>
          <w:szCs w:val="22"/>
        </w:rPr>
        <w:t>.</w:t>
      </w:r>
    </w:p>
    <w:p>
      <w:pPr>
        <w:widowControl w:val="0"/>
        <w:autoSpaceDE w:val="0"/>
        <w:autoSpaceDN w:val="0"/>
        <w:adjustRightInd w:val="0"/>
        <w:spacing w:after="120" w:line="360" w:lineRule="auto"/>
        <w:ind w:right="240" w:rightChars="100"/>
        <w:jc w:val="both"/>
        <w:rPr>
          <w:rFonts w:hint="default" w:ascii="Arial" w:hAnsi="Arial" w:eastAsia="Times New Roman"/>
          <w:sz w:val="22"/>
          <w:szCs w:val="22"/>
        </w:rPr>
      </w:pPr>
      <w:r>
        <w:rPr>
          <w:rFonts w:hint="default" w:ascii="Arial" w:hAnsi="Arial" w:eastAsia="Times New Roman"/>
          <w:b/>
          <w:sz w:val="22"/>
          <w:szCs w:val="22"/>
        </w:rPr>
        <w:t>c)</w:t>
      </w:r>
      <w:r>
        <w:rPr>
          <w:rFonts w:hint="default" w:ascii="Arial" w:hAnsi="Arial" w:eastAsia="Times New Roman"/>
          <w:sz w:val="22"/>
          <w:szCs w:val="22"/>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w:t>
      </w:r>
      <w:r>
        <w:rPr>
          <w:rFonts w:hint="default" w:ascii="Arial" w:hAnsi="Arial"/>
          <w:sz w:val="22"/>
          <w:szCs w:val="22"/>
          <w:lang w:val="pt-BR"/>
        </w:rPr>
        <w:t>s</w:t>
      </w:r>
      <w:r>
        <w:rPr>
          <w:rFonts w:hint="default" w:ascii="Arial" w:hAnsi="Arial" w:eastAsia="Times New Roman"/>
          <w:sz w:val="22"/>
          <w:szCs w:val="22"/>
        </w:rPr>
        <w:t xml:space="preserve"> do Sistema Público de Escrituração Digital – Sped ou através do site da Junta Comercial do Estado da sede da licitante, na seguinte forma:</w:t>
      </w:r>
    </w:p>
    <w:p>
      <w:pPr>
        <w:widowControl w:val="0"/>
        <w:autoSpaceDE w:val="0"/>
        <w:autoSpaceDN w:val="0"/>
        <w:adjustRightInd w:val="0"/>
        <w:spacing w:after="120" w:line="360" w:lineRule="auto"/>
        <w:ind w:right="240" w:rightChars="100"/>
        <w:jc w:val="both"/>
        <w:rPr>
          <w:rFonts w:hint="default" w:ascii="Arial" w:hAnsi="Arial" w:eastAsia="Times New Roman"/>
          <w:sz w:val="22"/>
          <w:szCs w:val="22"/>
        </w:rPr>
      </w:pPr>
      <w:r>
        <w:rPr>
          <w:rFonts w:hint="default" w:ascii="Arial" w:hAnsi="Arial" w:eastAsia="Times New Roman"/>
          <w:b/>
          <w:sz w:val="22"/>
          <w:szCs w:val="22"/>
        </w:rPr>
        <w:t xml:space="preserve">I. </w:t>
      </w:r>
      <w:r>
        <w:rPr>
          <w:rFonts w:hint="default" w:ascii="Arial" w:hAnsi="Arial" w:eastAsia="Times New Roman"/>
          <w:sz w:val="22"/>
          <w:szCs w:val="22"/>
        </w:rPr>
        <w:t>Recibo de Entrega de Livro Digital transmitido através do Sistema Público de Escrituração Digital – Sped;</w:t>
      </w:r>
    </w:p>
    <w:p>
      <w:pPr>
        <w:widowControl w:val="0"/>
        <w:autoSpaceDE w:val="0"/>
        <w:autoSpaceDN w:val="0"/>
        <w:adjustRightInd w:val="0"/>
        <w:spacing w:after="120" w:line="360" w:lineRule="auto"/>
        <w:ind w:right="240" w:rightChars="100"/>
        <w:jc w:val="both"/>
        <w:rPr>
          <w:rFonts w:hint="default" w:ascii="Arial" w:hAnsi="Arial" w:eastAsia="Times New Roman"/>
          <w:sz w:val="22"/>
          <w:szCs w:val="22"/>
        </w:rPr>
      </w:pPr>
      <w:r>
        <w:rPr>
          <w:rFonts w:hint="default" w:ascii="Arial" w:hAnsi="Arial" w:eastAsia="Times New Roman"/>
          <w:b/>
          <w:sz w:val="22"/>
          <w:szCs w:val="22"/>
        </w:rPr>
        <w:t xml:space="preserve">II. </w:t>
      </w:r>
      <w:r>
        <w:rPr>
          <w:rFonts w:hint="default" w:ascii="Arial" w:hAnsi="Arial" w:eastAsia="Times New Roman"/>
          <w:sz w:val="22"/>
          <w:szCs w:val="22"/>
        </w:rPr>
        <w:t>Termos de Abertura e Encerramento do Livro Diário Digital extraídos do Sistema Público de Escrituração Digital – Sped;</w:t>
      </w:r>
    </w:p>
    <w:p>
      <w:pPr>
        <w:widowControl w:val="0"/>
        <w:autoSpaceDE w:val="0"/>
        <w:autoSpaceDN w:val="0"/>
        <w:adjustRightInd w:val="0"/>
        <w:spacing w:after="120" w:line="360" w:lineRule="auto"/>
        <w:ind w:right="240" w:rightChars="100"/>
        <w:jc w:val="both"/>
        <w:rPr>
          <w:rFonts w:hint="default" w:ascii="Arial" w:hAnsi="Arial" w:eastAsia="Times New Roman"/>
          <w:sz w:val="22"/>
          <w:szCs w:val="22"/>
          <w:lang w:val="pt-BR"/>
        </w:rPr>
      </w:pPr>
      <w:r>
        <w:rPr>
          <w:rFonts w:hint="default" w:ascii="Arial" w:hAnsi="Arial" w:eastAsia="Times New Roman"/>
          <w:b/>
          <w:sz w:val="22"/>
          <w:szCs w:val="22"/>
        </w:rPr>
        <w:t xml:space="preserve">III. </w:t>
      </w:r>
      <w:r>
        <w:rPr>
          <w:rFonts w:hint="default" w:ascii="Arial" w:hAnsi="Arial" w:eastAsia="Times New Roman"/>
          <w:sz w:val="22"/>
          <w:szCs w:val="22"/>
        </w:rPr>
        <w:t>Balanço e Demonstração do Resultado do Exercício extraídos do Sistema Público de Escrituração Digital – Sped</w:t>
      </w:r>
      <w:r>
        <w:rPr>
          <w:rFonts w:hint="default" w:ascii="Arial" w:hAnsi="Arial"/>
          <w:sz w:val="22"/>
          <w:szCs w:val="22"/>
          <w:lang w:val="pt-BR"/>
        </w:rPr>
        <w:t>.</w:t>
      </w:r>
    </w:p>
    <w:p>
      <w:pPr>
        <w:pStyle w:val="42"/>
        <w:widowControl w:val="0"/>
        <w:numPr>
          <w:ilvl w:val="0"/>
          <w:numId w:val="0"/>
        </w:numPr>
        <w:tabs>
          <w:tab w:val="left" w:pos="-7797"/>
          <w:tab w:val="left" w:pos="993"/>
          <w:tab w:val="left" w:pos="1134"/>
          <w:tab w:val="left" w:pos="2127"/>
          <w:tab w:val="left" w:pos="2268"/>
          <w:tab w:val="clear" w:pos="4419"/>
          <w:tab w:val="clear" w:pos="8838"/>
        </w:tabs>
        <w:autoSpaceDE w:val="0"/>
        <w:autoSpaceDN w:val="0"/>
        <w:adjustRightInd w:val="0"/>
        <w:spacing w:after="120" w:line="360" w:lineRule="auto"/>
        <w:ind w:right="240" w:rightChars="100"/>
        <w:jc w:val="both"/>
        <w:rPr>
          <w:rFonts w:hint="default" w:ascii="Arial" w:hAnsi="Arial" w:eastAsia="SimSun"/>
          <w:color w:val="auto"/>
          <w:sz w:val="22"/>
          <w:szCs w:val="22"/>
          <w:lang w:val="pt-BR"/>
        </w:rPr>
      </w:pPr>
    </w:p>
    <w:p>
      <w:pPr>
        <w:pStyle w:val="42"/>
        <w:widowControl w:val="0"/>
        <w:numPr>
          <w:ilvl w:val="0"/>
          <w:numId w:val="0"/>
        </w:numPr>
        <w:tabs>
          <w:tab w:val="left" w:pos="-7797"/>
          <w:tab w:val="left" w:pos="993"/>
          <w:tab w:val="left" w:pos="1134"/>
          <w:tab w:val="left" w:pos="2127"/>
          <w:tab w:val="left" w:pos="2268"/>
          <w:tab w:val="clear" w:pos="4419"/>
          <w:tab w:val="clear" w:pos="8838"/>
        </w:tabs>
        <w:autoSpaceDE w:val="0"/>
        <w:autoSpaceDN w:val="0"/>
        <w:adjustRightInd w:val="0"/>
        <w:spacing w:after="120" w:line="360" w:lineRule="auto"/>
        <w:ind w:right="240" w:rightChars="100"/>
        <w:jc w:val="both"/>
        <w:rPr>
          <w:rFonts w:hint="default" w:ascii="Arial" w:hAnsi="Arial" w:eastAsia="SimSun"/>
          <w:color w:val="auto"/>
          <w:sz w:val="22"/>
          <w:szCs w:val="22"/>
          <w:lang w:val="pt-BR"/>
        </w:rPr>
      </w:pPr>
    </w:p>
    <w:p>
      <w:pPr>
        <w:numPr>
          <w:ilvl w:val="0"/>
          <w:numId w:val="31"/>
        </w:numPr>
        <w:spacing w:after="120" w:line="360" w:lineRule="auto"/>
        <w:ind w:left="0" w:leftChars="0" w:firstLine="0" w:firstLineChars="0"/>
        <w:jc w:val="both"/>
        <w:rPr>
          <w:rFonts w:hint="default" w:ascii="Arial" w:hAnsi="Arial" w:cs="Arial"/>
          <w:b/>
          <w:bCs/>
          <w:color w:val="auto"/>
          <w:sz w:val="22"/>
          <w:szCs w:val="22"/>
          <w:lang w:val="pt-BR"/>
        </w:rPr>
      </w:pPr>
      <w:r>
        <w:rPr>
          <w:rFonts w:hint="default" w:ascii="Arial" w:hAnsi="Arial" w:cs="Arial"/>
          <w:b/>
          <w:bCs/>
          <w:color w:val="auto"/>
          <w:sz w:val="22"/>
          <w:szCs w:val="22"/>
          <w:lang w:val="pt-BR"/>
        </w:rPr>
        <w:t xml:space="preserve">CLÁUSULA VIGÉSIMA TERCEIRA: DAS AMOSTRAS </w:t>
      </w:r>
    </w:p>
    <w:p>
      <w:pPr>
        <w:numPr>
          <w:ilvl w:val="0"/>
          <w:numId w:val="0"/>
        </w:numPr>
        <w:spacing w:after="120" w:line="360" w:lineRule="auto"/>
        <w:ind w:leftChars="0"/>
        <w:jc w:val="both"/>
        <w:rPr>
          <w:rFonts w:hint="default" w:ascii="Arial" w:hAnsi="Arial" w:cs="Arial"/>
          <w:b w:val="0"/>
          <w:bCs w:val="0"/>
          <w:color w:val="auto"/>
          <w:sz w:val="22"/>
          <w:szCs w:val="22"/>
          <w:lang w:val="pt-BR"/>
        </w:rPr>
      </w:pPr>
      <w:r>
        <w:rPr>
          <w:rFonts w:hint="default" w:ascii="Arial" w:hAnsi="Arial" w:cs="Arial"/>
          <w:b/>
          <w:bCs/>
          <w:color w:val="auto"/>
          <w:sz w:val="22"/>
          <w:szCs w:val="22"/>
          <w:lang w:val="pt-BR"/>
        </w:rPr>
        <w:t>23.1.</w:t>
      </w:r>
      <w:r>
        <w:rPr>
          <w:rFonts w:hint="default" w:ascii="Arial" w:hAnsi="Arial" w:cs="Arial"/>
          <w:b w:val="0"/>
          <w:bCs w:val="0"/>
          <w:color w:val="auto"/>
          <w:sz w:val="22"/>
          <w:szCs w:val="22"/>
          <w:lang w:val="pt-BR"/>
        </w:rPr>
        <w:t>Não se aplica.</w:t>
      </w:r>
    </w:p>
    <w:p>
      <w:pPr>
        <w:keepNext w:val="0"/>
        <w:keepLines w:val="0"/>
        <w:pageBreakBefore w:val="0"/>
        <w:numPr>
          <w:ilvl w:val="0"/>
          <w:numId w:val="0"/>
        </w:numPr>
        <w:kinsoku/>
        <w:wordWrap/>
        <w:overflowPunct/>
        <w:topLinePunct w:val="0"/>
        <w:autoSpaceDE/>
        <w:bidi w:val="0"/>
        <w:adjustRightInd/>
        <w:snapToGrid/>
        <w:spacing w:after="0" w:line="360" w:lineRule="auto"/>
        <w:jc w:val="both"/>
        <w:rPr>
          <w:rFonts w:hint="default" w:ascii="Arial" w:hAnsi="Arial"/>
          <w:b/>
          <w:color w:val="auto"/>
          <w:sz w:val="24"/>
          <w:szCs w:val="24"/>
          <w:lang w:val="pt-BR"/>
        </w:rPr>
      </w:pPr>
    </w:p>
    <w:p>
      <w:pPr>
        <w:keepNext w:val="0"/>
        <w:keepLines w:val="0"/>
        <w:pageBreakBefore w:val="0"/>
        <w:kinsoku/>
        <w:wordWrap/>
        <w:overflowPunct/>
        <w:topLinePunct w:val="0"/>
        <w:autoSpaceDE/>
        <w:bidi w:val="0"/>
        <w:adjustRightInd/>
        <w:snapToGrid/>
        <w:spacing w:after="0" w:line="360" w:lineRule="auto"/>
        <w:jc w:val="both"/>
        <w:rPr>
          <w:rFonts w:hint="default"/>
          <w:color w:val="auto"/>
          <w:sz w:val="22"/>
          <w:szCs w:val="24"/>
        </w:rPr>
      </w:pPr>
    </w:p>
    <w:p>
      <w:pPr>
        <w:keepNext w:val="0"/>
        <w:keepLines w:val="0"/>
        <w:pageBreakBefore w:val="0"/>
        <w:kinsoku/>
        <w:wordWrap/>
        <w:overflowPunct/>
        <w:topLinePunct w:val="0"/>
        <w:autoSpaceDE/>
        <w:bidi w:val="0"/>
        <w:adjustRightInd/>
        <w:snapToGrid/>
        <w:spacing w:after="0" w:line="360" w:lineRule="auto"/>
        <w:jc w:val="both"/>
      </w:pPr>
    </w:p>
    <w:p>
      <w:pPr>
        <w:widowControl w:val="0"/>
        <w:spacing w:line="276" w:lineRule="auto"/>
        <w:jc w:val="both"/>
        <w:rPr>
          <w:rFonts w:ascii="Arial" w:hAnsi="Arial"/>
          <w:b/>
          <w:color w:val="FF0000"/>
          <w:sz w:val="28"/>
          <w:szCs w:val="28"/>
        </w:rPr>
      </w:pPr>
    </w:p>
    <w:p>
      <w:pPr>
        <w:keepNext w:val="0"/>
        <w:keepLines w:val="0"/>
        <w:pageBreakBefore w:val="0"/>
        <w:widowControl w:val="0"/>
        <w:kinsoku/>
        <w:wordWrap/>
        <w:overflowPunct/>
        <w:topLinePunct w:val="0"/>
        <w:autoSpaceDE w:val="0"/>
        <w:autoSpaceDN w:val="0"/>
        <w:bidi w:val="0"/>
        <w:adjustRightInd w:val="0"/>
        <w:snapToGrid/>
        <w:spacing w:line="240" w:lineRule="auto"/>
        <w:jc w:val="both"/>
        <w:textAlignment w:val="auto"/>
        <w:rPr>
          <w:rFonts w:ascii="Arial" w:hAnsi="Arial" w:cs="Arial"/>
          <w:sz w:val="24"/>
          <w:szCs w:val="24"/>
        </w:rPr>
      </w:pPr>
    </w:p>
    <w:p>
      <w:pPr>
        <w:jc w:val="center"/>
        <w:rPr>
          <w:rFonts w:ascii="Arial" w:hAnsi="Arial" w:cs="Arial"/>
          <w:color w:val="000000"/>
          <w:sz w:val="28"/>
          <w:szCs w:val="28"/>
        </w:rPr>
      </w:pPr>
    </w:p>
    <w:p>
      <w:pPr>
        <w:jc w:val="center"/>
        <w:rPr>
          <w:rFonts w:ascii="Arial" w:hAnsi="Arial" w:cs="Arial"/>
          <w:b/>
          <w:sz w:val="22"/>
          <w:szCs w:val="22"/>
        </w:rPr>
      </w:pPr>
    </w:p>
    <w:p>
      <w:bookmarkStart w:id="38" w:name="_Toc514666350"/>
      <w:r>
        <w:br w:type="page"/>
      </w:r>
    </w:p>
    <w:p>
      <w:pPr>
        <w:pStyle w:val="198"/>
        <w:rPr>
          <w:rFonts w:hint="default"/>
          <w:lang w:val="pt-BR"/>
        </w:rPr>
      </w:pPr>
      <w:r>
        <w:t xml:space="preserve">ANEXO II – </w:t>
      </w:r>
      <w:bookmarkEnd w:id="38"/>
      <w:r>
        <w:rPr>
          <w:rFonts w:hint="default"/>
          <w:lang w:val="pt-BR"/>
        </w:rPr>
        <w:t>proposta técnica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 xml:space="preserve">1.1. </w:t>
      </w:r>
      <w:r>
        <w:rPr>
          <w:rFonts w:hint="default" w:cs="Arial"/>
          <w:sz w:val="22"/>
          <w:szCs w:val="22"/>
          <w:lang w:val="pt-BR"/>
        </w:rPr>
        <w:t>A pontuação da PROPOSTA TÉCNICA levará em conta as informações e documentos comprobatórios apresentados pelas licitantes, e se fará de maneira objetiva, atribuindo-se pontos, por quesitos atendidos e comprovados, podendo chegar ao total máximo de 100 (cem) pontos, conforme segue: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highlight w:val="yellow"/>
          <w:lang w:val="pt-BR"/>
        </w:rPr>
      </w:pPr>
      <w:r>
        <w:rPr>
          <w:rFonts w:hint="default" w:cs="Arial"/>
          <w:b/>
          <w:bCs w:val="0"/>
          <w:sz w:val="22"/>
          <w:szCs w:val="22"/>
          <w:highlight w:val="yellow"/>
          <w:lang w:val="pt-BR"/>
        </w:rPr>
        <w:t>1.1.1.</w:t>
      </w:r>
      <w:r>
        <w:rPr>
          <w:rFonts w:hint="default" w:cs="Arial"/>
          <w:sz w:val="22"/>
          <w:szCs w:val="22"/>
          <w:highlight w:val="yellow"/>
          <w:lang w:val="pt-BR"/>
        </w:rPr>
        <w:t xml:space="preserve"> Qual o tempo de constituição da empresa?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15 anos ou mais – 25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10 a 14 anos – 20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05 a 09 anos – 15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01 a 04 anos – 10 ponto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até 01 ano – sem pontuação neste item</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Para este item será considerada a data de constituição constante do cartão CNPJ da empresa, a             ser consultado no site da Receita Federal.</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highlight w:val="yellow"/>
          <w:lang w:val="pt-BR"/>
        </w:rPr>
      </w:pPr>
      <w:r>
        <w:rPr>
          <w:rFonts w:hint="default" w:cs="Arial"/>
          <w:b/>
          <w:bCs w:val="0"/>
          <w:sz w:val="22"/>
          <w:szCs w:val="22"/>
          <w:highlight w:val="yellow"/>
          <w:lang w:val="pt-BR"/>
        </w:rPr>
        <w:t>1.2.</w:t>
      </w:r>
      <w:r>
        <w:rPr>
          <w:rFonts w:hint="default" w:cs="Arial"/>
          <w:sz w:val="22"/>
          <w:szCs w:val="22"/>
          <w:highlight w:val="yellow"/>
          <w:lang w:val="pt-BR"/>
        </w:rPr>
        <w:t xml:space="preserve"> Possui a empresa, em sua equipe técnica, profissional(is) com formação em Engenharia Civil, regularmente inscrito(s) no Conselho Regional de Engenharia e Agronomia, para elaboração de projetos, planilhas orçamentárias e todos os outros documentos que se fizerem necessários como cronograma e composição de custos?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04 ou mais profissionais – 25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03 profissionais – 20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02 profissionais – 15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01 profissional – 10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Não – sem pontuação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 xml:space="preserve">1.2.1. </w:t>
      </w:r>
      <w:r>
        <w:rPr>
          <w:rFonts w:hint="default" w:cs="Arial"/>
          <w:sz w:val="22"/>
          <w:szCs w:val="22"/>
          <w:lang w:val="pt-BR"/>
        </w:rPr>
        <w:t>Item a ser comprovado mediante declaração da licitante acompanhada de documentação comprobatória de inscrição no referido órgão.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highlight w:val="yellow"/>
          <w:lang w:val="pt-BR"/>
        </w:rPr>
      </w:pPr>
      <w:r>
        <w:rPr>
          <w:rFonts w:hint="default" w:cs="Arial"/>
          <w:b/>
          <w:bCs w:val="0"/>
          <w:sz w:val="22"/>
          <w:szCs w:val="22"/>
          <w:highlight w:val="yellow"/>
          <w:lang w:val="pt-BR"/>
        </w:rPr>
        <w:t>1.3.</w:t>
      </w:r>
      <w:r>
        <w:rPr>
          <w:rFonts w:hint="default" w:cs="Arial"/>
          <w:sz w:val="22"/>
          <w:szCs w:val="22"/>
          <w:highlight w:val="yellow"/>
          <w:lang w:val="pt-BR"/>
        </w:rPr>
        <w:t xml:space="preserve"> Possui a empresa, atestados de capacidade técnica operacional em relação as atividades relacionadas ao objeto do certame?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7 ou mais atestados – 25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De 05 a 06 atestados – 20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De 03 a 04 atestados – 15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Sim. De 01 a 02 atestados – 10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Não – sem pontuação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1.3.1.</w:t>
      </w:r>
      <w:r>
        <w:rPr>
          <w:rFonts w:hint="default" w:cs="Arial"/>
          <w:sz w:val="22"/>
          <w:szCs w:val="22"/>
          <w:lang w:val="pt-BR"/>
        </w:rPr>
        <w:t xml:space="preserve"> Item a ser comprovado mediante acompanhada de documentação comprobatória.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highlight w:val="yellow"/>
          <w:lang w:val="pt-BR"/>
        </w:rPr>
      </w:pPr>
      <w:r>
        <w:rPr>
          <w:rFonts w:hint="default" w:cs="Arial"/>
          <w:b/>
          <w:bCs w:val="0"/>
          <w:sz w:val="22"/>
          <w:szCs w:val="22"/>
          <w:highlight w:val="yellow"/>
          <w:lang w:val="pt-BR"/>
        </w:rPr>
        <w:t>1.4.</w:t>
      </w:r>
      <w:r>
        <w:rPr>
          <w:rFonts w:hint="default" w:cs="Arial"/>
          <w:sz w:val="22"/>
          <w:szCs w:val="22"/>
          <w:highlight w:val="yellow"/>
          <w:lang w:val="pt-BR"/>
        </w:rPr>
        <w:t xml:space="preserve"> Possui a empresa, comprovação de tempo de experiência profissional, profissional(is) com formação em Engenharia Civil, regularmente inscrito(s) no Conselho Regional de Engenharia e Agronomia, para elaboração de projetos, planilhas orçamentárias e todos os outros documentos que se fizerem necessários como cronograma e composição de custos?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15 anos ou mais – 25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10 a 14 anos – 20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05 a 09 anos – 15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de 01 a 04 anos – 10 ponto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1.5.</w:t>
      </w:r>
      <w:r>
        <w:rPr>
          <w:rFonts w:hint="default" w:cs="Arial"/>
          <w:sz w:val="22"/>
          <w:szCs w:val="22"/>
          <w:lang w:val="pt-BR"/>
        </w:rPr>
        <w:t xml:space="preserve"> Serão consideradas classificadas tecnicamente as propostas que atingirem nota maior ou igual a 50 (cinquenta) pontos, corresponde a 50% (cinquenta por cento) da pontuação técnica máxima possível da proposta, estimada em 100 (duzentos) pontos.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1.5.1.</w:t>
      </w:r>
      <w:r>
        <w:rPr>
          <w:rFonts w:hint="default" w:cs="Arial"/>
          <w:sz w:val="22"/>
          <w:szCs w:val="22"/>
          <w:lang w:val="pt-BR"/>
        </w:rPr>
        <w:t xml:space="preserve"> Os pontos serão computados uma única vez, por quesito, por profissional, podendo o mesmo pontuar em um único quesito ou em todos sem que prejudique a pontuação da licitante.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1.5.2.</w:t>
      </w:r>
      <w:r>
        <w:rPr>
          <w:rFonts w:hint="default" w:cs="Arial"/>
          <w:sz w:val="22"/>
          <w:szCs w:val="22"/>
          <w:lang w:val="pt-BR"/>
        </w:rPr>
        <w:t xml:space="preserve"> Os quesitos não comprovados importarão na atribuição de Nota Zero no item.</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1.5.3.</w:t>
      </w:r>
      <w:r>
        <w:rPr>
          <w:rFonts w:hint="default" w:cs="Arial"/>
          <w:sz w:val="22"/>
          <w:szCs w:val="22"/>
          <w:lang w:val="pt-BR"/>
        </w:rPr>
        <w:t xml:space="preserve"> Para cada Proposta Técnica será atribuído um Índice Técnico (IT) correspondente, calculado em função da Maior Nota Técnica (MNT) entre elas, conforme a seguinte fórmula: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highlight w:val="yellow"/>
          <w:lang w:val="pt-BR"/>
        </w:rPr>
        <w:t>IT</w:t>
      </w:r>
      <w:r>
        <w:rPr>
          <w:rFonts w:hint="default" w:cs="Arial"/>
          <w:sz w:val="22"/>
          <w:szCs w:val="22"/>
          <w:lang w:val="pt-BR"/>
        </w:rPr>
        <w:t xml:space="preserve"> = NT/MNT Onde: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IT= Índice Técnico da Proposta em análise NT= Nota Técnica da proposta em análise MNT= Maior Nota Técnica entre todas as propostas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1.5.4.</w:t>
      </w:r>
      <w:r>
        <w:rPr>
          <w:rFonts w:hint="default" w:cs="Arial"/>
          <w:sz w:val="22"/>
          <w:szCs w:val="22"/>
          <w:lang w:val="pt-BR"/>
        </w:rPr>
        <w:t xml:space="preserve"> As Propostas Comerciais das licitantes classificadas tecnicamente, após verificação de cumprimento das exigências constantes do Edital e serão pontuadas conforme indicado a           seguir:</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1.5.4.1.</w:t>
      </w:r>
      <w:r>
        <w:rPr>
          <w:rFonts w:hint="default" w:cs="Arial"/>
          <w:sz w:val="22"/>
          <w:szCs w:val="22"/>
          <w:lang w:val="pt-BR"/>
        </w:rPr>
        <w:t xml:space="preserve">  Será atribuído um Índice de Preço (IP), por Proposta de Preços, definido em função do Menor Preço Cotado (MPC) entre elas, como se segue: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highlight w:val="yellow"/>
          <w:lang w:val="pt-BR"/>
        </w:rPr>
        <w:t>IP</w:t>
      </w:r>
      <w:r>
        <w:rPr>
          <w:rFonts w:hint="default" w:cs="Arial"/>
          <w:sz w:val="22"/>
          <w:szCs w:val="22"/>
          <w:lang w:val="pt-BR"/>
        </w:rPr>
        <w:t xml:space="preserve"> = MPC/PC Onde: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IP = Índice de Preço da Proposta em análise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MPC = Menor Preço cotado entre todas as propostas PC = Preço Cotado pela proposta em análise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1.5.5.</w:t>
      </w:r>
      <w:r>
        <w:rPr>
          <w:rFonts w:hint="default" w:cs="Arial"/>
          <w:sz w:val="22"/>
          <w:szCs w:val="22"/>
          <w:lang w:val="pt-BR"/>
        </w:rPr>
        <w:t xml:space="preserve"> Na apuração do Índice de Preços, as notas obtidas pelas licitantes serão arredondadas até os centésimos.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1.5.6.</w:t>
      </w:r>
      <w:r>
        <w:rPr>
          <w:rFonts w:hint="default" w:cs="Arial"/>
          <w:sz w:val="22"/>
          <w:szCs w:val="22"/>
          <w:lang w:val="pt-BR"/>
        </w:rPr>
        <w:t xml:space="preserve"> A Classificação Final das licitantes será obtida de acordo com a MÉDIA PONDERADA das Propostas Técnicas e Propostas de Preços, consequentemente entre os índices: Técnico (IT) e de Preço (IP), de acordo com a seguinte fórmula: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CFL = IT x 6 + IP x 4</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Onde: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 xml:space="preserve">CFL = Classificação Final da Licitante </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ITL = Índice Técnico da Licitante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sz w:val="22"/>
          <w:szCs w:val="22"/>
          <w:lang w:val="pt-BR"/>
        </w:rPr>
        <w:t>IPL = Índice de Preço da Licitante.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w:t>
      </w:r>
      <w:r>
        <w:rPr>
          <w:rFonts w:hint="default" w:cs="Arial"/>
          <w:sz w:val="22"/>
          <w:szCs w:val="22"/>
          <w:lang w:val="pt-BR"/>
        </w:rPr>
        <w:t xml:space="preserve"> Será assegurado, como critério de desempate, quando a melhor oferta inicial não tiver sido apresentada por microempresa ou empresa de pequeno porte, a preferência pela contratação para essas empresas, conforme estabelecido nos artigos 44 e 45, da Lei Complementar nº 123/2006 - Lei Geral das Micros e Pequenas Empresas, nos termos estabelecidos nos itens abaixo: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1.6.1.</w:t>
      </w:r>
      <w:r>
        <w:rPr>
          <w:rFonts w:hint="default" w:cs="Arial"/>
          <w:sz w:val="22"/>
          <w:szCs w:val="22"/>
          <w:lang w:val="pt-BR"/>
        </w:rPr>
        <w:t xml:space="preserve"> Na presente licitação, por ser do tipo técnica e preço, o direito de preferência preconizado no art. 44 da Lei Complementar nº 123/06 somente será exercido se houver empate na nota final, resultante da ponderação entre os fatores técnica e preço.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1.6.2.</w:t>
      </w:r>
      <w:r>
        <w:rPr>
          <w:rFonts w:hint="default" w:cs="Arial"/>
          <w:sz w:val="22"/>
          <w:szCs w:val="22"/>
          <w:lang w:val="pt-BR"/>
        </w:rPr>
        <w:t xml:space="preserve"> Se houver microempresas ou empresas de pequeno porte cujas notas finais, resultantes da técnica e do preço, não sejam inferiores a 10% da melhor nota final, a que tiver oferecido a melhor proposta fará jus ao direito de preferência.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1.6.3</w:t>
      </w:r>
      <w:r>
        <w:rPr>
          <w:rFonts w:hint="default" w:cs="Arial"/>
          <w:sz w:val="22"/>
          <w:szCs w:val="22"/>
          <w:lang w:val="pt-BR"/>
        </w:rPr>
        <w:t>. A situação de empate somente será verificada após ultrapassada a fase recursal da proposta de preços, seja pelo decurso do prazo sem interposição de recurso, ou pelo julgamento definitivo de eventual recurso interposto.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1.6.4.</w:t>
      </w:r>
      <w:r>
        <w:rPr>
          <w:rFonts w:hint="default" w:cs="Arial"/>
          <w:sz w:val="22"/>
          <w:szCs w:val="22"/>
          <w:lang w:val="pt-BR"/>
        </w:rPr>
        <w:t xml:space="preserve"> Ocorrendo o empate, proceder-se-á da seguinte forma:</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1.6.4.1</w:t>
      </w:r>
      <w:r>
        <w:rPr>
          <w:rFonts w:hint="default" w:cs="Arial"/>
          <w:sz w:val="22"/>
          <w:szCs w:val="22"/>
          <w:lang w:val="pt-BR"/>
        </w:rPr>
        <w:t>. A microempresa ou a empresa de pequeno porte, detentora da Nota Final inferior em até 10% (dez por cento) da proposta melhor classificada, pela ordem decrescente, poderá apresentar no prazo de 05 (cinco) dias nova proposta de preços, por escrito e de acordo com disposto neste edital, de tal modo que a Nota Final fique superior àquela considerada, até então, de maior Nota Final, situação em que será declarada vencedora do certame.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 xml:space="preserve">1.6.4.2. </w:t>
      </w:r>
      <w:r>
        <w:rPr>
          <w:rFonts w:hint="default" w:cs="Arial"/>
          <w:sz w:val="22"/>
          <w:szCs w:val="22"/>
          <w:lang w:val="pt-BR"/>
        </w:rPr>
        <w:t>Se a microempresa ou a empresa de pequeno porte, convocada na forma do item anterior, não apresentar nova proposta de preços que resulte nota final superior a maior nota final até então, será facultada, pela ordem de classificação, às demais microempresas, empresas de pequeno porte remanescentes, que se enquadrarem nas hipóteses da alínea “a” acima, a apresentação de nova proposta de preços, no prazo e na forma prevista no referido item.</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1.6.4.3.</w:t>
      </w:r>
      <w:r>
        <w:rPr>
          <w:rFonts w:hint="default" w:cs="Arial"/>
          <w:sz w:val="22"/>
          <w:szCs w:val="22"/>
          <w:lang w:val="pt-BR"/>
        </w:rPr>
        <w:t xml:space="preserve"> Se houver duas ou mais microempresas e/ou empresas de pequeno porte com proposta de preços com valores iguais, será realizado sorteio para estabelecer a ordem em que serão convocadas para a apresentação de nova proposta de preços, na forma dos itens anteriores.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1.6.4.4.</w:t>
      </w:r>
      <w:r>
        <w:rPr>
          <w:rFonts w:hint="default" w:cs="Arial"/>
          <w:sz w:val="22"/>
          <w:szCs w:val="22"/>
          <w:lang w:val="pt-BR"/>
        </w:rPr>
        <w:t xml:space="preserve"> Se nenhuma microempresa, empresa de pequeno porte, satisfizer as exigências acima previstas no edital, será declarado vencedor do certame o licitante detentor da Nota Final obtida no certame.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1.6.5.</w:t>
      </w:r>
      <w:r>
        <w:rPr>
          <w:rFonts w:hint="default" w:cs="Arial"/>
          <w:sz w:val="22"/>
          <w:szCs w:val="22"/>
          <w:lang w:val="pt-BR"/>
        </w:rPr>
        <w:t xml:space="preserve"> Na hipótese de não utilização do direito de preferência por parte das Microempresas ou Empresas de Pequeno porte, nos termos previstos nos subitens anteriores, o objeto licitado será adjudicado em favor da proposta inicialmente vencedora do certame.</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1.6.6</w:t>
      </w:r>
      <w:r>
        <w:rPr>
          <w:rFonts w:hint="default" w:cs="Arial"/>
          <w:sz w:val="22"/>
          <w:szCs w:val="22"/>
          <w:lang w:val="pt-BR"/>
        </w:rPr>
        <w:t>. Caso não existam Microempresas ou Empresa de Pequeno Porte na situação prevista no item 10.10 e duas ou mais licitantes apresentem notas iguais, o desempate será feito com base nos critérios do § 2º, do artigo 3º, da lei federal nº 8.666/93 e suas posteriores atualizações.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1.6.7.</w:t>
      </w:r>
      <w:r>
        <w:rPr>
          <w:rFonts w:hint="default" w:cs="Arial"/>
          <w:sz w:val="22"/>
          <w:szCs w:val="22"/>
          <w:lang w:val="pt-BR"/>
        </w:rPr>
        <w:t xml:space="preserve"> Prevalecendo o empate, será feito sorteio em ato público, para o qual todas as licitantes classificadas serão convocadas, na forma do § 2º, do artigo 45, da mesma lei, mediante publicação na forma da lei.</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1.6.8.</w:t>
      </w:r>
      <w:r>
        <w:rPr>
          <w:rFonts w:hint="default" w:cs="Arial"/>
          <w:sz w:val="22"/>
          <w:szCs w:val="22"/>
          <w:lang w:val="pt-BR"/>
        </w:rPr>
        <w:t xml:space="preserve"> Após o julgamento e a realização do desempate, a Comissão de Julgamento de Licitações classificará as empresas participantes.</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1.6.9</w:t>
      </w:r>
      <w:r>
        <w:rPr>
          <w:rFonts w:hint="default" w:cs="Arial"/>
          <w:sz w:val="22"/>
          <w:szCs w:val="22"/>
          <w:lang w:val="pt-BR"/>
        </w:rPr>
        <w:t>. Decorrido o prazo de interposição de recurso ou julgado o recurso interposto, a Comissão de Licitações encaminhará o processo licitatório para HOMOLOGAÇÃO e ADJUDICAÇÃO.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r>
        <w:rPr>
          <w:rFonts w:hint="default" w:cs="Arial"/>
          <w:b/>
          <w:bCs w:val="0"/>
          <w:sz w:val="22"/>
          <w:szCs w:val="22"/>
          <w:lang w:val="pt-BR"/>
        </w:rPr>
        <w:t>11.6.10.</w:t>
      </w:r>
      <w:r>
        <w:rPr>
          <w:rFonts w:hint="default" w:cs="Arial"/>
          <w:sz w:val="22"/>
          <w:szCs w:val="22"/>
          <w:lang w:val="pt-BR"/>
        </w:rPr>
        <w:t xml:space="preserve"> É facultada à Comissão ou autoridade superior, em qualquer fase desta licitação, a promoção de diligência destinada a esclarecer ou a complementar a instrução do processo.</w:t>
      </w: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p>
    <w:p>
      <w:pPr>
        <w:pStyle w:val="348"/>
        <w:keepNext w:val="0"/>
        <w:keepLines w:val="0"/>
        <w:pageBreakBefore w:val="0"/>
        <w:kinsoku/>
        <w:wordWrap/>
        <w:overflowPunct/>
        <w:topLinePunct w:val="0"/>
        <w:autoSpaceDE/>
        <w:autoSpaceDN/>
        <w:bidi w:val="0"/>
        <w:adjustRightInd/>
        <w:spacing w:before="0" w:beforeAutospacing="0" w:after="120" w:afterAutospacing="0"/>
        <w:ind w:left="0" w:leftChars="0" w:firstLine="0" w:firstLineChars="0"/>
        <w:textAlignment w:val="auto"/>
        <w:rPr>
          <w:rFonts w:hint="default" w:cs="Arial"/>
          <w:sz w:val="22"/>
          <w:szCs w:val="22"/>
          <w:lang w:val="pt-BR"/>
        </w:rPr>
      </w:pPr>
      <w:bookmarkStart w:id="59" w:name="_GoBack"/>
      <w:bookmarkEnd w:id="59"/>
    </w:p>
    <w:p>
      <w:pPr>
        <w:pStyle w:val="198"/>
      </w:pPr>
      <w:bookmarkStart w:id="39" w:name="_Toc380557838"/>
      <w:bookmarkStart w:id="40" w:name="_Toc514666351"/>
      <w:r>
        <w:t>ANEXO III - MODELO DE PROPOSTA</w:t>
      </w:r>
      <w:bookmarkEnd w:id="39"/>
      <w:r>
        <w:t xml:space="preserve"> DE PREÇOS</w:t>
      </w:r>
      <w:bookmarkEnd w:id="40"/>
    </w:p>
    <w:p>
      <w:pPr>
        <w:spacing w:line="276" w:lineRule="auto"/>
        <w:ind w:right="27"/>
        <w:jc w:val="both"/>
        <w:rPr>
          <w:rFonts w:ascii="Arial" w:hAnsi="Arial" w:cs="Arial"/>
          <w:b/>
          <w:sz w:val="22"/>
          <w:szCs w:val="22"/>
        </w:rPr>
      </w:pPr>
    </w:p>
    <w:p>
      <w:pPr>
        <w:spacing w:line="276" w:lineRule="auto"/>
        <w:ind w:right="27"/>
        <w:jc w:val="both"/>
        <w:rPr>
          <w:rFonts w:ascii="Arial" w:hAnsi="Arial" w:cs="Arial"/>
          <w:b/>
          <w:sz w:val="18"/>
          <w:szCs w:val="18"/>
        </w:rPr>
      </w:pPr>
      <w:r>
        <w:rPr>
          <w:rFonts w:ascii="Arial" w:hAnsi="Arial" w:cs="Arial"/>
          <w:b/>
          <w:sz w:val="18"/>
          <w:szCs w:val="18"/>
        </w:rPr>
        <w:t xml:space="preserve">Licitação: nº </w:t>
      </w:r>
      <w:r>
        <w:rPr>
          <w:rFonts w:hint="default" w:ascii="Arial" w:hAnsi="Arial" w:cs="Arial"/>
          <w:b/>
          <w:sz w:val="18"/>
          <w:szCs w:val="18"/>
          <w:lang w:val="pt-BR"/>
        </w:rPr>
        <w:t>005/2023</w:t>
      </w:r>
      <w:r>
        <w:rPr>
          <w:rFonts w:ascii="Arial" w:hAnsi="Arial" w:cs="Arial"/>
          <w:b/>
          <w:sz w:val="18"/>
          <w:szCs w:val="18"/>
        </w:rPr>
        <w:t xml:space="preserve">  Modalidade: </w:t>
      </w:r>
      <w:r>
        <w:rPr>
          <w:rFonts w:hint="default" w:ascii="Arial" w:hAnsi="Arial" w:cs="Arial"/>
          <w:b/>
          <w:sz w:val="18"/>
          <w:szCs w:val="18"/>
          <w:lang w:val="pt-BR"/>
        </w:rPr>
        <w:t>TOMADA DE PREÇOS</w:t>
      </w:r>
      <w:r>
        <w:rPr>
          <w:rFonts w:ascii="Arial" w:hAnsi="Arial" w:cs="Arial"/>
          <w:b/>
          <w:sz w:val="18"/>
          <w:szCs w:val="18"/>
        </w:rPr>
        <w:t xml:space="preserve">   Tipo: </w:t>
      </w:r>
      <w:r>
        <w:rPr>
          <w:rFonts w:ascii="Arial" w:hAnsi="Arial" w:cs="Arial"/>
          <w:b/>
          <w:sz w:val="18"/>
          <w:szCs w:val="18"/>
          <w:lang w:val="pt-BR"/>
        </w:rPr>
        <w:t>MELHOR TÉCNICA E PREÇO POR LOTE</w:t>
      </w:r>
      <w:r>
        <w:rPr>
          <w:rFonts w:ascii="Arial" w:hAnsi="Arial" w:cs="Arial"/>
          <w:b/>
          <w:sz w:val="18"/>
          <w:szCs w:val="18"/>
        </w:rPr>
        <w:t xml:space="preserve">  </w:t>
      </w:r>
    </w:p>
    <w:p>
      <w:pPr>
        <w:spacing w:line="276" w:lineRule="auto"/>
        <w:ind w:right="27"/>
        <w:jc w:val="both"/>
        <w:rPr>
          <w:rFonts w:ascii="Arial" w:hAnsi="Arial" w:cs="Arial"/>
          <w:b/>
          <w:sz w:val="18"/>
          <w:szCs w:val="18"/>
        </w:rPr>
      </w:pPr>
      <w:r>
        <w:rPr>
          <w:rFonts w:ascii="Arial" w:hAnsi="Arial" w:cs="Arial"/>
          <w:b/>
          <w:sz w:val="18"/>
          <w:szCs w:val="18"/>
        </w:rPr>
        <w:t>Regime de Execução: EMPREITADA POR PREÇO UNITÁRIO.</w:t>
      </w:r>
    </w:p>
    <w:p>
      <w:pPr>
        <w:spacing w:line="276" w:lineRule="auto"/>
        <w:ind w:right="27"/>
        <w:jc w:val="both"/>
        <w:rPr>
          <w:rFonts w:hint="default" w:ascii="Arial" w:hAnsi="Arial" w:cs="Arial"/>
          <w:b/>
          <w:bCs/>
          <w:sz w:val="18"/>
          <w:szCs w:val="18"/>
          <w:lang w:val="pt-BR"/>
        </w:rPr>
      </w:pPr>
      <w:r>
        <w:rPr>
          <w:rFonts w:ascii="Arial" w:hAnsi="Arial" w:cs="Arial"/>
          <w:b/>
          <w:sz w:val="18"/>
          <w:szCs w:val="18"/>
        </w:rPr>
        <w:t>Consumidora:</w:t>
      </w:r>
      <w:r>
        <w:rPr>
          <w:rFonts w:ascii="Arial" w:hAnsi="Arial" w:cs="Arial"/>
          <w:b/>
          <w:color w:val="FF0000"/>
          <w:sz w:val="18"/>
          <w:szCs w:val="18"/>
        </w:rPr>
        <w:t xml:space="preserve"> </w:t>
      </w:r>
      <w:r>
        <w:rPr>
          <w:rFonts w:ascii="Arial" w:hAnsi="Arial" w:cs="Arial"/>
          <w:b/>
          <w:bCs/>
          <w:sz w:val="18"/>
          <w:szCs w:val="18"/>
          <w:lang w:val="pt-BR"/>
        </w:rPr>
        <w:t>Secretaria Municipal de Educação</w:t>
      </w:r>
    </w:p>
    <w:p>
      <w:pPr>
        <w:rPr>
          <w:rFonts w:ascii="Arial" w:hAnsi="Arial" w:cs="Arial"/>
          <w:b/>
          <w:sz w:val="18"/>
          <w:szCs w:val="18"/>
        </w:rPr>
      </w:pPr>
      <w:r>
        <w:rPr>
          <w:rFonts w:ascii="Arial" w:hAnsi="Arial" w:cs="Arial"/>
          <w:b/>
          <w:sz w:val="18"/>
          <w:szCs w:val="18"/>
        </w:rPr>
        <w:t>Licitante: _______________________________________________________C.N.P.J ______________</w:t>
      </w:r>
    </w:p>
    <w:p>
      <w:pPr>
        <w:rPr>
          <w:rFonts w:ascii="Arial" w:hAnsi="Arial" w:cs="Arial"/>
          <w:b/>
          <w:sz w:val="18"/>
          <w:szCs w:val="18"/>
        </w:rPr>
      </w:pPr>
      <w:r>
        <w:rPr>
          <w:rFonts w:ascii="Arial" w:hAnsi="Arial" w:cs="Arial"/>
          <w:b/>
          <w:sz w:val="18"/>
          <w:szCs w:val="18"/>
        </w:rPr>
        <w:t>Tel Fax: (__)_______ _______</w:t>
      </w:r>
      <w:r>
        <w:rPr>
          <w:rFonts w:ascii="Arial" w:hAnsi="Arial" w:cs="Arial"/>
          <w:b/>
          <w:bCs/>
          <w:sz w:val="18"/>
          <w:szCs w:val="18"/>
        </w:rPr>
        <w:t>E</w:t>
      </w:r>
      <w:r>
        <w:rPr>
          <w:rFonts w:ascii="Arial" w:hAnsi="Arial" w:cs="Arial"/>
          <w:b/>
          <w:sz w:val="18"/>
          <w:szCs w:val="18"/>
        </w:rPr>
        <w:t xml:space="preserve">-mail </w:t>
      </w:r>
      <w:r>
        <w:rPr>
          <w:rFonts w:ascii="Arial" w:hAnsi="Arial" w:cs="Arial"/>
          <w:b/>
          <w:bCs/>
          <w:sz w:val="18"/>
          <w:szCs w:val="18"/>
        </w:rPr>
        <w:t>_____________</w:t>
      </w:r>
      <w:r>
        <w:rPr>
          <w:rFonts w:ascii="Arial" w:hAnsi="Arial" w:cs="Arial"/>
          <w:b/>
          <w:sz w:val="18"/>
          <w:szCs w:val="18"/>
        </w:rPr>
        <w:t xml:space="preserve">Tel. </w:t>
      </w:r>
      <w:r>
        <w:rPr>
          <w:rFonts w:ascii="Arial" w:hAnsi="Arial" w:cs="Arial"/>
          <w:b/>
          <w:bCs/>
          <w:sz w:val="18"/>
          <w:szCs w:val="18"/>
        </w:rPr>
        <w:t>(__)________ _____</w:t>
      </w:r>
      <w:r>
        <w:rPr>
          <w:rFonts w:ascii="Arial" w:hAnsi="Arial" w:cs="Arial"/>
          <w:b/>
          <w:sz w:val="18"/>
          <w:szCs w:val="18"/>
        </w:rPr>
        <w:t xml:space="preserve">Celular: (__)__________ </w:t>
      </w:r>
    </w:p>
    <w:p>
      <w:pPr>
        <w:rPr>
          <w:rFonts w:ascii="Arial" w:hAnsi="Arial" w:cs="Arial"/>
          <w:b/>
          <w:sz w:val="18"/>
          <w:szCs w:val="18"/>
        </w:rPr>
      </w:pPr>
      <w:r>
        <w:rPr>
          <w:rFonts w:ascii="Arial" w:hAnsi="Arial" w:cs="Arial"/>
          <w:b/>
          <w:sz w:val="18"/>
          <w:szCs w:val="18"/>
        </w:rPr>
        <w:t>Endereço: __________________________________________________________</w:t>
      </w:r>
    </w:p>
    <w:p>
      <w:pPr>
        <w:rPr>
          <w:rFonts w:ascii="Arial" w:hAnsi="Arial" w:cs="Arial"/>
          <w:b/>
          <w:sz w:val="18"/>
          <w:szCs w:val="18"/>
        </w:rPr>
      </w:pPr>
      <w:r>
        <w:rPr>
          <w:rFonts w:ascii="Arial" w:hAnsi="Arial" w:cs="Arial"/>
          <w:b/>
          <w:sz w:val="18"/>
          <w:szCs w:val="18"/>
        </w:rPr>
        <w:t>Conta Corrente:  ____________ Agência: ______________ Banco:  __________</w:t>
      </w:r>
    </w:p>
    <w:p>
      <w:pPr>
        <w:tabs>
          <w:tab w:val="left" w:pos="2714"/>
          <w:tab w:val="left" w:pos="10419"/>
        </w:tabs>
        <w:jc w:val="both"/>
        <w:rPr>
          <w:rFonts w:ascii="Arial" w:hAnsi="Arial" w:cs="Arial"/>
          <w:sz w:val="22"/>
          <w:szCs w:val="22"/>
        </w:rPr>
      </w:pPr>
    </w:p>
    <w:p>
      <w:pPr>
        <w:tabs>
          <w:tab w:val="left" w:pos="2714"/>
          <w:tab w:val="left" w:pos="10419"/>
        </w:tabs>
        <w:jc w:val="both"/>
        <w:rPr>
          <w:rFonts w:ascii="Arial" w:hAnsi="Arial" w:cs="Arial"/>
          <w:i/>
          <w:sz w:val="20"/>
          <w:szCs w:val="20"/>
        </w:rPr>
      </w:pPr>
      <w:r>
        <w:rPr>
          <w:rFonts w:ascii="Arial" w:hAnsi="Arial" w:cs="Arial"/>
          <w:i/>
          <w:sz w:val="20"/>
          <w:szCs w:val="20"/>
        </w:rPr>
        <w:t xml:space="preserve">Apresentamos a Vossa Senhoria nossa Proposta Comercial referente à </w:t>
      </w:r>
      <w:r>
        <w:rPr>
          <w:rFonts w:hint="default" w:ascii="Arial" w:hAnsi="Arial" w:cs="Arial"/>
          <w:sz w:val="22"/>
          <w:szCs w:val="22"/>
          <w:lang w:val="pt-BR"/>
        </w:rPr>
        <w:t>CONTRATAÇÃO DE PESSOA JURÍDICA ESPECIALIZADA NA ELABORAÇÃO DE PROJETO BÁSICO E EXECUTIVO DE UMA REDE DE DRENAGEM URBANA PARA O TRANSPORTE DE ÁGUAS PLUVIAIS DE UMA ÁREA LOCALIZADA NO CENTRO DO MUNICÍPIO (MAPA 01) PARA O DESTINO FINAL LOCALIZADO NA ÁREA DE MATA APÓS, APROXIMADAMENTE 550 METROS, O PRÉDIO QUE SE ENCONTRA INSTALADO O JORNAL O DIÁRIO (AS MARGENS DA RODOVIA FEDERAL BR 070). O TRECHO DESDE DO INICIO ATÉ O PONTO FINAL POSSUI  APROXIMADAMENTE DE 2.550 METROS DE EXTENSÃO</w:t>
      </w:r>
      <w:r>
        <w:rPr>
          <w:rFonts w:ascii="Arial" w:hAnsi="Arial" w:cs="Arial"/>
          <w:sz w:val="20"/>
          <w:szCs w:val="20"/>
        </w:rPr>
        <w:t>, conforme especificações constantes no Projeto Básico, que é parte integrante deste Edital.</w:t>
      </w:r>
    </w:p>
    <w:p>
      <w:pPr>
        <w:tabs>
          <w:tab w:val="left" w:pos="2714"/>
          <w:tab w:val="left" w:pos="10419"/>
        </w:tabs>
        <w:jc w:val="both"/>
        <w:rPr>
          <w:rFonts w:ascii="Arial" w:hAnsi="Arial" w:cs="Arial"/>
          <w:i/>
          <w:sz w:val="20"/>
          <w:szCs w:val="20"/>
        </w:rPr>
      </w:pPr>
    </w:p>
    <w:tbl>
      <w:tblPr>
        <w:tblStyle w:val="12"/>
        <w:tblW w:w="9438" w:type="dxa"/>
        <w:jc w:val="center"/>
        <w:tblLayout w:type="fixed"/>
        <w:tblCellMar>
          <w:top w:w="0" w:type="dxa"/>
          <w:left w:w="70" w:type="dxa"/>
          <w:bottom w:w="0" w:type="dxa"/>
          <w:right w:w="70" w:type="dxa"/>
        </w:tblCellMar>
      </w:tblPr>
      <w:tblGrid>
        <w:gridCol w:w="838"/>
        <w:gridCol w:w="1125"/>
        <w:gridCol w:w="1665"/>
        <w:gridCol w:w="1042"/>
        <w:gridCol w:w="825"/>
        <w:gridCol w:w="349"/>
        <w:gridCol w:w="993"/>
        <w:gridCol w:w="1055"/>
        <w:gridCol w:w="1487"/>
        <w:gridCol w:w="59"/>
      </w:tblGrid>
      <w:tr>
        <w:tblPrEx>
          <w:tblCellMar>
            <w:top w:w="0" w:type="dxa"/>
            <w:left w:w="70" w:type="dxa"/>
            <w:bottom w:w="0" w:type="dxa"/>
            <w:right w:w="70" w:type="dxa"/>
          </w:tblCellMar>
        </w:tblPrEx>
        <w:trPr>
          <w:gridAfter w:val="1"/>
          <w:wAfter w:w="59" w:type="dxa"/>
          <w:trHeight w:val="300" w:hRule="atLeast"/>
          <w:jc w:val="center"/>
        </w:trPr>
        <w:tc>
          <w:tcPr>
            <w:tcW w:w="5495" w:type="dxa"/>
            <w:gridSpan w:val="5"/>
            <w:tcBorders>
              <w:top w:val="nil"/>
              <w:left w:val="nil"/>
              <w:bottom w:val="nil"/>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eastAsia" w:ascii="Arial" w:hAnsi="Arial" w:cs="Arial"/>
                <w:sz w:val="20"/>
                <w:szCs w:val="20"/>
              </w:rPr>
            </w:pPr>
            <w:r>
              <w:rPr>
                <w:rFonts w:hint="eastAsia" w:ascii="Arial" w:hAnsi="Arial" w:cs="Arial"/>
                <w:i/>
                <w:sz w:val="20"/>
                <w:szCs w:val="20"/>
              </w:rPr>
              <w:t>.</w:t>
            </w:r>
          </w:p>
        </w:tc>
        <w:tc>
          <w:tcPr>
            <w:tcW w:w="3884"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eastAsia" w:ascii="Arial" w:hAnsi="Arial" w:cs="Arial"/>
                <w:sz w:val="20"/>
                <w:szCs w:val="20"/>
              </w:rPr>
            </w:pPr>
            <w:r>
              <w:rPr>
                <w:rFonts w:hint="eastAsia" w:ascii="Arial" w:hAnsi="Arial" w:cs="Arial"/>
                <w:sz w:val="20"/>
                <w:szCs w:val="20"/>
              </w:rPr>
              <w:t>BDI:                              %</w:t>
            </w:r>
          </w:p>
        </w:tc>
      </w:tr>
      <w:tr>
        <w:tblPrEx>
          <w:tblCellMar>
            <w:top w:w="0" w:type="dxa"/>
            <w:left w:w="70" w:type="dxa"/>
            <w:bottom w:w="0" w:type="dxa"/>
            <w:right w:w="70" w:type="dxa"/>
          </w:tblCellMar>
        </w:tblPrEx>
        <w:trPr>
          <w:trHeight w:val="600" w:hRule="atLeast"/>
          <w:jc w:val="center"/>
        </w:trPr>
        <w:tc>
          <w:tcPr>
            <w:tcW w:w="838" w:type="dxa"/>
            <w:tcBorders>
              <w:top w:val="single" w:color="000000" w:sz="4" w:space="0"/>
              <w:left w:val="single" w:color="000000" w:sz="4" w:space="0"/>
              <w:bottom w:val="nil"/>
              <w:right w:val="single" w:color="000000" w:sz="4" w:space="0"/>
            </w:tcBorders>
            <w:shd w:val="clear" w:color="CCCCFF" w:fill="BFBFBF"/>
            <w:vAlign w:val="center"/>
          </w:tcPr>
          <w:p>
            <w:pPr>
              <w:keepNext w:val="0"/>
              <w:keepLines w:val="0"/>
              <w:widowControl/>
              <w:suppressLineNumbers w:val="0"/>
              <w:spacing w:before="0" w:beforeAutospacing="0" w:after="0" w:afterAutospacing="0"/>
              <w:ind w:left="0" w:right="0"/>
              <w:jc w:val="center"/>
              <w:rPr>
                <w:rFonts w:hint="default" w:ascii="Arial" w:hAnsi="Arial" w:cs="Arial"/>
                <w:b/>
                <w:bCs/>
                <w:sz w:val="20"/>
                <w:szCs w:val="20"/>
                <w:lang w:val="pt-BR"/>
              </w:rPr>
            </w:pPr>
            <w:r>
              <w:rPr>
                <w:rFonts w:hint="default" w:ascii="Arial" w:hAnsi="Arial" w:cs="Arial"/>
                <w:b/>
                <w:bCs/>
                <w:sz w:val="20"/>
                <w:szCs w:val="20"/>
                <w:lang w:val="pt-BR"/>
              </w:rPr>
              <w:t>LOTE</w:t>
            </w:r>
          </w:p>
        </w:tc>
        <w:tc>
          <w:tcPr>
            <w:tcW w:w="1125" w:type="dxa"/>
            <w:tcBorders>
              <w:top w:val="single" w:color="000000" w:sz="4" w:space="0"/>
              <w:left w:val="nil"/>
              <w:bottom w:val="nil"/>
              <w:right w:val="single" w:color="000000" w:sz="4" w:space="0"/>
            </w:tcBorders>
            <w:shd w:val="clear" w:color="CCCCFF" w:fill="BFBFBF"/>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r>
              <w:rPr>
                <w:rFonts w:hint="eastAsia" w:ascii="Arial" w:hAnsi="Arial" w:cs="Arial"/>
                <w:b/>
                <w:bCs/>
                <w:sz w:val="20"/>
                <w:szCs w:val="20"/>
              </w:rPr>
              <w:t>CÓDIGO</w:t>
            </w:r>
          </w:p>
        </w:tc>
        <w:tc>
          <w:tcPr>
            <w:tcW w:w="1665" w:type="dxa"/>
            <w:tcBorders>
              <w:top w:val="single" w:color="000000" w:sz="4" w:space="0"/>
              <w:left w:val="nil"/>
              <w:bottom w:val="nil"/>
              <w:right w:val="single" w:color="000000" w:sz="4" w:space="0"/>
            </w:tcBorders>
            <w:shd w:val="clear" w:color="CCCCFF" w:fill="BFBFBF"/>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r>
              <w:rPr>
                <w:rFonts w:hint="eastAsia" w:ascii="Arial" w:hAnsi="Arial" w:cs="Arial"/>
                <w:b/>
                <w:bCs/>
                <w:sz w:val="20"/>
                <w:szCs w:val="20"/>
              </w:rPr>
              <w:t>DESCRIÇÃO</w:t>
            </w:r>
          </w:p>
        </w:tc>
        <w:tc>
          <w:tcPr>
            <w:tcW w:w="1042" w:type="dxa"/>
            <w:tcBorders>
              <w:top w:val="single" w:color="000000" w:sz="4" w:space="0"/>
              <w:left w:val="nil"/>
              <w:bottom w:val="nil"/>
              <w:right w:val="single" w:color="000000" w:sz="4" w:space="0"/>
            </w:tcBorders>
            <w:shd w:val="clear" w:color="CCCCFF" w:fill="BFBFBF"/>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r>
              <w:rPr>
                <w:rFonts w:hint="eastAsia" w:ascii="Arial" w:hAnsi="Arial" w:cs="Arial"/>
                <w:b/>
                <w:bCs/>
                <w:sz w:val="20"/>
                <w:szCs w:val="20"/>
              </w:rPr>
              <w:t>UNIDADE</w:t>
            </w:r>
          </w:p>
        </w:tc>
        <w:tc>
          <w:tcPr>
            <w:tcW w:w="1174" w:type="dxa"/>
            <w:gridSpan w:val="2"/>
            <w:tcBorders>
              <w:top w:val="single" w:color="000000" w:sz="4" w:space="0"/>
              <w:left w:val="nil"/>
              <w:bottom w:val="nil"/>
              <w:right w:val="single" w:color="000000" w:sz="4" w:space="0"/>
            </w:tcBorders>
            <w:shd w:val="clear" w:color="CCCCFF" w:fill="BFBFBF"/>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r>
              <w:rPr>
                <w:rFonts w:hint="eastAsia" w:ascii="Arial" w:hAnsi="Arial" w:cs="Arial"/>
                <w:b/>
                <w:bCs/>
                <w:sz w:val="20"/>
                <w:szCs w:val="20"/>
              </w:rPr>
              <w:t xml:space="preserve"> QUANT. </w:t>
            </w:r>
          </w:p>
        </w:tc>
        <w:tc>
          <w:tcPr>
            <w:tcW w:w="993" w:type="dxa"/>
            <w:tcBorders>
              <w:top w:val="single" w:color="000000" w:sz="4" w:space="0"/>
              <w:left w:val="nil"/>
              <w:bottom w:val="nil"/>
              <w:right w:val="single" w:color="000000" w:sz="4" w:space="0"/>
            </w:tcBorders>
            <w:shd w:val="clear" w:color="CCCCFF" w:fill="BFBFBF"/>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r>
              <w:rPr>
                <w:rFonts w:hint="eastAsia" w:ascii="Arial" w:hAnsi="Arial" w:cs="Arial"/>
                <w:b/>
                <w:bCs/>
                <w:sz w:val="20"/>
                <w:szCs w:val="20"/>
              </w:rPr>
              <w:t xml:space="preserve"> PREÇO UNIT sem BDI (R$) </w:t>
            </w:r>
          </w:p>
        </w:tc>
        <w:tc>
          <w:tcPr>
            <w:tcW w:w="1055" w:type="dxa"/>
            <w:tcBorders>
              <w:top w:val="single" w:color="000000" w:sz="4" w:space="0"/>
              <w:left w:val="nil"/>
              <w:bottom w:val="nil"/>
              <w:right w:val="single" w:color="000000" w:sz="4" w:space="0"/>
            </w:tcBorders>
            <w:shd w:val="clear" w:color="CCCCFF" w:fill="BFBFBF"/>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r>
              <w:rPr>
                <w:rFonts w:hint="eastAsia" w:ascii="Arial" w:hAnsi="Arial" w:cs="Arial"/>
                <w:b/>
                <w:bCs/>
                <w:sz w:val="20"/>
                <w:szCs w:val="20"/>
              </w:rPr>
              <w:t>PREÇO UNIT com BDI (R$)</w:t>
            </w:r>
          </w:p>
        </w:tc>
        <w:tc>
          <w:tcPr>
            <w:tcW w:w="1546" w:type="dxa"/>
            <w:gridSpan w:val="2"/>
            <w:tcBorders>
              <w:top w:val="single" w:color="000000" w:sz="4" w:space="0"/>
              <w:left w:val="nil"/>
              <w:bottom w:val="nil"/>
              <w:right w:val="single" w:color="000000" w:sz="4" w:space="0"/>
            </w:tcBorders>
            <w:shd w:val="clear" w:color="CCCCFF" w:fill="BFBFBF"/>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r>
              <w:rPr>
                <w:rFonts w:hint="eastAsia" w:ascii="Arial" w:hAnsi="Arial" w:cs="Arial"/>
                <w:b/>
                <w:bCs/>
                <w:sz w:val="20"/>
                <w:szCs w:val="20"/>
              </w:rPr>
              <w:t>PREÇO TOTAL COM BDI (R$)</w:t>
            </w:r>
          </w:p>
        </w:tc>
      </w:tr>
      <w:tr>
        <w:tblPrEx>
          <w:tblCellMar>
            <w:top w:w="0" w:type="dxa"/>
            <w:left w:w="70" w:type="dxa"/>
            <w:bottom w:w="0" w:type="dxa"/>
            <w:right w:w="70" w:type="dxa"/>
          </w:tblCellMar>
        </w:tblPrEx>
        <w:trPr>
          <w:trHeight w:val="70" w:hRule="atLeast"/>
          <w:jc w:val="center"/>
        </w:trPr>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p>
        </w:tc>
        <w:tc>
          <w:tcPr>
            <w:tcW w:w="1125"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p>
        </w:tc>
        <w:tc>
          <w:tcPr>
            <w:tcW w:w="1665"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rPr>
                <w:rFonts w:hint="eastAsia" w:ascii="Arial" w:hAnsi="Arial" w:cs="Arial"/>
                <w:b/>
                <w:bCs/>
                <w:sz w:val="20"/>
                <w:szCs w:val="20"/>
              </w:rPr>
            </w:pPr>
          </w:p>
        </w:tc>
        <w:tc>
          <w:tcPr>
            <w:tcW w:w="1042"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rPr>
                <w:rFonts w:hint="eastAsia" w:ascii="Arial" w:hAnsi="Arial" w:cs="Arial"/>
                <w:b/>
                <w:bCs/>
                <w:sz w:val="20"/>
                <w:szCs w:val="20"/>
              </w:rPr>
            </w:pPr>
            <w:r>
              <w:rPr>
                <w:rFonts w:hint="eastAsia" w:ascii="Arial" w:hAnsi="Arial" w:cs="Arial"/>
                <w:b/>
                <w:bCs/>
                <w:sz w:val="20"/>
                <w:szCs w:val="20"/>
              </w:rPr>
              <w:t> </w:t>
            </w:r>
          </w:p>
        </w:tc>
        <w:tc>
          <w:tcPr>
            <w:tcW w:w="1174" w:type="dxa"/>
            <w:gridSpan w:val="2"/>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rPr>
                <w:rFonts w:hint="eastAsia" w:ascii="Arial" w:hAnsi="Arial" w:cs="Arial"/>
                <w:b/>
                <w:bCs/>
                <w:sz w:val="20"/>
                <w:szCs w:val="20"/>
              </w:rPr>
            </w:pPr>
            <w:r>
              <w:rPr>
                <w:rFonts w:hint="eastAsia" w:ascii="Arial" w:hAnsi="Arial" w:cs="Arial"/>
                <w:b/>
                <w:bCs/>
                <w:sz w:val="20"/>
                <w:szCs w:val="20"/>
              </w:rPr>
              <w:t> </w:t>
            </w:r>
          </w:p>
        </w:tc>
        <w:tc>
          <w:tcPr>
            <w:tcW w:w="993"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rPr>
                <w:rFonts w:hint="eastAsia" w:ascii="Arial" w:hAnsi="Arial" w:cs="Arial"/>
                <w:sz w:val="20"/>
                <w:szCs w:val="20"/>
              </w:rPr>
            </w:pPr>
          </w:p>
        </w:tc>
        <w:tc>
          <w:tcPr>
            <w:tcW w:w="1055"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jc w:val="right"/>
              <w:rPr>
                <w:rFonts w:hint="eastAsia" w:ascii="Arial" w:hAnsi="Arial" w:cs="Arial"/>
                <w:b/>
                <w:bCs/>
                <w:sz w:val="20"/>
                <w:szCs w:val="20"/>
              </w:rPr>
            </w:pPr>
          </w:p>
        </w:tc>
        <w:tc>
          <w:tcPr>
            <w:tcW w:w="1546" w:type="dxa"/>
            <w:gridSpan w:val="2"/>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jc w:val="right"/>
              <w:rPr>
                <w:rFonts w:hint="eastAsia" w:ascii="Arial" w:hAnsi="Arial" w:cs="Arial"/>
                <w:b/>
                <w:bCs/>
                <w:sz w:val="20"/>
                <w:szCs w:val="20"/>
              </w:rPr>
            </w:pPr>
          </w:p>
        </w:tc>
      </w:tr>
      <w:tr>
        <w:tblPrEx>
          <w:tblCellMar>
            <w:top w:w="0" w:type="dxa"/>
            <w:left w:w="70" w:type="dxa"/>
            <w:bottom w:w="0" w:type="dxa"/>
            <w:right w:w="70" w:type="dxa"/>
          </w:tblCellMar>
        </w:tblPrEx>
        <w:trPr>
          <w:trHeight w:val="300" w:hRule="atLeast"/>
          <w:jc w:val="center"/>
        </w:trPr>
        <w:tc>
          <w:tcPr>
            <w:tcW w:w="838"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p>
        </w:tc>
        <w:tc>
          <w:tcPr>
            <w:tcW w:w="1125"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jc w:val="center"/>
              <w:rPr>
                <w:rFonts w:hint="eastAsia" w:ascii="Arial" w:hAnsi="Arial" w:cs="Arial"/>
                <w:b/>
                <w:bCs/>
                <w:sz w:val="20"/>
                <w:szCs w:val="20"/>
              </w:rPr>
            </w:pPr>
          </w:p>
        </w:tc>
        <w:tc>
          <w:tcPr>
            <w:tcW w:w="1665"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rPr>
                <w:rFonts w:hint="eastAsia" w:ascii="Arial" w:hAnsi="Arial" w:cs="Arial"/>
                <w:b/>
                <w:bCs/>
                <w:sz w:val="20"/>
                <w:szCs w:val="20"/>
              </w:rPr>
            </w:pPr>
          </w:p>
        </w:tc>
        <w:tc>
          <w:tcPr>
            <w:tcW w:w="1042"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rPr>
                <w:rFonts w:hint="eastAsia" w:ascii="Arial" w:hAnsi="Arial" w:cs="Arial"/>
                <w:b/>
                <w:bCs/>
                <w:sz w:val="20"/>
                <w:szCs w:val="20"/>
              </w:rPr>
            </w:pPr>
          </w:p>
        </w:tc>
        <w:tc>
          <w:tcPr>
            <w:tcW w:w="1174" w:type="dxa"/>
            <w:gridSpan w:val="2"/>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rPr>
                <w:rFonts w:hint="eastAsia" w:ascii="Arial" w:hAnsi="Arial" w:cs="Arial"/>
                <w:b/>
                <w:bCs/>
                <w:sz w:val="20"/>
                <w:szCs w:val="20"/>
              </w:rPr>
            </w:pPr>
          </w:p>
        </w:tc>
        <w:tc>
          <w:tcPr>
            <w:tcW w:w="993"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rPr>
                <w:rFonts w:hint="eastAsia" w:ascii="Arial" w:hAnsi="Arial" w:cs="Arial"/>
                <w:sz w:val="20"/>
                <w:szCs w:val="20"/>
              </w:rPr>
            </w:pPr>
          </w:p>
        </w:tc>
        <w:tc>
          <w:tcPr>
            <w:tcW w:w="1055" w:type="dxa"/>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jc w:val="right"/>
              <w:rPr>
                <w:rFonts w:hint="eastAsia" w:ascii="Arial" w:hAnsi="Arial" w:cs="Arial"/>
                <w:b/>
                <w:bCs/>
                <w:sz w:val="20"/>
                <w:szCs w:val="20"/>
              </w:rPr>
            </w:pPr>
          </w:p>
        </w:tc>
        <w:tc>
          <w:tcPr>
            <w:tcW w:w="1546" w:type="dxa"/>
            <w:gridSpan w:val="2"/>
            <w:tcBorders>
              <w:top w:val="single" w:color="auto" w:sz="4" w:space="0"/>
              <w:left w:val="nil"/>
              <w:bottom w:val="single" w:color="auto" w:sz="4" w:space="0"/>
              <w:right w:val="single" w:color="auto" w:sz="4" w:space="0"/>
            </w:tcBorders>
            <w:shd w:val="clear" w:color="auto" w:fill="FFFFFF" w:themeFill="background1"/>
            <w:vAlign w:val="center"/>
          </w:tcPr>
          <w:p>
            <w:pPr>
              <w:keepNext w:val="0"/>
              <w:keepLines w:val="0"/>
              <w:widowControl/>
              <w:suppressLineNumbers w:val="0"/>
              <w:spacing w:before="0" w:beforeAutospacing="0" w:after="0" w:afterAutospacing="0"/>
              <w:ind w:left="0" w:right="0"/>
              <w:jc w:val="right"/>
              <w:rPr>
                <w:rFonts w:hint="eastAsia" w:ascii="Arial" w:hAnsi="Arial" w:cs="Arial"/>
                <w:b/>
                <w:bCs/>
                <w:sz w:val="20"/>
                <w:szCs w:val="20"/>
              </w:rPr>
            </w:pPr>
          </w:p>
        </w:tc>
      </w:tr>
    </w:tbl>
    <w:p>
      <w:pPr>
        <w:autoSpaceDE w:val="0"/>
        <w:autoSpaceDN w:val="0"/>
        <w:adjustRightInd w:val="0"/>
        <w:spacing w:before="40" w:after="40"/>
        <w:ind w:left="568"/>
        <w:jc w:val="both"/>
        <w:rPr>
          <w:rFonts w:ascii="Arial" w:hAnsi="Arial" w:cs="Arial"/>
          <w:sz w:val="16"/>
          <w:szCs w:val="16"/>
        </w:rPr>
      </w:pPr>
    </w:p>
    <w:p>
      <w:pPr>
        <w:rPr>
          <w:rFonts w:ascii="Arial" w:hAnsi="Arial" w:cs="Arial"/>
          <w:sz w:val="18"/>
          <w:szCs w:val="18"/>
        </w:rPr>
      </w:pPr>
      <w:r>
        <w:rPr>
          <w:rFonts w:ascii="Arial" w:hAnsi="Arial" w:cs="Arial"/>
          <w:sz w:val="18"/>
          <w:szCs w:val="18"/>
        </w:rPr>
        <w:t>Valor Total da Proposta é de: R$ ________________ (__________________).</w:t>
      </w:r>
    </w:p>
    <w:p>
      <w:pPr>
        <w:rPr>
          <w:rFonts w:ascii="Arial" w:hAnsi="Arial" w:cs="Arial"/>
          <w:sz w:val="18"/>
          <w:szCs w:val="18"/>
        </w:rPr>
      </w:pPr>
    </w:p>
    <w:p>
      <w:pPr>
        <w:rPr>
          <w:rFonts w:ascii="Arial" w:hAnsi="Arial" w:cs="Arial"/>
          <w:sz w:val="18"/>
          <w:szCs w:val="18"/>
        </w:rPr>
      </w:pPr>
      <w:r>
        <w:rPr>
          <w:rFonts w:ascii="Arial" w:hAnsi="Arial" w:cs="Arial"/>
          <w:sz w:val="18"/>
          <w:szCs w:val="18"/>
        </w:rPr>
        <w:t>O representante legal desta empresa para assinatura do contrato, será o Sr __________________(qualificação) portador da Cédula de Identidade - RG n__________ SSP/XX e CPF/MF n° _________________residente e domiciliado à  _________________ na cidade ___________</w:t>
      </w:r>
    </w:p>
    <w:p>
      <w:pPr>
        <w:jc w:val="right"/>
        <w:rPr>
          <w:rFonts w:ascii="Arial" w:hAnsi="Arial" w:cs="Arial"/>
          <w:sz w:val="18"/>
          <w:szCs w:val="18"/>
        </w:rPr>
      </w:pPr>
    </w:p>
    <w:p>
      <w:pPr>
        <w:jc w:val="right"/>
        <w:rPr>
          <w:rFonts w:ascii="Arial" w:hAnsi="Arial" w:cs="Arial"/>
          <w:sz w:val="18"/>
          <w:szCs w:val="18"/>
        </w:rPr>
      </w:pPr>
      <w:r>
        <w:rPr>
          <w:rFonts w:ascii="Arial" w:hAnsi="Arial" w:cs="Arial"/>
          <w:sz w:val="18"/>
          <w:szCs w:val="18"/>
        </w:rPr>
        <w:t>Declaramo-nos de pleno acordo com as condições estabelecidas no edital da licitação</w:t>
      </w:r>
    </w:p>
    <w:p>
      <w:pPr>
        <w:jc w:val="right"/>
        <w:rPr>
          <w:rFonts w:ascii="Arial" w:hAnsi="Arial" w:cs="Arial"/>
          <w:sz w:val="18"/>
          <w:szCs w:val="18"/>
        </w:rPr>
      </w:pPr>
    </w:p>
    <w:p>
      <w:pPr>
        <w:spacing w:line="276" w:lineRule="auto"/>
        <w:jc w:val="right"/>
        <w:rPr>
          <w:rFonts w:ascii="Arial" w:hAnsi="Arial" w:cs="Arial"/>
          <w:b/>
          <w:sz w:val="18"/>
          <w:szCs w:val="18"/>
        </w:rPr>
      </w:pPr>
      <w:r>
        <w:rPr>
          <w:rFonts w:ascii="Arial" w:hAnsi="Arial" w:cs="Arial"/>
          <w:sz w:val="18"/>
          <w:szCs w:val="18"/>
        </w:rPr>
        <w:t xml:space="preserve">Primavera do Leste/MT, ___ de _________ de </w:t>
      </w:r>
      <w:r>
        <w:rPr>
          <w:rFonts w:ascii="Arial" w:hAnsi="Arial" w:cs="Arial"/>
          <w:sz w:val="18"/>
          <w:szCs w:val="18"/>
          <w:lang w:val="pt-BR"/>
        </w:rPr>
        <w:t>202</w:t>
      </w:r>
      <w:r>
        <w:rPr>
          <w:rFonts w:hint="default" w:ascii="Arial" w:hAnsi="Arial" w:cs="Arial"/>
          <w:sz w:val="18"/>
          <w:szCs w:val="18"/>
          <w:lang w:val="pt-BR"/>
        </w:rPr>
        <w:t>3</w:t>
      </w:r>
      <w:r>
        <w:rPr>
          <w:rFonts w:ascii="Arial" w:hAnsi="Arial" w:cs="Arial"/>
          <w:sz w:val="18"/>
          <w:szCs w:val="18"/>
        </w:rPr>
        <w:t>.</w:t>
      </w:r>
    </w:p>
    <w:p>
      <w:pPr>
        <w:ind w:right="27"/>
        <w:jc w:val="center"/>
        <w:rPr>
          <w:rFonts w:ascii="Arial" w:hAnsi="Arial" w:cs="Arial"/>
          <w:sz w:val="18"/>
          <w:szCs w:val="18"/>
        </w:rPr>
      </w:pPr>
      <w:r>
        <w:rPr>
          <w:rFonts w:ascii="Arial" w:hAnsi="Arial" w:cs="Arial"/>
          <w:sz w:val="18"/>
          <w:szCs w:val="18"/>
        </w:rPr>
        <w:t>______________________________________________</w:t>
      </w:r>
    </w:p>
    <w:p>
      <w:pPr>
        <w:ind w:right="27"/>
        <w:jc w:val="center"/>
        <w:rPr>
          <w:rFonts w:ascii="Arial" w:hAnsi="Arial" w:cs="Arial"/>
          <w:sz w:val="18"/>
          <w:szCs w:val="18"/>
        </w:rPr>
      </w:pPr>
    </w:p>
    <w:p>
      <w:pPr>
        <w:ind w:right="27"/>
        <w:jc w:val="center"/>
        <w:rPr>
          <w:rFonts w:ascii="Arial" w:hAnsi="Arial" w:cs="Arial"/>
          <w:b/>
          <w:sz w:val="18"/>
          <w:szCs w:val="18"/>
        </w:rPr>
      </w:pPr>
      <w:r>
        <w:rPr>
          <w:rFonts w:ascii="Arial" w:hAnsi="Arial" w:cs="Arial"/>
          <w:b/>
          <w:sz w:val="18"/>
          <w:szCs w:val="18"/>
        </w:rPr>
        <w:t>CARIMBO E ASSINATURA DO REPRESENTANTE LEGAL DA EMPRESA</w:t>
      </w:r>
    </w:p>
    <w:p>
      <w:pPr>
        <w:pStyle w:val="49"/>
        <w:suppressAutoHyphens w:val="0"/>
        <w:ind w:left="0"/>
        <w:jc w:val="center"/>
        <w:rPr>
          <w:rFonts w:ascii="Arial" w:hAnsi="Arial" w:cs="Arial"/>
          <w:b/>
          <w:color w:val="FF0000"/>
          <w:sz w:val="18"/>
          <w:szCs w:val="18"/>
          <w:u w:val="single"/>
        </w:rPr>
      </w:pPr>
      <w:r>
        <w:rPr>
          <w:rFonts w:ascii="Arial" w:hAnsi="Arial" w:cs="Arial"/>
          <w:b/>
          <w:color w:val="FF0000"/>
          <w:sz w:val="18"/>
          <w:szCs w:val="18"/>
          <w:u w:val="single"/>
        </w:rPr>
        <w:t>Anexar ao Envelope Nº 02 – Proposta</w:t>
      </w:r>
    </w:p>
    <w:p>
      <w:pPr>
        <w:pStyle w:val="49"/>
        <w:suppressAutoHyphens w:val="0"/>
        <w:ind w:left="0"/>
        <w:jc w:val="center"/>
        <w:rPr>
          <w:rFonts w:ascii="Arial" w:hAnsi="Arial" w:cs="Arial"/>
          <w:b/>
          <w:color w:val="FF0000"/>
          <w:sz w:val="18"/>
          <w:szCs w:val="18"/>
          <w:u w:val="single"/>
        </w:rPr>
      </w:pPr>
    </w:p>
    <w:p>
      <w:pPr>
        <w:pStyle w:val="49"/>
        <w:suppressAutoHyphens w:val="0"/>
        <w:ind w:left="0"/>
        <w:jc w:val="center"/>
        <w:rPr>
          <w:rFonts w:ascii="Arial" w:hAnsi="Arial" w:cs="Arial"/>
          <w:b/>
          <w:color w:val="FF0000"/>
          <w:sz w:val="18"/>
          <w:szCs w:val="18"/>
          <w:u w:val="single"/>
        </w:rPr>
      </w:pPr>
    </w:p>
    <w:p>
      <w:pPr>
        <w:pStyle w:val="49"/>
        <w:suppressAutoHyphens w:val="0"/>
        <w:ind w:left="0"/>
        <w:jc w:val="center"/>
        <w:rPr>
          <w:rFonts w:ascii="Arial" w:hAnsi="Arial" w:cs="Arial"/>
          <w:b/>
          <w:color w:val="FF0000"/>
          <w:sz w:val="18"/>
          <w:szCs w:val="18"/>
          <w:u w:val="single"/>
        </w:rPr>
      </w:pPr>
    </w:p>
    <w:p>
      <w:pPr>
        <w:pStyle w:val="49"/>
        <w:suppressAutoHyphens w:val="0"/>
        <w:ind w:left="0"/>
        <w:jc w:val="center"/>
        <w:rPr>
          <w:rFonts w:ascii="Arial" w:hAnsi="Arial" w:cs="Arial"/>
          <w:b/>
          <w:color w:val="FF0000"/>
          <w:sz w:val="18"/>
          <w:szCs w:val="18"/>
          <w:u w:val="single"/>
        </w:rPr>
      </w:pPr>
    </w:p>
    <w:p>
      <w:pPr>
        <w:pStyle w:val="49"/>
        <w:suppressAutoHyphens w:val="0"/>
        <w:ind w:left="0"/>
        <w:jc w:val="center"/>
        <w:rPr>
          <w:rFonts w:ascii="Arial" w:hAnsi="Arial" w:cs="Arial"/>
          <w:b/>
          <w:color w:val="FF0000"/>
          <w:sz w:val="18"/>
          <w:szCs w:val="18"/>
          <w:u w:val="single"/>
        </w:rPr>
      </w:pPr>
    </w:p>
    <w:p>
      <w:pPr>
        <w:pStyle w:val="49"/>
        <w:suppressAutoHyphens w:val="0"/>
        <w:ind w:left="0"/>
        <w:jc w:val="center"/>
        <w:rPr>
          <w:rFonts w:ascii="Arial" w:hAnsi="Arial" w:cs="Arial"/>
          <w:b/>
          <w:color w:val="FF0000"/>
          <w:sz w:val="18"/>
          <w:szCs w:val="18"/>
          <w:u w:val="single"/>
        </w:rPr>
      </w:pPr>
    </w:p>
    <w:p>
      <w:pPr>
        <w:pStyle w:val="49"/>
        <w:suppressAutoHyphens w:val="0"/>
        <w:ind w:left="0"/>
        <w:jc w:val="center"/>
        <w:rPr>
          <w:rFonts w:ascii="Arial" w:hAnsi="Arial" w:cs="Arial"/>
          <w:b/>
          <w:color w:val="FF0000"/>
          <w:sz w:val="18"/>
          <w:szCs w:val="18"/>
          <w:u w:val="single"/>
        </w:rPr>
      </w:pPr>
    </w:p>
    <w:p>
      <w:pPr>
        <w:pStyle w:val="49"/>
        <w:suppressAutoHyphens w:val="0"/>
        <w:ind w:left="0"/>
        <w:jc w:val="center"/>
        <w:rPr>
          <w:rFonts w:ascii="Arial" w:hAnsi="Arial" w:cs="Arial"/>
          <w:b/>
          <w:color w:val="FF0000"/>
          <w:sz w:val="18"/>
          <w:szCs w:val="18"/>
          <w:u w:val="single"/>
        </w:rPr>
      </w:pPr>
    </w:p>
    <w:p>
      <w:pPr>
        <w:pStyle w:val="49"/>
        <w:suppressAutoHyphens w:val="0"/>
        <w:ind w:left="0"/>
        <w:jc w:val="center"/>
        <w:rPr>
          <w:rFonts w:ascii="Arial" w:hAnsi="Arial" w:cs="Arial"/>
          <w:b/>
          <w:color w:val="FF0000"/>
          <w:sz w:val="18"/>
          <w:szCs w:val="18"/>
          <w:u w:val="single"/>
        </w:rPr>
      </w:pPr>
    </w:p>
    <w:p>
      <w:pPr>
        <w:pStyle w:val="49"/>
        <w:suppressAutoHyphens w:val="0"/>
        <w:ind w:left="0"/>
        <w:jc w:val="center"/>
        <w:rPr>
          <w:rFonts w:ascii="Arial" w:hAnsi="Arial" w:cs="Arial"/>
          <w:b/>
          <w:color w:val="FF0000"/>
          <w:sz w:val="18"/>
          <w:szCs w:val="18"/>
          <w:u w:val="single"/>
        </w:rPr>
      </w:pPr>
    </w:p>
    <w:p>
      <w:pPr>
        <w:pStyle w:val="198"/>
      </w:pPr>
      <w:bookmarkStart w:id="41" w:name="_Toc514666352"/>
      <w:bookmarkStart w:id="42" w:name="_Toc380557840"/>
      <w:r>
        <w:t>ANEXO IV - MODELO DE CARTA DE CREDENCIAMENTO</w:t>
      </w:r>
      <w:bookmarkEnd w:id="41"/>
      <w:bookmarkEnd w:id="42"/>
    </w:p>
    <w:p>
      <w:pPr>
        <w:autoSpaceDE w:val="0"/>
        <w:autoSpaceDN w:val="0"/>
        <w:adjustRightInd w:val="0"/>
        <w:spacing w:line="276" w:lineRule="auto"/>
        <w:ind w:right="27"/>
        <w:jc w:val="center"/>
        <w:rPr>
          <w:rFonts w:ascii="Arial" w:hAnsi="Arial" w:cs="Arial"/>
          <w:iCs/>
          <w:sz w:val="22"/>
          <w:szCs w:val="22"/>
        </w:rPr>
      </w:pPr>
      <w:r>
        <w:rPr>
          <w:rFonts w:ascii="Arial" w:hAnsi="Arial" w:cs="Arial"/>
          <w:iCs/>
          <w:sz w:val="22"/>
          <w:szCs w:val="22"/>
        </w:rPr>
        <w:t>(PAPEL TIMBRADO DA EMPRESA)</w:t>
      </w:r>
    </w:p>
    <w:p>
      <w:pPr>
        <w:autoSpaceDE w:val="0"/>
        <w:autoSpaceDN w:val="0"/>
        <w:adjustRightInd w:val="0"/>
        <w:spacing w:line="276" w:lineRule="auto"/>
        <w:ind w:right="27"/>
        <w:jc w:val="both"/>
        <w:outlineLvl w:val="0"/>
        <w:rPr>
          <w:rFonts w:ascii="Arial" w:hAnsi="Arial" w:cs="Arial"/>
          <w:b/>
          <w:bCs/>
          <w:sz w:val="22"/>
          <w:szCs w:val="22"/>
        </w:rPr>
      </w:pPr>
    </w:p>
    <w:p>
      <w:pPr>
        <w:autoSpaceDE w:val="0"/>
        <w:autoSpaceDN w:val="0"/>
        <w:adjustRightInd w:val="0"/>
        <w:spacing w:line="276" w:lineRule="auto"/>
        <w:jc w:val="both"/>
        <w:outlineLvl w:val="0"/>
        <w:rPr>
          <w:rFonts w:ascii="Arial" w:hAnsi="Arial" w:cs="Arial"/>
          <w:b/>
          <w:bCs/>
          <w:sz w:val="20"/>
          <w:szCs w:val="20"/>
        </w:rPr>
      </w:pPr>
      <w:r>
        <w:rPr>
          <w:rFonts w:ascii="Arial" w:hAnsi="Arial" w:cs="Arial"/>
          <w:b/>
          <w:bCs/>
          <w:sz w:val="20"/>
          <w:szCs w:val="20"/>
        </w:rPr>
        <w:t>À</w:t>
      </w:r>
    </w:p>
    <w:p>
      <w:pPr>
        <w:autoSpaceDE w:val="0"/>
        <w:autoSpaceDN w:val="0"/>
        <w:adjustRightInd w:val="0"/>
        <w:spacing w:line="276" w:lineRule="auto"/>
        <w:jc w:val="both"/>
        <w:outlineLvl w:val="0"/>
        <w:rPr>
          <w:rFonts w:hint="default" w:ascii="Arial" w:hAnsi="Arial" w:cs="Arial"/>
          <w:b/>
          <w:bCs/>
          <w:sz w:val="20"/>
          <w:szCs w:val="20"/>
          <w:lang w:val="pt-BR"/>
        </w:rPr>
      </w:pPr>
      <w:r>
        <w:rPr>
          <w:rFonts w:hint="default" w:ascii="Arial" w:hAnsi="Arial" w:cs="Arial"/>
          <w:b/>
          <w:bCs/>
          <w:sz w:val="20"/>
          <w:szCs w:val="20"/>
          <w:lang w:val="pt-BR"/>
        </w:rPr>
        <w:t>PREFEITURA MUNICIPAL DE PRIMAVERA DO LESTE - MT.</w:t>
      </w:r>
    </w:p>
    <w:p>
      <w:pPr>
        <w:autoSpaceDE w:val="0"/>
        <w:autoSpaceDN w:val="0"/>
        <w:adjustRightInd w:val="0"/>
        <w:spacing w:line="276" w:lineRule="auto"/>
        <w:jc w:val="both"/>
        <w:outlineLvl w:val="0"/>
        <w:rPr>
          <w:rFonts w:hint="default" w:ascii="Arial" w:hAnsi="Arial" w:cs="Arial"/>
          <w:b/>
          <w:sz w:val="20"/>
          <w:szCs w:val="20"/>
          <w:lang w:val="pt-BR"/>
        </w:rPr>
      </w:pPr>
      <w:r>
        <w:rPr>
          <w:rFonts w:ascii="Arial" w:hAnsi="Arial" w:cs="Arial"/>
          <w:b/>
          <w:bCs/>
          <w:sz w:val="20"/>
          <w:szCs w:val="20"/>
        </w:rPr>
        <w:t xml:space="preserve">Ref.: </w:t>
      </w:r>
      <w:r>
        <w:rPr>
          <w:rFonts w:ascii="Arial" w:hAnsi="Arial" w:cs="Arial"/>
          <w:b/>
          <w:sz w:val="20"/>
          <w:szCs w:val="20"/>
        </w:rPr>
        <w:t>EDITAL DE LICITAÇÃO NA MODALIDADE TOMADA DE PREÇO</w:t>
      </w:r>
      <w:r>
        <w:rPr>
          <w:rFonts w:hint="default" w:ascii="Arial" w:hAnsi="Arial" w:cs="Arial"/>
          <w:b/>
          <w:sz w:val="20"/>
          <w:szCs w:val="20"/>
          <w:lang w:val="pt-BR"/>
        </w:rPr>
        <w:t>S</w:t>
      </w:r>
      <w:r>
        <w:rPr>
          <w:rFonts w:ascii="Arial" w:hAnsi="Arial" w:cs="Arial"/>
          <w:b/>
          <w:sz w:val="20"/>
          <w:szCs w:val="20"/>
        </w:rPr>
        <w:t xml:space="preserve"> </w:t>
      </w:r>
      <w:r>
        <w:rPr>
          <w:rFonts w:ascii="Arial" w:hAnsi="Arial" w:cs="Arial"/>
          <w:b/>
          <w:bCs/>
          <w:sz w:val="20"/>
          <w:szCs w:val="20"/>
        </w:rPr>
        <w:t xml:space="preserve">Nº. </w:t>
      </w:r>
      <w:r>
        <w:rPr>
          <w:rFonts w:ascii="Arial" w:hAnsi="Arial" w:cs="Arial"/>
          <w:b/>
          <w:bCs/>
          <w:sz w:val="20"/>
          <w:szCs w:val="20"/>
          <w:lang w:val="pt-BR"/>
        </w:rPr>
        <w:t>005/2023</w:t>
      </w:r>
    </w:p>
    <w:p>
      <w:pPr>
        <w:autoSpaceDE w:val="0"/>
        <w:autoSpaceDN w:val="0"/>
        <w:adjustRightInd w:val="0"/>
        <w:spacing w:line="276" w:lineRule="auto"/>
        <w:jc w:val="both"/>
        <w:outlineLvl w:val="0"/>
        <w:rPr>
          <w:rFonts w:ascii="Arial" w:hAnsi="Arial" w:cs="Arial"/>
          <w:sz w:val="22"/>
          <w:szCs w:val="22"/>
        </w:rPr>
      </w:pPr>
    </w:p>
    <w:p>
      <w:pPr>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Indicamos o (a) Sr.(a)_____________________________________, portador da cédula de identidade RG n.º _____________, órgão expedidor ________ e do CPF/MF Nº. __________________________ como nosso representante legal na Licitação em referência, podendo rubricar a documentação de </w:t>
      </w:r>
      <w:r>
        <w:rPr>
          <w:rFonts w:ascii="Arial" w:hAnsi="Arial" w:cs="Arial"/>
          <w:b/>
          <w:sz w:val="20"/>
          <w:szCs w:val="20"/>
        </w:rPr>
        <w:t>HABILITAÇÃO</w:t>
      </w:r>
      <w:r>
        <w:rPr>
          <w:rFonts w:ascii="Arial" w:hAnsi="Arial" w:cs="Arial"/>
          <w:sz w:val="20"/>
          <w:szCs w:val="20"/>
        </w:rPr>
        <w:t xml:space="preserve"> e das </w:t>
      </w:r>
      <w:r>
        <w:rPr>
          <w:rFonts w:ascii="Arial" w:hAnsi="Arial" w:cs="Arial"/>
          <w:b/>
          <w:sz w:val="20"/>
          <w:szCs w:val="20"/>
        </w:rPr>
        <w:t>PROPOSTAS</w:t>
      </w:r>
      <w:r>
        <w:rPr>
          <w:rFonts w:ascii="Arial" w:hAnsi="Arial" w:cs="Arial"/>
          <w:sz w:val="20"/>
          <w:szCs w:val="20"/>
        </w:rPr>
        <w:t>, com amplos poderes, inclusive para manifestar, formular ofertas, receber intimações e notificações, assinar contrato, prestar todos os esclarecimentos à nossa Proposta, interpor recursos, desistir de prazos e recursos, enfim, praticar todos os atos necessários ao fiel cumprimento do presente Credenciamento. Declaro, também, estar ciente de que esta empresa responderá, tanto na esfera administrativa como na judicial, por todos os atos que venham a ser praticados pelo (a) representante ora nomeado (a).</w:t>
      </w:r>
    </w:p>
    <w:p>
      <w:pPr>
        <w:autoSpaceDE w:val="0"/>
        <w:autoSpaceDN w:val="0"/>
        <w:adjustRightInd w:val="0"/>
        <w:spacing w:line="276" w:lineRule="auto"/>
        <w:ind w:right="27"/>
        <w:outlineLvl w:val="0"/>
        <w:rPr>
          <w:rFonts w:ascii="Arial" w:hAnsi="Arial" w:cs="Arial"/>
          <w:b/>
          <w:bCs/>
          <w:color w:val="000000"/>
          <w:sz w:val="20"/>
          <w:szCs w:val="20"/>
        </w:rPr>
      </w:pPr>
    </w:p>
    <w:p>
      <w:pPr>
        <w:autoSpaceDE w:val="0"/>
        <w:autoSpaceDN w:val="0"/>
        <w:adjustRightInd w:val="0"/>
        <w:spacing w:line="276" w:lineRule="auto"/>
        <w:ind w:right="27"/>
        <w:outlineLvl w:val="0"/>
        <w:rPr>
          <w:rFonts w:ascii="Arial" w:hAnsi="Arial" w:cs="Arial"/>
          <w:b/>
          <w:bCs/>
          <w:color w:val="000000"/>
          <w:sz w:val="20"/>
          <w:szCs w:val="20"/>
        </w:rPr>
      </w:pPr>
      <w:r>
        <w:rPr>
          <w:rFonts w:ascii="Arial" w:hAnsi="Arial" w:cs="Arial"/>
          <w:b/>
          <w:bCs/>
          <w:color w:val="000000"/>
          <w:sz w:val="20"/>
          <w:szCs w:val="20"/>
        </w:rPr>
        <w:t>Informações Importantes:</w:t>
      </w:r>
    </w:p>
    <w:p>
      <w:pPr>
        <w:autoSpaceDE w:val="0"/>
        <w:autoSpaceDN w:val="0"/>
        <w:adjustRightInd w:val="0"/>
        <w:spacing w:line="276" w:lineRule="auto"/>
        <w:rPr>
          <w:rFonts w:ascii="Arial" w:hAnsi="Arial" w:cs="Arial"/>
          <w:color w:val="000000"/>
          <w:sz w:val="20"/>
          <w:szCs w:val="20"/>
        </w:rPr>
      </w:pPr>
      <w:r>
        <w:rPr>
          <w:rFonts w:ascii="Arial" w:hAnsi="Arial" w:cs="Arial"/>
          <w:color w:val="000000"/>
          <w:sz w:val="20"/>
          <w:szCs w:val="20"/>
        </w:rPr>
        <w:t>CNPJ/MF n° _____________________________________________________________</w:t>
      </w:r>
    </w:p>
    <w:p>
      <w:pPr>
        <w:autoSpaceDE w:val="0"/>
        <w:autoSpaceDN w:val="0"/>
        <w:adjustRightInd w:val="0"/>
        <w:spacing w:line="276" w:lineRule="auto"/>
        <w:rPr>
          <w:rFonts w:ascii="Arial" w:hAnsi="Arial" w:cs="Arial"/>
          <w:color w:val="000000"/>
          <w:sz w:val="20"/>
          <w:szCs w:val="20"/>
        </w:rPr>
      </w:pPr>
      <w:r>
        <w:rPr>
          <w:rFonts w:ascii="Arial" w:hAnsi="Arial" w:cs="Arial"/>
          <w:color w:val="000000"/>
          <w:sz w:val="20"/>
          <w:szCs w:val="20"/>
        </w:rPr>
        <w:t>Inscrição Estadual n°___________________________________________________</w:t>
      </w:r>
    </w:p>
    <w:p>
      <w:pPr>
        <w:autoSpaceDE w:val="0"/>
        <w:autoSpaceDN w:val="0"/>
        <w:adjustRightInd w:val="0"/>
        <w:spacing w:line="276" w:lineRule="auto"/>
        <w:rPr>
          <w:rFonts w:ascii="Arial" w:hAnsi="Arial" w:cs="Arial"/>
          <w:color w:val="000000"/>
          <w:sz w:val="20"/>
          <w:szCs w:val="20"/>
        </w:rPr>
      </w:pPr>
      <w:r>
        <w:rPr>
          <w:rFonts w:ascii="Arial" w:hAnsi="Arial" w:cs="Arial"/>
          <w:color w:val="000000"/>
          <w:sz w:val="20"/>
          <w:szCs w:val="20"/>
        </w:rPr>
        <w:t>Razão Social: ___________________________________________________________</w:t>
      </w:r>
    </w:p>
    <w:p>
      <w:pPr>
        <w:autoSpaceDE w:val="0"/>
        <w:autoSpaceDN w:val="0"/>
        <w:adjustRightInd w:val="0"/>
        <w:spacing w:line="276" w:lineRule="auto"/>
        <w:rPr>
          <w:rFonts w:ascii="Arial" w:hAnsi="Arial" w:cs="Arial"/>
          <w:color w:val="000000"/>
          <w:sz w:val="20"/>
          <w:szCs w:val="20"/>
        </w:rPr>
      </w:pPr>
      <w:r>
        <w:rPr>
          <w:rFonts w:ascii="Arial" w:hAnsi="Arial" w:cs="Arial"/>
          <w:color w:val="000000"/>
          <w:sz w:val="20"/>
          <w:szCs w:val="20"/>
        </w:rPr>
        <w:t>Nome de Fantasia: ____________________________________________________</w:t>
      </w:r>
    </w:p>
    <w:p>
      <w:pPr>
        <w:autoSpaceDE w:val="0"/>
        <w:autoSpaceDN w:val="0"/>
        <w:adjustRightInd w:val="0"/>
        <w:spacing w:line="276" w:lineRule="auto"/>
        <w:ind w:right="27"/>
        <w:jc w:val="both"/>
        <w:rPr>
          <w:color w:val="000000"/>
        </w:rPr>
      </w:pPr>
    </w:p>
    <w:p>
      <w:pPr>
        <w:spacing w:line="276" w:lineRule="auto"/>
        <w:jc w:val="right"/>
      </w:pPr>
    </w:p>
    <w:p>
      <w:pPr>
        <w:spacing w:line="276" w:lineRule="auto"/>
        <w:jc w:val="right"/>
        <w:rPr>
          <w:rFonts w:ascii="Arial" w:hAnsi="Arial" w:cs="Arial"/>
          <w:b/>
          <w:sz w:val="22"/>
          <w:szCs w:val="22"/>
        </w:rPr>
      </w:pPr>
      <w:r>
        <w:rPr>
          <w:rFonts w:ascii="Arial" w:hAnsi="Arial" w:cs="Arial"/>
          <w:sz w:val="22"/>
          <w:szCs w:val="22"/>
        </w:rPr>
        <w:t xml:space="preserve">Primavera do Leste/MT, ___ de _________ 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autoSpaceDE w:val="0"/>
        <w:autoSpaceDN w:val="0"/>
        <w:adjustRightInd w:val="0"/>
        <w:spacing w:line="276" w:lineRule="auto"/>
        <w:rPr>
          <w:rFonts w:ascii="Arial" w:hAnsi="Arial" w:cs="Arial"/>
          <w:sz w:val="22"/>
          <w:szCs w:val="22"/>
        </w:rPr>
      </w:pPr>
    </w:p>
    <w:p>
      <w:pPr>
        <w:autoSpaceDE w:val="0"/>
        <w:autoSpaceDN w:val="0"/>
        <w:adjustRightInd w:val="0"/>
        <w:spacing w:line="276" w:lineRule="auto"/>
        <w:rPr>
          <w:rFonts w:ascii="Arial" w:hAnsi="Arial" w:cs="Arial"/>
          <w:sz w:val="22"/>
          <w:szCs w:val="22"/>
        </w:rPr>
      </w:pPr>
      <w:r>
        <w:rPr>
          <w:rFonts w:ascii="Arial" w:hAnsi="Arial" w:cs="Arial"/>
          <w:sz w:val="22"/>
          <w:szCs w:val="22"/>
        </w:rPr>
        <w:t>Atenciosamente,</w:t>
      </w:r>
    </w:p>
    <w:p>
      <w:pPr>
        <w:autoSpaceDE w:val="0"/>
        <w:autoSpaceDN w:val="0"/>
        <w:adjustRightInd w:val="0"/>
        <w:spacing w:line="276" w:lineRule="auto"/>
        <w:rPr>
          <w:rFonts w:ascii="Arial" w:hAnsi="Arial" w:cs="Arial"/>
          <w:sz w:val="22"/>
          <w:szCs w:val="22"/>
        </w:rPr>
      </w:pPr>
    </w:p>
    <w:p>
      <w:pPr>
        <w:spacing w:line="276" w:lineRule="auto"/>
        <w:jc w:val="center"/>
        <w:rPr>
          <w:rFonts w:ascii="Arial" w:hAnsi="Arial" w:cs="Arial"/>
          <w:b/>
          <w:bCs/>
          <w:color w:val="000000"/>
          <w:sz w:val="22"/>
          <w:szCs w:val="22"/>
        </w:rPr>
      </w:pPr>
    </w:p>
    <w:p>
      <w:pPr>
        <w:pStyle w:val="49"/>
        <w:suppressAutoHyphens w:val="0"/>
        <w:ind w:left="0"/>
        <w:jc w:val="center"/>
        <w:rPr>
          <w:rFonts w:ascii="Arial" w:hAnsi="Arial" w:cs="Arial"/>
          <w:sz w:val="22"/>
          <w:szCs w:val="22"/>
        </w:rPr>
      </w:pPr>
      <w:r>
        <w:rPr>
          <w:rFonts w:ascii="Arial" w:hAnsi="Arial" w:cs="Arial"/>
          <w:sz w:val="22"/>
          <w:szCs w:val="22"/>
        </w:rPr>
        <w:t>Nome e Assinatura do</w:t>
      </w:r>
    </w:p>
    <w:p>
      <w:pPr>
        <w:pStyle w:val="49"/>
        <w:suppressAutoHyphens w:val="0"/>
        <w:ind w:left="0"/>
        <w:jc w:val="center"/>
        <w:rPr>
          <w:rFonts w:ascii="Arial" w:hAnsi="Arial" w:cs="Arial"/>
          <w:sz w:val="22"/>
          <w:szCs w:val="22"/>
        </w:rPr>
      </w:pPr>
      <w:r>
        <w:rPr>
          <w:rFonts w:ascii="Arial" w:hAnsi="Arial" w:cs="Arial"/>
          <w:sz w:val="22"/>
          <w:szCs w:val="22"/>
        </w:rPr>
        <w:t>Representante Legal</w:t>
      </w:r>
    </w:p>
    <w:p>
      <w:pPr>
        <w:spacing w:line="276" w:lineRule="auto"/>
        <w:ind w:right="27"/>
        <w:jc w:val="center"/>
        <w:rPr>
          <w:rFonts w:ascii="Arial" w:hAnsi="Arial" w:cs="Arial"/>
          <w:sz w:val="22"/>
          <w:szCs w:val="22"/>
        </w:rPr>
      </w:pPr>
    </w:p>
    <w:p>
      <w:pPr>
        <w:spacing w:line="276" w:lineRule="auto"/>
        <w:ind w:right="27"/>
        <w:jc w:val="center"/>
        <w:rPr>
          <w:rFonts w:ascii="Arial" w:hAnsi="Arial" w:cs="Arial"/>
          <w:sz w:val="22"/>
          <w:szCs w:val="22"/>
        </w:rPr>
      </w:pPr>
    </w:p>
    <w:p>
      <w:pPr>
        <w:spacing w:line="276" w:lineRule="auto"/>
        <w:ind w:right="27"/>
        <w:jc w:val="center"/>
        <w:rPr>
          <w:rFonts w:ascii="Arial" w:hAnsi="Arial" w:cs="Arial"/>
          <w:b/>
          <w:sz w:val="22"/>
          <w:szCs w:val="22"/>
        </w:rPr>
      </w:pPr>
    </w:p>
    <w:p>
      <w:pPr>
        <w:autoSpaceDE w:val="0"/>
        <w:autoSpaceDN w:val="0"/>
        <w:adjustRightInd w:val="0"/>
        <w:spacing w:line="276" w:lineRule="auto"/>
        <w:ind w:right="27"/>
        <w:jc w:val="center"/>
        <w:outlineLvl w:val="0"/>
        <w:rPr>
          <w:rFonts w:ascii="Arial" w:hAnsi="Arial" w:cs="Arial"/>
          <w:b/>
          <w:sz w:val="22"/>
          <w:szCs w:val="22"/>
        </w:rPr>
      </w:pPr>
    </w:p>
    <w:p>
      <w:pPr>
        <w:autoSpaceDE w:val="0"/>
        <w:autoSpaceDN w:val="0"/>
        <w:adjustRightInd w:val="0"/>
        <w:spacing w:line="276" w:lineRule="auto"/>
        <w:ind w:right="27"/>
        <w:jc w:val="both"/>
        <w:rPr>
          <w:rFonts w:ascii="Arial" w:hAnsi="Arial" w:cs="Arial"/>
          <w:b/>
          <w:bCs/>
          <w:sz w:val="22"/>
          <w:szCs w:val="22"/>
          <w:u w:val="single"/>
        </w:rPr>
      </w:pPr>
      <w:r>
        <w:rPr>
          <w:rFonts w:ascii="Arial" w:hAnsi="Arial" w:cs="Arial"/>
          <w:b/>
          <w:bCs/>
          <w:sz w:val="22"/>
          <w:szCs w:val="22"/>
          <w:u w:val="single"/>
        </w:rPr>
        <w:t>OBS.: Deverá ser reconhecida a firma em caso de representação por meio de procuração/credenciamento particular.</w:t>
      </w:r>
    </w:p>
    <w:p>
      <w:pPr>
        <w:autoSpaceDE w:val="0"/>
        <w:autoSpaceDN w:val="0"/>
        <w:adjustRightInd w:val="0"/>
        <w:spacing w:line="276" w:lineRule="auto"/>
        <w:ind w:right="27"/>
        <w:jc w:val="both"/>
        <w:rPr>
          <w:rFonts w:ascii="Arial" w:hAnsi="Arial" w:cs="Arial"/>
          <w:b/>
          <w:bCs/>
          <w:sz w:val="22"/>
          <w:szCs w:val="22"/>
          <w:u w:val="single"/>
        </w:rPr>
      </w:pPr>
    </w:p>
    <w:p>
      <w:pPr>
        <w:autoSpaceDE w:val="0"/>
        <w:autoSpaceDN w:val="0"/>
        <w:adjustRightInd w:val="0"/>
        <w:spacing w:line="276" w:lineRule="auto"/>
        <w:ind w:right="27"/>
        <w:jc w:val="both"/>
        <w:rPr>
          <w:rFonts w:ascii="Arial" w:hAnsi="Arial" w:cs="Arial"/>
          <w:b/>
          <w:bCs/>
          <w:sz w:val="22"/>
          <w:szCs w:val="22"/>
          <w:u w:val="single"/>
        </w:rPr>
      </w:pPr>
    </w:p>
    <w:p>
      <w:pPr>
        <w:spacing w:after="120"/>
        <w:jc w:val="center"/>
        <w:rPr>
          <w:rFonts w:ascii="Arial" w:hAnsi="Arial" w:cs="Arial"/>
          <w:b/>
          <w:color w:val="FF0000"/>
          <w:sz w:val="22"/>
          <w:szCs w:val="22"/>
          <w:u w:val="single"/>
        </w:rPr>
      </w:pPr>
      <w:r>
        <w:rPr>
          <w:rFonts w:ascii="Arial" w:hAnsi="Arial" w:cs="Arial"/>
          <w:b/>
          <w:color w:val="FF0000"/>
          <w:sz w:val="22"/>
          <w:szCs w:val="22"/>
          <w:u w:val="single"/>
        </w:rPr>
        <w:t>(Este documento deverá ser entregue fora dos envelopes)</w:t>
      </w:r>
    </w:p>
    <w:p>
      <w:pPr>
        <w:tabs>
          <w:tab w:val="left" w:pos="1950"/>
        </w:tabs>
        <w:spacing w:before="120" w:after="120" w:line="360" w:lineRule="auto"/>
        <w:jc w:val="both"/>
        <w:rPr>
          <w:rFonts w:ascii="Arial" w:hAnsi="Arial" w:cs="Arial"/>
          <w:sz w:val="22"/>
          <w:szCs w:val="22"/>
        </w:rPr>
      </w:pPr>
      <w:r>
        <w:rPr>
          <w:rFonts w:ascii="Arial" w:hAnsi="Arial" w:cs="Arial"/>
          <w:sz w:val="22"/>
          <w:szCs w:val="22"/>
        </w:rPr>
        <w:tab/>
      </w:r>
    </w:p>
    <w:p>
      <w:pPr>
        <w:pStyle w:val="198"/>
      </w:pPr>
      <w:bookmarkStart w:id="43" w:name="_Toc514666353"/>
      <w:bookmarkStart w:id="44" w:name="_Toc406483890"/>
      <w:bookmarkStart w:id="45" w:name="_Toc380557842"/>
      <w:r>
        <w:t>ANEXO V - MODELO DE ATESTADO DE CAPACIDADE TÉCNICA</w:t>
      </w:r>
      <w:bookmarkEnd w:id="43"/>
      <w:bookmarkEnd w:id="44"/>
      <w:bookmarkEnd w:id="45"/>
    </w:p>
    <w:p>
      <w:pPr>
        <w:spacing w:line="276" w:lineRule="auto"/>
        <w:ind w:right="27"/>
        <w:jc w:val="center"/>
        <w:rPr>
          <w:rFonts w:ascii="Arial" w:hAnsi="Arial" w:cs="Arial"/>
          <w:sz w:val="22"/>
          <w:szCs w:val="22"/>
        </w:rPr>
      </w:pPr>
      <w:r>
        <w:rPr>
          <w:rFonts w:ascii="Arial" w:hAnsi="Arial" w:cs="Arial"/>
          <w:sz w:val="22"/>
          <w:szCs w:val="22"/>
        </w:rPr>
        <w:t>(PAPEL TIMBRADO DO EMITENTE DO ATESTADO)</w:t>
      </w:r>
    </w:p>
    <w:p>
      <w:pPr>
        <w:spacing w:line="276" w:lineRule="auto"/>
        <w:ind w:right="27"/>
        <w:jc w:val="both"/>
      </w:pPr>
    </w:p>
    <w:p>
      <w:pPr>
        <w:spacing w:line="276" w:lineRule="auto"/>
        <w:ind w:right="27"/>
        <w:jc w:val="both"/>
      </w:pPr>
    </w:p>
    <w:p>
      <w:pPr>
        <w:spacing w:line="276" w:lineRule="auto"/>
        <w:ind w:right="27"/>
        <w:jc w:val="both"/>
      </w:pPr>
    </w:p>
    <w:p>
      <w:pPr>
        <w:spacing w:line="276" w:lineRule="auto"/>
        <w:jc w:val="both"/>
        <w:rPr>
          <w:rFonts w:ascii="Arial" w:hAnsi="Arial" w:cs="Arial"/>
          <w:sz w:val="22"/>
          <w:szCs w:val="22"/>
        </w:rPr>
      </w:pPr>
      <w:r>
        <w:rPr>
          <w:rFonts w:ascii="Arial" w:hAnsi="Arial" w:cs="Arial"/>
          <w:sz w:val="22"/>
          <w:szCs w:val="22"/>
        </w:rPr>
        <w:t>A empresa __________________________________, CNPJ/MF nº ____________, Inscrição Estadual Nº. ________________________________ estabelecida na rua e/ou avenida ________________________ nº. _______, Telefone:____________, atesta para os devidos fins que a Empresa ________________________________, com sede na _____________________, executa/executou o objeto desta licitação, abaixo relacionados, sendo cumpridora dos prazos e termos firmados na contratação, não havendo contra o mesmo nenhum registro que a desabone.</w:t>
      </w:r>
    </w:p>
    <w:p>
      <w:pPr>
        <w:spacing w:line="276" w:lineRule="auto"/>
        <w:jc w:val="both"/>
        <w:rPr>
          <w:rFonts w:ascii="Arial" w:hAnsi="Arial" w:cs="Arial"/>
          <w:sz w:val="22"/>
          <w:szCs w:val="22"/>
        </w:rPr>
      </w:pPr>
    </w:p>
    <w:p>
      <w:pPr>
        <w:numPr>
          <w:ilvl w:val="0"/>
          <w:numId w:val="32"/>
        </w:numPr>
        <w:spacing w:line="276" w:lineRule="auto"/>
        <w:ind w:left="426"/>
        <w:jc w:val="both"/>
        <w:rPr>
          <w:rFonts w:ascii="Arial" w:hAnsi="Arial" w:cs="Arial"/>
          <w:sz w:val="22"/>
          <w:szCs w:val="22"/>
        </w:rPr>
      </w:pPr>
      <w:r>
        <w:rPr>
          <w:rFonts w:ascii="Arial" w:hAnsi="Arial" w:cs="Arial"/>
          <w:sz w:val="22"/>
          <w:szCs w:val="22"/>
        </w:rPr>
        <w:t>______________________________________________________________;</w:t>
      </w:r>
    </w:p>
    <w:p>
      <w:pPr>
        <w:numPr>
          <w:ilvl w:val="0"/>
          <w:numId w:val="32"/>
        </w:numPr>
        <w:spacing w:line="276" w:lineRule="auto"/>
        <w:ind w:left="426"/>
        <w:jc w:val="both"/>
        <w:rPr>
          <w:rFonts w:ascii="Arial" w:hAnsi="Arial" w:cs="Arial"/>
          <w:sz w:val="22"/>
          <w:szCs w:val="22"/>
        </w:rPr>
      </w:pPr>
      <w:r>
        <w:rPr>
          <w:rFonts w:ascii="Arial" w:hAnsi="Arial" w:cs="Arial"/>
          <w:sz w:val="22"/>
          <w:szCs w:val="22"/>
        </w:rPr>
        <w:t>______________________________________________________________;</w:t>
      </w:r>
    </w:p>
    <w:p>
      <w:pPr>
        <w:numPr>
          <w:ilvl w:val="0"/>
          <w:numId w:val="32"/>
        </w:numPr>
        <w:spacing w:line="276" w:lineRule="auto"/>
        <w:ind w:left="426"/>
        <w:jc w:val="both"/>
        <w:rPr>
          <w:rFonts w:ascii="Arial" w:hAnsi="Arial" w:cs="Arial"/>
          <w:sz w:val="22"/>
          <w:szCs w:val="22"/>
        </w:rPr>
      </w:pPr>
      <w:r>
        <w:rPr>
          <w:rFonts w:ascii="Arial" w:hAnsi="Arial" w:cs="Arial"/>
          <w:sz w:val="22"/>
          <w:szCs w:val="22"/>
        </w:rPr>
        <w:t>______________________________________________________________.</w:t>
      </w:r>
    </w:p>
    <w:p>
      <w:pPr>
        <w:spacing w:line="276" w:lineRule="auto"/>
        <w:ind w:left="426"/>
        <w:jc w:val="both"/>
      </w:pPr>
    </w:p>
    <w:p>
      <w:pPr>
        <w:spacing w:line="276" w:lineRule="auto"/>
        <w:jc w:val="both"/>
      </w:pPr>
    </w:p>
    <w:p>
      <w:pPr>
        <w:spacing w:line="276" w:lineRule="auto"/>
        <w:jc w:val="both"/>
      </w:pPr>
    </w:p>
    <w:p>
      <w:pPr>
        <w:spacing w:line="276" w:lineRule="auto"/>
        <w:jc w:val="both"/>
      </w:pPr>
    </w:p>
    <w:p>
      <w:pPr>
        <w:spacing w:line="276" w:lineRule="auto"/>
        <w:jc w:val="right"/>
        <w:rPr>
          <w:rFonts w:ascii="Arial" w:hAnsi="Arial" w:cs="Arial"/>
          <w:b/>
          <w:sz w:val="22"/>
          <w:szCs w:val="22"/>
        </w:rPr>
      </w:pPr>
      <w:r>
        <w:rPr>
          <w:rFonts w:ascii="Arial" w:hAnsi="Arial" w:cs="Arial"/>
          <w:sz w:val="22"/>
          <w:szCs w:val="22"/>
        </w:rPr>
        <w:t xml:space="preserve">Primavera do Leste/MT, ___ de _________ 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spacing w:line="276" w:lineRule="auto"/>
        <w:jc w:val="center"/>
        <w:rPr>
          <w:rFonts w:ascii="Arial" w:hAnsi="Arial" w:cs="Arial"/>
          <w:b/>
          <w:sz w:val="22"/>
          <w:szCs w:val="22"/>
        </w:rPr>
      </w:pPr>
    </w:p>
    <w:p>
      <w:pPr>
        <w:spacing w:line="276" w:lineRule="auto"/>
        <w:jc w:val="center"/>
        <w:rPr>
          <w:rFonts w:ascii="Arial" w:hAnsi="Arial" w:cs="Arial"/>
          <w:b/>
          <w:sz w:val="22"/>
          <w:szCs w:val="22"/>
        </w:rPr>
      </w:pPr>
    </w:p>
    <w:p>
      <w:pPr>
        <w:spacing w:line="276" w:lineRule="auto"/>
        <w:jc w:val="center"/>
        <w:rPr>
          <w:rFonts w:ascii="Arial" w:hAnsi="Arial" w:cs="Arial"/>
          <w:b/>
          <w:sz w:val="22"/>
          <w:szCs w:val="22"/>
        </w:rPr>
      </w:pPr>
    </w:p>
    <w:p>
      <w:pPr>
        <w:spacing w:line="276" w:lineRule="auto"/>
        <w:jc w:val="center"/>
        <w:rPr>
          <w:rFonts w:ascii="Arial" w:hAnsi="Arial" w:cs="Arial"/>
          <w:b/>
          <w:sz w:val="22"/>
          <w:szCs w:val="22"/>
        </w:rPr>
      </w:pPr>
    </w:p>
    <w:p>
      <w:pPr>
        <w:spacing w:line="276" w:lineRule="auto"/>
        <w:jc w:val="center"/>
        <w:rPr>
          <w:rFonts w:ascii="Arial" w:hAnsi="Arial" w:cs="Arial"/>
          <w:b/>
          <w:sz w:val="22"/>
          <w:szCs w:val="22"/>
        </w:rPr>
      </w:pPr>
    </w:p>
    <w:p>
      <w:pPr>
        <w:spacing w:line="276" w:lineRule="auto"/>
        <w:jc w:val="center"/>
        <w:rPr>
          <w:rFonts w:ascii="Arial" w:hAnsi="Arial" w:cs="Arial"/>
          <w:b/>
          <w:sz w:val="22"/>
          <w:szCs w:val="22"/>
        </w:rPr>
      </w:pPr>
    </w:p>
    <w:p>
      <w:pPr>
        <w:spacing w:line="276" w:lineRule="auto"/>
        <w:jc w:val="center"/>
        <w:rPr>
          <w:rFonts w:ascii="Arial" w:hAnsi="Arial" w:cs="Arial"/>
          <w:b/>
          <w:sz w:val="22"/>
          <w:szCs w:val="22"/>
        </w:rPr>
      </w:pPr>
    </w:p>
    <w:p>
      <w:pPr>
        <w:spacing w:line="276" w:lineRule="auto"/>
        <w:jc w:val="center"/>
        <w:rPr>
          <w:rFonts w:ascii="Arial" w:hAnsi="Arial" w:cs="Arial"/>
          <w:b/>
          <w:sz w:val="22"/>
          <w:szCs w:val="22"/>
        </w:rPr>
      </w:pPr>
    </w:p>
    <w:p>
      <w:pPr>
        <w:spacing w:line="276" w:lineRule="auto"/>
        <w:jc w:val="center"/>
        <w:rPr>
          <w:rFonts w:ascii="Arial" w:hAnsi="Arial" w:cs="Arial"/>
          <w:b/>
          <w:sz w:val="22"/>
          <w:szCs w:val="22"/>
        </w:rPr>
      </w:pPr>
    </w:p>
    <w:p>
      <w:pPr>
        <w:spacing w:line="276" w:lineRule="auto"/>
        <w:jc w:val="center"/>
        <w:rPr>
          <w:rFonts w:ascii="Arial" w:hAnsi="Arial" w:cs="Arial"/>
          <w:b/>
          <w:bCs/>
          <w:color w:val="000000"/>
          <w:sz w:val="22"/>
          <w:szCs w:val="22"/>
        </w:rPr>
      </w:pPr>
      <w:r>
        <w:rPr>
          <w:rFonts w:ascii="Arial" w:hAnsi="Arial" w:cs="Arial"/>
          <w:b/>
          <w:bCs/>
          <w:color w:val="000000"/>
          <w:sz w:val="22"/>
          <w:szCs w:val="22"/>
        </w:rPr>
        <w:t>__________________________________________________</w:t>
      </w:r>
    </w:p>
    <w:p>
      <w:pPr>
        <w:spacing w:line="276" w:lineRule="auto"/>
        <w:jc w:val="center"/>
        <w:rPr>
          <w:rFonts w:ascii="Arial" w:hAnsi="Arial" w:cs="Arial"/>
          <w:sz w:val="22"/>
          <w:szCs w:val="22"/>
        </w:rPr>
      </w:pPr>
      <w:r>
        <w:rPr>
          <w:rFonts w:ascii="Arial" w:hAnsi="Arial" w:cs="Arial"/>
          <w:sz w:val="22"/>
          <w:szCs w:val="22"/>
        </w:rPr>
        <w:t>(Nome completo por extenso do responsável pela Pessoa Jurídica</w:t>
      </w:r>
    </w:p>
    <w:p>
      <w:pPr>
        <w:spacing w:line="276" w:lineRule="auto"/>
        <w:jc w:val="center"/>
        <w:rPr>
          <w:rFonts w:ascii="Arial" w:hAnsi="Arial" w:cs="Arial"/>
          <w:sz w:val="22"/>
          <w:szCs w:val="22"/>
        </w:rPr>
      </w:pPr>
      <w:r>
        <w:rPr>
          <w:rFonts w:ascii="Arial" w:hAnsi="Arial" w:cs="Arial"/>
          <w:sz w:val="22"/>
          <w:szCs w:val="22"/>
        </w:rPr>
        <w:t>Emitente deste atestado e sua assinatura)</w:t>
      </w:r>
    </w:p>
    <w:p>
      <w:pPr>
        <w:spacing w:line="276" w:lineRule="auto"/>
        <w:jc w:val="center"/>
        <w:rPr>
          <w:b/>
        </w:rPr>
      </w:pPr>
    </w:p>
    <w:p>
      <w:pPr>
        <w:spacing w:line="276" w:lineRule="auto"/>
        <w:ind w:right="27"/>
        <w:jc w:val="center"/>
        <w:rPr>
          <w:b/>
          <w:u w:val="single"/>
        </w:rPr>
      </w:pPr>
    </w:p>
    <w:p>
      <w:pPr>
        <w:spacing w:line="276" w:lineRule="auto"/>
        <w:ind w:right="27"/>
        <w:jc w:val="center"/>
        <w:rPr>
          <w:b/>
          <w:u w:val="single"/>
        </w:rPr>
      </w:pPr>
    </w:p>
    <w:p>
      <w:pPr>
        <w:spacing w:line="276" w:lineRule="auto"/>
        <w:ind w:right="27"/>
        <w:jc w:val="center"/>
        <w:rPr>
          <w:b/>
          <w:u w:val="single"/>
        </w:rPr>
      </w:pPr>
    </w:p>
    <w:p>
      <w:pPr>
        <w:spacing w:line="276" w:lineRule="auto"/>
        <w:ind w:right="27"/>
        <w:jc w:val="center"/>
        <w:rPr>
          <w:b/>
          <w:u w:val="single"/>
        </w:rPr>
      </w:pPr>
    </w:p>
    <w:p>
      <w:pPr>
        <w:spacing w:line="276" w:lineRule="auto"/>
        <w:ind w:right="27"/>
        <w:jc w:val="center"/>
        <w:rPr>
          <w:b/>
          <w:u w:val="single"/>
        </w:rPr>
      </w:pPr>
    </w:p>
    <w:p>
      <w:pPr>
        <w:autoSpaceDE w:val="0"/>
        <w:autoSpaceDN w:val="0"/>
        <w:adjustRightInd w:val="0"/>
        <w:spacing w:line="276" w:lineRule="auto"/>
        <w:ind w:right="27"/>
        <w:jc w:val="both"/>
        <w:rPr>
          <w:b/>
          <w:bCs/>
          <w:u w:val="single"/>
        </w:rPr>
      </w:pPr>
    </w:p>
    <w:p>
      <w:pPr>
        <w:pStyle w:val="198"/>
      </w:pPr>
      <w:bookmarkStart w:id="46" w:name="_Toc380557844"/>
      <w:bookmarkStart w:id="47" w:name="_Toc514666354"/>
      <w:r>
        <w:t>ANEXO VI -</w:t>
      </w:r>
      <w:bookmarkEnd w:id="46"/>
      <w:r>
        <w:t xml:space="preserve"> </w:t>
      </w:r>
      <w:r>
        <w:rPr>
          <w:bCs/>
        </w:rPr>
        <w:t xml:space="preserve">MODELO DE DECLARAÇÃO </w:t>
      </w:r>
      <w:bookmarkEnd w:id="47"/>
      <w:r>
        <w:rPr>
          <w:bCs/>
        </w:rPr>
        <w:t>DE CUMPRIMENTO D</w:t>
      </w:r>
      <w:r>
        <w:rPr>
          <w:rFonts w:hint="default"/>
          <w:bCs/>
          <w:lang w:val="pt-BR"/>
        </w:rPr>
        <w:t>OS</w:t>
      </w:r>
      <w:r>
        <w:rPr>
          <w:bCs/>
        </w:rPr>
        <w:t xml:space="preserve"> REQUISITOS LEGAIS</w:t>
      </w:r>
    </w:p>
    <w:p>
      <w:pPr>
        <w:pStyle w:val="75"/>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76" w:lineRule="auto"/>
        <w:ind w:right="27"/>
        <w:jc w:val="center"/>
        <w:rPr>
          <w:rFonts w:ascii="Times New Roman" w:hAnsi="Times New Roman"/>
          <w:iCs/>
          <w:szCs w:val="24"/>
          <w:lang w:val="pt-BR"/>
        </w:rPr>
      </w:pPr>
      <w:r>
        <w:rPr>
          <w:rFonts w:ascii="Times New Roman" w:hAnsi="Times New Roman"/>
          <w:iCs/>
          <w:szCs w:val="24"/>
          <w:lang w:val="pt-BR"/>
        </w:rPr>
        <w:t>(PAPEL TIMBRADO DA EMPRESA)</w:t>
      </w:r>
    </w:p>
    <w:p>
      <w:pPr>
        <w:pStyle w:val="75"/>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76" w:lineRule="auto"/>
        <w:ind w:right="27"/>
        <w:jc w:val="center"/>
        <w:rPr>
          <w:rFonts w:ascii="Times New Roman" w:hAnsi="Times New Roman"/>
          <w:b/>
          <w:iCs/>
          <w:szCs w:val="24"/>
          <w:lang w:val="pt-BR"/>
        </w:rPr>
      </w:pPr>
    </w:p>
    <w:p>
      <w:pPr>
        <w:autoSpaceDE w:val="0"/>
        <w:autoSpaceDN w:val="0"/>
        <w:adjustRightInd w:val="0"/>
        <w:ind w:right="27"/>
        <w:jc w:val="both"/>
        <w:outlineLvl w:val="0"/>
        <w:rPr>
          <w:rFonts w:hint="default" w:ascii="Arial" w:hAnsi="Arial" w:cs="Arial"/>
          <w:b/>
          <w:bCs/>
          <w:sz w:val="22"/>
          <w:szCs w:val="22"/>
          <w:lang w:val="pt-BR"/>
        </w:rPr>
      </w:pPr>
      <w:r>
        <w:rPr>
          <w:rFonts w:hint="default" w:ascii="Arial" w:hAnsi="Arial" w:cs="Arial"/>
          <w:b/>
          <w:bCs/>
          <w:sz w:val="22"/>
          <w:szCs w:val="22"/>
          <w:lang w:val="pt-BR"/>
        </w:rPr>
        <w:t>À</w:t>
      </w:r>
    </w:p>
    <w:p>
      <w:pPr>
        <w:autoSpaceDE w:val="0"/>
        <w:autoSpaceDN w:val="0"/>
        <w:adjustRightInd w:val="0"/>
        <w:ind w:right="27"/>
        <w:jc w:val="both"/>
        <w:outlineLvl w:val="0"/>
        <w:rPr>
          <w:rFonts w:hint="default" w:ascii="Arial" w:hAnsi="Arial" w:cs="Arial"/>
          <w:b/>
          <w:bCs/>
          <w:sz w:val="22"/>
          <w:szCs w:val="22"/>
          <w:lang w:val="pt-BR"/>
        </w:rPr>
      </w:pPr>
      <w:r>
        <w:rPr>
          <w:rFonts w:hint="default" w:ascii="Arial" w:hAnsi="Arial" w:cs="Arial"/>
          <w:b/>
          <w:bCs/>
          <w:sz w:val="22"/>
          <w:szCs w:val="22"/>
          <w:lang w:val="pt-BR"/>
        </w:rPr>
        <w:t xml:space="preserve">PREFEITURA MUNICIPAL DE PRIMAVERA DO LESTE - MT. </w:t>
      </w:r>
    </w:p>
    <w:p>
      <w:pPr>
        <w:autoSpaceDE w:val="0"/>
        <w:autoSpaceDN w:val="0"/>
        <w:adjustRightInd w:val="0"/>
        <w:ind w:right="27"/>
        <w:jc w:val="both"/>
        <w:rPr>
          <w:rFonts w:hint="default" w:ascii="Arial" w:hAnsi="Arial" w:cs="Arial"/>
          <w:b/>
          <w:bCs/>
          <w:sz w:val="22"/>
          <w:szCs w:val="22"/>
          <w:lang w:val="pt-BR"/>
        </w:rPr>
      </w:pPr>
      <w:r>
        <w:rPr>
          <w:rFonts w:ascii="Arial" w:hAnsi="Arial" w:cs="Arial"/>
          <w:b/>
          <w:bCs/>
          <w:sz w:val="22"/>
          <w:szCs w:val="22"/>
        </w:rPr>
        <w:t xml:space="preserve">Ref: </w:t>
      </w:r>
      <w:r>
        <w:rPr>
          <w:rFonts w:ascii="Arial" w:hAnsi="Arial" w:cs="Arial"/>
          <w:b/>
          <w:sz w:val="22"/>
          <w:szCs w:val="22"/>
        </w:rPr>
        <w:t>EDITAL DE LICITAÇÃO DE TOMADA DE PREÇO</w:t>
      </w:r>
      <w:r>
        <w:rPr>
          <w:rFonts w:hint="default" w:ascii="Arial" w:hAnsi="Arial" w:cs="Arial"/>
          <w:b/>
          <w:sz w:val="22"/>
          <w:szCs w:val="22"/>
          <w:lang w:val="pt-BR"/>
        </w:rPr>
        <w:t>S</w:t>
      </w:r>
      <w:r>
        <w:rPr>
          <w:rFonts w:ascii="Arial" w:hAnsi="Arial" w:cs="Arial"/>
          <w:b/>
          <w:sz w:val="22"/>
          <w:szCs w:val="22"/>
        </w:rPr>
        <w:t xml:space="preserve"> </w:t>
      </w:r>
      <w:r>
        <w:rPr>
          <w:rFonts w:ascii="Arial" w:hAnsi="Arial" w:cs="Arial"/>
          <w:b/>
          <w:bCs/>
          <w:sz w:val="22"/>
          <w:szCs w:val="22"/>
        </w:rPr>
        <w:t xml:space="preserve">Nº. </w:t>
      </w:r>
      <w:r>
        <w:rPr>
          <w:rFonts w:ascii="Arial" w:hAnsi="Arial" w:cs="Arial"/>
          <w:b/>
          <w:bCs/>
          <w:sz w:val="22"/>
          <w:szCs w:val="22"/>
          <w:lang w:val="pt-BR"/>
        </w:rPr>
        <w:t>005/2023</w:t>
      </w:r>
    </w:p>
    <w:p>
      <w:pPr>
        <w:spacing w:line="276" w:lineRule="auto"/>
        <w:rPr>
          <w:rFonts w:ascii="Arial" w:hAnsi="Arial" w:cs="Arial"/>
          <w:b/>
          <w:sz w:val="22"/>
          <w:szCs w:val="22"/>
          <w:u w:val="single"/>
        </w:rPr>
      </w:pPr>
    </w:p>
    <w:p>
      <w:pPr>
        <w:autoSpaceDE w:val="0"/>
        <w:autoSpaceDN w:val="0"/>
        <w:adjustRightInd w:val="0"/>
        <w:ind w:right="27"/>
        <w:jc w:val="both"/>
        <w:rPr>
          <w:rFonts w:ascii="Arial" w:hAnsi="Arial" w:cs="Arial"/>
          <w:sz w:val="22"/>
          <w:szCs w:val="22"/>
        </w:rPr>
      </w:pPr>
      <w:r>
        <w:rPr>
          <w:rFonts w:ascii="Arial" w:hAnsi="Arial" w:cs="Arial"/>
          <w:sz w:val="22"/>
          <w:szCs w:val="22"/>
        </w:rPr>
        <w:t xml:space="preserve">___________________________, (Nome da Empresa) CNPJ Nº. _____________, sediada na _________________, nº. ___, bairro, _____________, CEP__________, Município/Estado _________________, por seu representante legal abaixo assinado, em cumprimento ao solicitado no Edital da presente licitação, </w:t>
      </w:r>
      <w:r>
        <w:rPr>
          <w:rFonts w:ascii="Arial" w:hAnsi="Arial" w:cs="Arial"/>
          <w:b/>
          <w:sz w:val="22"/>
          <w:szCs w:val="22"/>
          <w:u w:val="single"/>
        </w:rPr>
        <w:t>DECLARA</w:t>
      </w:r>
      <w:r>
        <w:rPr>
          <w:rFonts w:ascii="Arial" w:hAnsi="Arial" w:cs="Arial"/>
          <w:sz w:val="22"/>
          <w:szCs w:val="22"/>
        </w:rPr>
        <w:t>, sob as penas da lei, que:</w:t>
      </w:r>
    </w:p>
    <w:p>
      <w:pPr>
        <w:tabs>
          <w:tab w:val="left" w:pos="645"/>
        </w:tabs>
        <w:spacing w:line="276" w:lineRule="auto"/>
        <w:jc w:val="both"/>
        <w:rPr>
          <w:rFonts w:ascii="Arial" w:hAnsi="Arial" w:cs="Arial"/>
          <w:sz w:val="22"/>
          <w:szCs w:val="22"/>
        </w:rPr>
      </w:pPr>
    </w:p>
    <w:p>
      <w:pPr>
        <w:numPr>
          <w:ilvl w:val="0"/>
          <w:numId w:val="33"/>
        </w:numPr>
        <w:suppressAutoHyphens/>
        <w:spacing w:before="120" w:after="120"/>
        <w:ind w:left="6" w:leftChars="0" w:hanging="6" w:firstLineChars="0"/>
        <w:jc w:val="both"/>
        <w:rPr>
          <w:rFonts w:ascii="Arial" w:hAnsi="Arial" w:cs="Arial"/>
          <w:sz w:val="20"/>
          <w:szCs w:val="20"/>
        </w:rPr>
      </w:pPr>
      <w:r>
        <w:rPr>
          <w:rFonts w:hint="default" w:ascii="Arial" w:hAnsi="Arial" w:cs="Arial"/>
          <w:sz w:val="20"/>
          <w:szCs w:val="20"/>
          <w:lang w:val="pt-BR"/>
        </w:rPr>
        <w:t xml:space="preserve"> </w:t>
      </w:r>
      <w:r>
        <w:rPr>
          <w:rFonts w:ascii="Arial" w:hAnsi="Arial" w:cs="Arial"/>
          <w:sz w:val="20"/>
          <w:szCs w:val="20"/>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r>
        <w:rPr>
          <w:rFonts w:hint="default" w:ascii="Arial" w:hAnsi="Arial" w:cs="Arial"/>
          <w:sz w:val="20"/>
          <w:szCs w:val="20"/>
          <w:lang w:val="pt-BR"/>
        </w:rPr>
        <w:t>;</w:t>
      </w:r>
    </w:p>
    <w:p>
      <w:pPr>
        <w:numPr>
          <w:ilvl w:val="0"/>
          <w:numId w:val="33"/>
        </w:numPr>
        <w:suppressAutoHyphens/>
        <w:spacing w:before="120" w:after="120"/>
        <w:ind w:left="6" w:leftChars="0" w:hanging="6" w:firstLineChars="0"/>
        <w:jc w:val="both"/>
        <w:rPr>
          <w:rFonts w:ascii="Arial" w:hAnsi="Arial" w:cs="Arial"/>
          <w:sz w:val="20"/>
          <w:szCs w:val="20"/>
        </w:rPr>
      </w:pPr>
      <w:r>
        <w:rPr>
          <w:rFonts w:hint="default" w:ascii="Arial" w:hAnsi="Arial" w:cs="Arial"/>
          <w:sz w:val="20"/>
          <w:szCs w:val="20"/>
          <w:lang w:val="pt-BR"/>
        </w:rPr>
        <w:t xml:space="preserve"> </w:t>
      </w:r>
      <w:r>
        <w:rPr>
          <w:rFonts w:ascii="Arial" w:hAnsi="Arial" w:cs="Arial"/>
          <w:sz w:val="20"/>
          <w:szCs w:val="20"/>
        </w:rPr>
        <w:t>Não possui em seu quadro de pessoal servidores públicos do Poder Executivo Municipal exercendo funções técnicas, comerciais, de gerência, administração ou tomada de decisão, (inciso III, do art. 9º da Lei 8666/93 e inciso X do artigo 144 da Lei Complementar nº 04/90)</w:t>
      </w:r>
      <w:r>
        <w:rPr>
          <w:rFonts w:hint="default" w:ascii="Arial" w:hAnsi="Arial" w:cs="Arial"/>
          <w:sz w:val="20"/>
          <w:szCs w:val="20"/>
          <w:lang w:val="pt-BR"/>
        </w:rPr>
        <w:t>;</w:t>
      </w:r>
    </w:p>
    <w:p>
      <w:pPr>
        <w:numPr>
          <w:ilvl w:val="0"/>
          <w:numId w:val="33"/>
        </w:numPr>
        <w:suppressAutoHyphens/>
        <w:spacing w:before="120" w:after="120"/>
        <w:ind w:left="6" w:leftChars="0" w:hanging="6" w:firstLineChars="0"/>
        <w:jc w:val="both"/>
        <w:rPr>
          <w:rFonts w:ascii="Arial" w:hAnsi="Arial" w:cs="Arial"/>
          <w:sz w:val="20"/>
          <w:szCs w:val="20"/>
        </w:rPr>
      </w:pPr>
      <w:r>
        <w:rPr>
          <w:rFonts w:hint="default" w:ascii="Arial" w:hAnsi="Arial" w:cs="Arial"/>
          <w:sz w:val="20"/>
          <w:szCs w:val="20"/>
          <w:lang w:val="pt-BR"/>
        </w:rPr>
        <w:t xml:space="preserve"> </w:t>
      </w:r>
      <w:r>
        <w:rPr>
          <w:rFonts w:ascii="Arial" w:hAnsi="Arial" w:cs="Arial"/>
          <w:sz w:val="20"/>
          <w:szCs w:val="20"/>
        </w:rPr>
        <w:t>Inexiste fato superveniente impeditivo de habilitação, na forma do art. 32, § 2º, da Lei n.º 8.666/1993</w:t>
      </w:r>
      <w:r>
        <w:rPr>
          <w:rFonts w:hint="default" w:ascii="Arial" w:hAnsi="Arial" w:cs="Arial"/>
          <w:sz w:val="20"/>
          <w:szCs w:val="20"/>
          <w:lang w:val="pt-BR"/>
        </w:rPr>
        <w:t>;</w:t>
      </w:r>
    </w:p>
    <w:p>
      <w:pPr>
        <w:numPr>
          <w:ilvl w:val="0"/>
          <w:numId w:val="33"/>
        </w:numPr>
        <w:suppressAutoHyphens/>
        <w:spacing w:before="120" w:after="120"/>
        <w:ind w:left="6" w:leftChars="0" w:hanging="6" w:firstLineChars="0"/>
        <w:jc w:val="both"/>
        <w:rPr>
          <w:rFonts w:ascii="Arial" w:hAnsi="Arial" w:cs="Arial"/>
          <w:sz w:val="20"/>
          <w:szCs w:val="20"/>
        </w:rPr>
      </w:pPr>
      <w:r>
        <w:rPr>
          <w:rFonts w:hint="default" w:ascii="Arial" w:hAnsi="Arial" w:cs="Arial"/>
          <w:sz w:val="20"/>
          <w:szCs w:val="20"/>
          <w:lang w:val="pt-BR"/>
        </w:rPr>
        <w:t xml:space="preserve"> </w:t>
      </w:r>
      <w:r>
        <w:rPr>
          <w:rFonts w:ascii="Arial" w:hAnsi="Arial" w:cs="Arial"/>
          <w:sz w:val="20"/>
          <w:szCs w:val="20"/>
        </w:rPr>
        <w:t>Declara</w:t>
      </w:r>
      <w:r>
        <w:rPr>
          <w:rFonts w:hint="default" w:ascii="Arial" w:hAnsi="Arial" w:cs="Arial"/>
          <w:sz w:val="20"/>
          <w:szCs w:val="20"/>
          <w:lang w:val="pt-BR"/>
        </w:rPr>
        <w:t>mos</w:t>
      </w:r>
      <w:r>
        <w:rPr>
          <w:rFonts w:ascii="Arial" w:hAnsi="Arial" w:cs="Arial"/>
          <w:sz w:val="20"/>
          <w:szCs w:val="20"/>
        </w:rPr>
        <w:t xml:space="preserve"> que tem</w:t>
      </w:r>
      <w:r>
        <w:rPr>
          <w:rFonts w:hint="default" w:ascii="Arial" w:hAnsi="Arial" w:cs="Arial"/>
          <w:sz w:val="20"/>
          <w:szCs w:val="20"/>
          <w:lang w:val="pt-BR"/>
        </w:rPr>
        <w:t>os</w:t>
      </w:r>
      <w:r>
        <w:rPr>
          <w:rFonts w:ascii="Arial" w:hAnsi="Arial" w:cs="Arial"/>
          <w:sz w:val="20"/>
          <w:szCs w:val="20"/>
        </w:rPr>
        <w:t xml:space="preserve"> pleno conhecimento de todas as informações, das condições locais para o cumprimento das obrigações e da natureza dos serviços a que </w:t>
      </w:r>
      <w:r>
        <w:rPr>
          <w:rFonts w:hint="default" w:ascii="Arial" w:hAnsi="Arial" w:cs="Arial"/>
          <w:sz w:val="20"/>
          <w:szCs w:val="20"/>
          <w:lang w:val="pt-BR"/>
        </w:rPr>
        <w:t>nos propomos a executar</w:t>
      </w:r>
      <w:r>
        <w:rPr>
          <w:rFonts w:ascii="Arial" w:hAnsi="Arial" w:cs="Arial"/>
          <w:sz w:val="20"/>
          <w:szCs w:val="20"/>
        </w:rPr>
        <w:t xml:space="preserve">, bem como, de todos os termos do instrumento convocatório que rege a licitação e demais anexos que </w:t>
      </w:r>
      <w:r>
        <w:rPr>
          <w:rFonts w:hint="default" w:ascii="Arial" w:hAnsi="Arial" w:cs="Arial"/>
          <w:sz w:val="20"/>
          <w:szCs w:val="20"/>
          <w:lang w:val="pt-BR"/>
        </w:rPr>
        <w:t>a</w:t>
      </w:r>
      <w:r>
        <w:rPr>
          <w:rFonts w:ascii="Arial" w:hAnsi="Arial" w:cs="Arial"/>
          <w:sz w:val="20"/>
          <w:szCs w:val="20"/>
        </w:rPr>
        <w:t xml:space="preserve"> integram</w:t>
      </w:r>
      <w:r>
        <w:rPr>
          <w:rFonts w:hint="default" w:ascii="Arial" w:hAnsi="Arial" w:cs="Arial"/>
          <w:sz w:val="20"/>
          <w:szCs w:val="20"/>
          <w:lang w:val="pt-BR"/>
        </w:rPr>
        <w:t>.</w:t>
      </w:r>
    </w:p>
    <w:p>
      <w:pPr>
        <w:tabs>
          <w:tab w:val="left" w:pos="4536"/>
        </w:tabs>
        <w:spacing w:line="276" w:lineRule="auto"/>
        <w:ind w:right="2"/>
        <w:jc w:val="right"/>
        <w:rPr>
          <w:b/>
        </w:rPr>
      </w:pPr>
    </w:p>
    <w:p>
      <w:pPr>
        <w:tabs>
          <w:tab w:val="left" w:pos="4536"/>
        </w:tabs>
        <w:spacing w:line="276" w:lineRule="auto"/>
        <w:ind w:right="2"/>
        <w:jc w:val="right"/>
        <w:rPr>
          <w:b/>
        </w:rPr>
      </w:pPr>
    </w:p>
    <w:p>
      <w:pPr>
        <w:tabs>
          <w:tab w:val="left" w:pos="4536"/>
        </w:tabs>
        <w:spacing w:line="276" w:lineRule="auto"/>
        <w:ind w:right="2"/>
        <w:jc w:val="right"/>
        <w:rPr>
          <w:rFonts w:ascii="Arial" w:hAnsi="Arial" w:cs="Arial"/>
          <w:b/>
          <w:sz w:val="22"/>
          <w:szCs w:val="22"/>
        </w:rPr>
      </w:pPr>
    </w:p>
    <w:p>
      <w:pPr>
        <w:spacing w:line="276" w:lineRule="auto"/>
        <w:jc w:val="right"/>
        <w:rPr>
          <w:rFonts w:ascii="Arial" w:hAnsi="Arial" w:cs="Arial"/>
          <w:b/>
          <w:sz w:val="22"/>
          <w:szCs w:val="22"/>
        </w:rPr>
      </w:pPr>
      <w:r>
        <w:rPr>
          <w:rFonts w:ascii="Arial" w:hAnsi="Arial" w:cs="Arial"/>
          <w:sz w:val="22"/>
          <w:szCs w:val="22"/>
        </w:rPr>
        <w:t xml:space="preserve">Primavera do Leste/MT, ___ de _________ 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spacing w:line="276" w:lineRule="auto"/>
        <w:jc w:val="both"/>
        <w:rPr>
          <w:rFonts w:ascii="Arial" w:hAnsi="Arial" w:cs="Arial"/>
          <w:sz w:val="22"/>
          <w:szCs w:val="22"/>
        </w:rPr>
      </w:pPr>
    </w:p>
    <w:p>
      <w:pPr>
        <w:spacing w:line="276" w:lineRule="auto"/>
        <w:jc w:val="center"/>
        <w:rPr>
          <w:rFonts w:ascii="Arial" w:hAnsi="Arial" w:cs="Arial"/>
          <w:b/>
          <w:bCs/>
          <w:color w:val="000000"/>
          <w:sz w:val="22"/>
          <w:szCs w:val="22"/>
        </w:rPr>
      </w:pPr>
      <w:r>
        <w:rPr>
          <w:rFonts w:ascii="Arial" w:hAnsi="Arial" w:cs="Arial"/>
          <w:b/>
          <w:bCs/>
          <w:color w:val="000000"/>
          <w:sz w:val="22"/>
          <w:szCs w:val="22"/>
        </w:rPr>
        <w:t>Assinatura do Representante Legal da Empresa sob carimbo</w:t>
      </w:r>
    </w:p>
    <w:p>
      <w:pPr>
        <w:spacing w:line="276" w:lineRule="auto"/>
        <w:ind w:right="27"/>
        <w:jc w:val="center"/>
        <w:rPr>
          <w:rFonts w:ascii="Arial" w:hAnsi="Arial" w:cs="Arial"/>
          <w:b/>
          <w:sz w:val="22"/>
          <w:szCs w:val="22"/>
        </w:rPr>
      </w:pPr>
      <w:r>
        <w:rPr>
          <w:rFonts w:ascii="Arial" w:hAnsi="Arial" w:cs="Arial"/>
          <w:b/>
          <w:sz w:val="22"/>
          <w:szCs w:val="22"/>
        </w:rPr>
        <w:t>RG:</w:t>
      </w:r>
    </w:p>
    <w:p>
      <w:pPr>
        <w:spacing w:line="276" w:lineRule="auto"/>
        <w:ind w:right="27"/>
        <w:jc w:val="center"/>
        <w:rPr>
          <w:rFonts w:ascii="Arial" w:hAnsi="Arial" w:cs="Arial"/>
          <w:b/>
          <w:sz w:val="22"/>
          <w:szCs w:val="22"/>
        </w:rPr>
      </w:pPr>
      <w:r>
        <w:rPr>
          <w:rFonts w:ascii="Arial" w:hAnsi="Arial" w:cs="Arial"/>
          <w:b/>
          <w:sz w:val="22"/>
          <w:szCs w:val="22"/>
        </w:rPr>
        <w:t>CPF:</w:t>
      </w:r>
    </w:p>
    <w:p>
      <w:pPr>
        <w:spacing w:line="276" w:lineRule="auto"/>
        <w:ind w:right="27"/>
        <w:jc w:val="center"/>
        <w:rPr>
          <w:rFonts w:ascii="Arial" w:hAnsi="Arial" w:cs="Arial"/>
          <w:b/>
          <w:sz w:val="22"/>
          <w:szCs w:val="22"/>
        </w:rPr>
      </w:pPr>
      <w:r>
        <w:rPr>
          <w:rFonts w:ascii="Arial" w:hAnsi="Arial" w:cs="Arial"/>
          <w:b/>
          <w:sz w:val="22"/>
          <w:szCs w:val="22"/>
        </w:rPr>
        <w:t>Empresa:</w:t>
      </w:r>
    </w:p>
    <w:p>
      <w:pPr>
        <w:spacing w:line="276" w:lineRule="auto"/>
        <w:ind w:right="27"/>
        <w:jc w:val="center"/>
        <w:rPr>
          <w:rFonts w:ascii="Arial" w:hAnsi="Arial" w:cs="Arial"/>
          <w:b/>
          <w:sz w:val="22"/>
          <w:szCs w:val="22"/>
        </w:rPr>
      </w:pPr>
      <w:r>
        <w:rPr>
          <w:rFonts w:ascii="Arial" w:hAnsi="Arial" w:cs="Arial"/>
          <w:b/>
          <w:sz w:val="22"/>
          <w:szCs w:val="22"/>
        </w:rPr>
        <w:t>CNPJ/MF:</w:t>
      </w:r>
    </w:p>
    <w:p>
      <w:pPr>
        <w:spacing w:line="276" w:lineRule="auto"/>
        <w:ind w:right="27"/>
        <w:jc w:val="center"/>
        <w:rPr>
          <w:rFonts w:ascii="Arial" w:hAnsi="Arial" w:cs="Arial"/>
          <w:b/>
          <w:sz w:val="22"/>
          <w:szCs w:val="22"/>
        </w:rPr>
      </w:pPr>
    </w:p>
    <w:p>
      <w:pPr>
        <w:pStyle w:val="49"/>
        <w:suppressAutoHyphens w:val="0"/>
        <w:ind w:left="0"/>
        <w:jc w:val="center"/>
        <w:rPr>
          <w:rFonts w:ascii="Arial" w:hAnsi="Arial" w:cs="Arial"/>
          <w:b/>
          <w:color w:val="FF0000"/>
          <w:sz w:val="22"/>
          <w:szCs w:val="22"/>
          <w:u w:val="single"/>
        </w:rPr>
      </w:pPr>
      <w:r>
        <w:rPr>
          <w:rFonts w:ascii="Arial" w:hAnsi="Arial" w:cs="Arial"/>
          <w:b/>
          <w:color w:val="FF0000"/>
          <w:sz w:val="22"/>
          <w:szCs w:val="22"/>
          <w:u w:val="single"/>
        </w:rPr>
        <w:t>Anexar ao Envelope Nº 01 – Documentos de Habilitação</w:t>
      </w: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198"/>
      </w:pPr>
      <w:bookmarkStart w:id="48" w:name="_Toc380557846"/>
      <w:bookmarkStart w:id="49" w:name="_Toc514666355"/>
      <w:r>
        <w:t xml:space="preserve">ANEXO VII - </w:t>
      </w:r>
      <w:bookmarkEnd w:id="48"/>
      <w:r>
        <w:t>MODELO DE DECLARAÇÃO DANDO CIÊNCIA DE QUE CUMPRE PLENAMENTE OS REQUISITOS DE HABILITAÇÃO</w:t>
      </w:r>
      <w:bookmarkEnd w:id="49"/>
    </w:p>
    <w:p>
      <w:pPr>
        <w:spacing w:line="276" w:lineRule="auto"/>
        <w:jc w:val="center"/>
        <w:rPr>
          <w:rFonts w:ascii="Arial" w:hAnsi="Arial" w:cs="Arial"/>
          <w:sz w:val="22"/>
          <w:szCs w:val="22"/>
        </w:rPr>
      </w:pPr>
      <w:r>
        <w:rPr>
          <w:rFonts w:ascii="Arial" w:hAnsi="Arial" w:cs="Arial"/>
          <w:iCs/>
          <w:sz w:val="22"/>
          <w:szCs w:val="22"/>
        </w:rPr>
        <w:t>(PAPEL TIMBRADO DA EMPRESA)</w:t>
      </w:r>
    </w:p>
    <w:p>
      <w:pPr>
        <w:spacing w:line="276" w:lineRule="auto"/>
        <w:jc w:val="center"/>
      </w:pPr>
    </w:p>
    <w:p>
      <w:pPr>
        <w:autoSpaceDE w:val="0"/>
        <w:autoSpaceDN w:val="0"/>
        <w:adjustRightInd w:val="0"/>
        <w:spacing w:line="276" w:lineRule="auto"/>
        <w:ind w:right="27"/>
        <w:jc w:val="center"/>
        <w:rPr>
          <w:b/>
          <w:iCs/>
        </w:rPr>
      </w:pPr>
    </w:p>
    <w:p>
      <w:pPr>
        <w:spacing w:line="276" w:lineRule="auto"/>
        <w:ind w:right="27"/>
        <w:jc w:val="center"/>
        <w:rPr>
          <w:b/>
        </w:rPr>
      </w:pPr>
    </w:p>
    <w:p>
      <w:pPr>
        <w:pStyle w:val="24"/>
        <w:spacing w:after="0" w:line="276" w:lineRule="auto"/>
        <w:ind w:right="27"/>
        <w:jc w:val="both"/>
      </w:pPr>
    </w:p>
    <w:p>
      <w:pPr>
        <w:jc w:val="both"/>
        <w:rPr>
          <w:rFonts w:ascii="Arial" w:hAnsi="Arial" w:cs="Arial"/>
          <w:sz w:val="22"/>
          <w:szCs w:val="22"/>
        </w:rPr>
      </w:pPr>
      <w:r>
        <w:rPr>
          <w:rFonts w:ascii="Arial" w:hAnsi="Arial" w:cs="Arial"/>
          <w:sz w:val="22"/>
          <w:szCs w:val="22"/>
        </w:rPr>
        <w:t xml:space="preserve">Em atendimento ao previsto no edital de </w:t>
      </w:r>
      <w:r>
        <w:rPr>
          <w:rFonts w:ascii="Arial" w:hAnsi="Arial" w:cs="Arial"/>
          <w:b/>
          <w:sz w:val="22"/>
          <w:szCs w:val="22"/>
        </w:rPr>
        <w:t>TOMADA DE PREÇO</w:t>
      </w:r>
      <w:r>
        <w:rPr>
          <w:rFonts w:hint="default" w:ascii="Arial" w:hAnsi="Arial" w:cs="Arial"/>
          <w:b/>
          <w:sz w:val="22"/>
          <w:szCs w:val="22"/>
          <w:lang w:val="pt-BR"/>
        </w:rPr>
        <w:t>S</w:t>
      </w:r>
      <w:r>
        <w:rPr>
          <w:rFonts w:ascii="Arial" w:hAnsi="Arial" w:cs="Arial"/>
          <w:b/>
          <w:sz w:val="22"/>
          <w:szCs w:val="22"/>
        </w:rPr>
        <w:t xml:space="preserve"> </w:t>
      </w:r>
      <w:r>
        <w:rPr>
          <w:rFonts w:ascii="Arial" w:hAnsi="Arial" w:cs="Arial"/>
          <w:b/>
          <w:bCs/>
          <w:sz w:val="22"/>
          <w:szCs w:val="22"/>
        </w:rPr>
        <w:t>N°</w:t>
      </w:r>
      <w:r>
        <w:rPr>
          <w:rFonts w:ascii="Arial" w:hAnsi="Arial" w:cs="Arial"/>
          <w:sz w:val="22"/>
          <w:szCs w:val="22"/>
        </w:rPr>
        <w:t xml:space="preserve"> </w:t>
      </w:r>
      <w:r>
        <w:rPr>
          <w:rFonts w:ascii="Arial" w:hAnsi="Arial" w:cs="Arial"/>
          <w:b/>
          <w:sz w:val="22"/>
          <w:szCs w:val="22"/>
          <w:lang w:val="pt-BR"/>
        </w:rPr>
        <w:t>005/2023</w:t>
      </w:r>
      <w:r>
        <w:rPr>
          <w:rFonts w:ascii="Arial" w:hAnsi="Arial" w:cs="Arial"/>
          <w:sz w:val="22"/>
          <w:szCs w:val="22"/>
        </w:rPr>
        <w:t xml:space="preserve">, </w:t>
      </w:r>
      <w:r>
        <w:rPr>
          <w:rFonts w:ascii="Arial" w:hAnsi="Arial" w:cs="Arial"/>
          <w:b/>
          <w:sz w:val="22"/>
          <w:szCs w:val="22"/>
        </w:rPr>
        <w:t>DECLARAMOS</w:t>
      </w:r>
      <w:r>
        <w:rPr>
          <w:rFonts w:ascii="Arial" w:hAnsi="Arial" w:cs="Arial"/>
          <w:sz w:val="22"/>
          <w:szCs w:val="22"/>
        </w:rPr>
        <w:t xml:space="preserve"> que conhecemos e estamos de acordo com todo o teor do edital da presente licitação e ainda que cumprissem plenamente os requisitos de habilitação exigidos para participação no presente certame.</w:t>
      </w:r>
    </w:p>
    <w:p>
      <w:pPr>
        <w:spacing w:line="276" w:lineRule="auto"/>
        <w:jc w:val="both"/>
        <w:rPr>
          <w:rFonts w:ascii="Arial" w:hAnsi="Arial" w:cs="Arial"/>
          <w:sz w:val="22"/>
          <w:szCs w:val="22"/>
        </w:rPr>
      </w:pPr>
    </w:p>
    <w:p>
      <w:pPr>
        <w:spacing w:line="276" w:lineRule="auto"/>
        <w:jc w:val="both"/>
        <w:rPr>
          <w:rFonts w:ascii="Arial" w:hAnsi="Arial" w:cs="Arial"/>
          <w:sz w:val="22"/>
          <w:szCs w:val="22"/>
        </w:rPr>
      </w:pPr>
    </w:p>
    <w:p>
      <w:pPr>
        <w:spacing w:line="276" w:lineRule="auto"/>
        <w:jc w:val="both"/>
        <w:rPr>
          <w:rFonts w:ascii="Arial" w:hAnsi="Arial" w:cs="Arial"/>
          <w:sz w:val="22"/>
          <w:szCs w:val="22"/>
        </w:rPr>
      </w:pPr>
    </w:p>
    <w:p>
      <w:pPr>
        <w:spacing w:line="276" w:lineRule="auto"/>
        <w:jc w:val="both"/>
        <w:rPr>
          <w:rFonts w:ascii="Arial" w:hAnsi="Arial" w:cs="Arial"/>
          <w:sz w:val="22"/>
          <w:szCs w:val="22"/>
        </w:rPr>
      </w:pPr>
    </w:p>
    <w:p>
      <w:pPr>
        <w:spacing w:line="276" w:lineRule="auto"/>
        <w:jc w:val="right"/>
        <w:rPr>
          <w:rFonts w:ascii="Arial" w:hAnsi="Arial" w:cs="Arial"/>
          <w:b/>
          <w:sz w:val="22"/>
          <w:szCs w:val="22"/>
        </w:rPr>
      </w:pPr>
      <w:r>
        <w:rPr>
          <w:rFonts w:ascii="Arial" w:hAnsi="Arial" w:cs="Arial"/>
          <w:sz w:val="22"/>
          <w:szCs w:val="22"/>
        </w:rPr>
        <w:t xml:space="preserve">Primavera do Leste/MT, ___ de _________ 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spacing w:line="276" w:lineRule="auto"/>
        <w:jc w:val="center"/>
        <w:rPr>
          <w:rFonts w:ascii="Arial" w:hAnsi="Arial" w:cs="Arial"/>
          <w:b/>
          <w:sz w:val="22"/>
          <w:szCs w:val="22"/>
        </w:rPr>
      </w:pPr>
    </w:p>
    <w:p>
      <w:pPr>
        <w:spacing w:line="276" w:lineRule="auto"/>
        <w:jc w:val="center"/>
        <w:rPr>
          <w:rFonts w:ascii="Arial" w:hAnsi="Arial" w:cs="Arial"/>
          <w:b/>
          <w:sz w:val="22"/>
          <w:szCs w:val="22"/>
        </w:rPr>
      </w:pPr>
    </w:p>
    <w:p>
      <w:pPr>
        <w:spacing w:line="276" w:lineRule="auto"/>
        <w:jc w:val="center"/>
        <w:rPr>
          <w:rFonts w:ascii="Arial" w:hAnsi="Arial" w:cs="Arial"/>
          <w:b/>
          <w:sz w:val="22"/>
          <w:szCs w:val="22"/>
        </w:rPr>
      </w:pPr>
    </w:p>
    <w:p>
      <w:pPr>
        <w:spacing w:line="276" w:lineRule="auto"/>
        <w:ind w:left="-540"/>
        <w:jc w:val="both"/>
        <w:rPr>
          <w:rFonts w:ascii="Arial" w:hAnsi="Arial" w:cs="Arial"/>
          <w:b/>
          <w:sz w:val="22"/>
          <w:szCs w:val="22"/>
        </w:rPr>
      </w:pPr>
    </w:p>
    <w:p>
      <w:pPr>
        <w:spacing w:line="276" w:lineRule="auto"/>
        <w:ind w:left="-540"/>
        <w:jc w:val="both"/>
        <w:rPr>
          <w:rFonts w:ascii="Arial" w:hAnsi="Arial" w:cs="Arial"/>
          <w:sz w:val="22"/>
          <w:szCs w:val="22"/>
        </w:rPr>
      </w:pPr>
    </w:p>
    <w:p>
      <w:pPr>
        <w:spacing w:line="276" w:lineRule="auto"/>
        <w:ind w:left="-540"/>
        <w:jc w:val="both"/>
        <w:rPr>
          <w:rFonts w:ascii="Arial" w:hAnsi="Arial" w:cs="Arial"/>
          <w:sz w:val="22"/>
          <w:szCs w:val="22"/>
        </w:rPr>
      </w:pPr>
    </w:p>
    <w:p>
      <w:pPr>
        <w:spacing w:line="276" w:lineRule="auto"/>
        <w:ind w:left="-540"/>
        <w:jc w:val="center"/>
        <w:rPr>
          <w:rFonts w:ascii="Arial" w:hAnsi="Arial" w:cs="Arial"/>
          <w:sz w:val="22"/>
          <w:szCs w:val="22"/>
        </w:rPr>
      </w:pPr>
    </w:p>
    <w:p>
      <w:pPr>
        <w:autoSpaceDE w:val="0"/>
        <w:autoSpaceDN w:val="0"/>
        <w:adjustRightInd w:val="0"/>
        <w:spacing w:line="276" w:lineRule="auto"/>
        <w:jc w:val="center"/>
        <w:outlineLvl w:val="0"/>
        <w:rPr>
          <w:rFonts w:ascii="Arial" w:hAnsi="Arial" w:cs="Arial"/>
          <w:b/>
          <w:color w:val="000000"/>
          <w:sz w:val="22"/>
          <w:szCs w:val="22"/>
        </w:rPr>
      </w:pPr>
      <w:r>
        <w:rPr>
          <w:rFonts w:ascii="Arial" w:hAnsi="Arial" w:cs="Arial"/>
          <w:b/>
          <w:color w:val="000000"/>
          <w:sz w:val="22"/>
          <w:szCs w:val="22"/>
        </w:rPr>
        <w:t>__________________________________________</w:t>
      </w:r>
    </w:p>
    <w:p>
      <w:pPr>
        <w:autoSpaceDE w:val="0"/>
        <w:autoSpaceDN w:val="0"/>
        <w:adjustRightInd w:val="0"/>
        <w:jc w:val="center"/>
        <w:outlineLvl w:val="0"/>
        <w:rPr>
          <w:rFonts w:ascii="Arial" w:hAnsi="Arial" w:cs="Arial"/>
          <w:b/>
          <w:color w:val="000000"/>
          <w:sz w:val="22"/>
          <w:szCs w:val="22"/>
        </w:rPr>
      </w:pPr>
      <w:r>
        <w:rPr>
          <w:rFonts w:ascii="Arial" w:hAnsi="Arial" w:cs="Arial"/>
          <w:b/>
          <w:color w:val="000000"/>
          <w:sz w:val="22"/>
          <w:szCs w:val="22"/>
        </w:rPr>
        <w:t>Assinatura do representante legal (sob carimbo)</w:t>
      </w:r>
    </w:p>
    <w:p>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RG:</w:t>
      </w:r>
    </w:p>
    <w:p>
      <w:pPr>
        <w:autoSpaceDE w:val="0"/>
        <w:autoSpaceDN w:val="0"/>
        <w:adjustRightInd w:val="0"/>
        <w:jc w:val="center"/>
        <w:outlineLvl w:val="0"/>
        <w:rPr>
          <w:rFonts w:ascii="Arial" w:hAnsi="Arial" w:cs="Arial"/>
          <w:b/>
          <w:color w:val="000000"/>
          <w:sz w:val="22"/>
          <w:szCs w:val="22"/>
        </w:rPr>
      </w:pPr>
      <w:r>
        <w:rPr>
          <w:rFonts w:ascii="Arial" w:hAnsi="Arial" w:cs="Arial"/>
          <w:b/>
          <w:color w:val="000000"/>
          <w:sz w:val="22"/>
          <w:szCs w:val="22"/>
        </w:rPr>
        <w:t>CPF:</w:t>
      </w:r>
    </w:p>
    <w:p>
      <w:pPr>
        <w:autoSpaceDE w:val="0"/>
        <w:autoSpaceDN w:val="0"/>
        <w:adjustRightInd w:val="0"/>
        <w:jc w:val="center"/>
        <w:outlineLvl w:val="0"/>
        <w:rPr>
          <w:rFonts w:ascii="Arial" w:hAnsi="Arial" w:cs="Arial"/>
          <w:b/>
          <w:color w:val="000000"/>
          <w:sz w:val="22"/>
          <w:szCs w:val="22"/>
        </w:rPr>
      </w:pPr>
      <w:r>
        <w:rPr>
          <w:rFonts w:ascii="Arial" w:hAnsi="Arial" w:cs="Arial"/>
          <w:b/>
          <w:color w:val="000000"/>
          <w:sz w:val="22"/>
          <w:szCs w:val="22"/>
        </w:rPr>
        <w:t>Nome da empresa</w:t>
      </w:r>
    </w:p>
    <w:p>
      <w:pPr>
        <w:autoSpaceDE w:val="0"/>
        <w:autoSpaceDN w:val="0"/>
        <w:adjustRightInd w:val="0"/>
        <w:jc w:val="center"/>
        <w:outlineLvl w:val="0"/>
        <w:rPr>
          <w:rFonts w:ascii="Arial" w:hAnsi="Arial" w:cs="Arial"/>
          <w:b/>
          <w:color w:val="000000"/>
          <w:sz w:val="22"/>
          <w:szCs w:val="22"/>
        </w:rPr>
      </w:pPr>
      <w:r>
        <w:rPr>
          <w:rFonts w:ascii="Arial" w:hAnsi="Arial" w:cs="Arial"/>
          <w:b/>
          <w:color w:val="000000"/>
          <w:sz w:val="22"/>
          <w:szCs w:val="22"/>
        </w:rPr>
        <w:t>CNPJ/MF</w:t>
      </w:r>
    </w:p>
    <w:p>
      <w:pPr>
        <w:autoSpaceDE w:val="0"/>
        <w:autoSpaceDN w:val="0"/>
        <w:adjustRightInd w:val="0"/>
        <w:spacing w:line="276" w:lineRule="auto"/>
        <w:ind w:right="27"/>
        <w:jc w:val="both"/>
        <w:rPr>
          <w:rFonts w:ascii="Arial" w:hAnsi="Arial" w:cs="Arial"/>
          <w:b/>
          <w:bCs/>
          <w:sz w:val="22"/>
          <w:szCs w:val="22"/>
        </w:rPr>
      </w:pPr>
    </w:p>
    <w:p>
      <w:pPr>
        <w:autoSpaceDE w:val="0"/>
        <w:autoSpaceDN w:val="0"/>
        <w:adjustRightInd w:val="0"/>
        <w:spacing w:line="276" w:lineRule="auto"/>
        <w:ind w:right="27"/>
        <w:jc w:val="both"/>
        <w:rPr>
          <w:rFonts w:ascii="Arial" w:hAnsi="Arial" w:cs="Arial"/>
          <w:b/>
          <w:bCs/>
          <w:sz w:val="22"/>
          <w:szCs w:val="22"/>
        </w:rPr>
      </w:pPr>
    </w:p>
    <w:p>
      <w:pPr>
        <w:autoSpaceDE w:val="0"/>
        <w:autoSpaceDN w:val="0"/>
        <w:adjustRightInd w:val="0"/>
        <w:spacing w:line="276" w:lineRule="auto"/>
        <w:ind w:right="27"/>
        <w:jc w:val="both"/>
        <w:rPr>
          <w:rFonts w:ascii="Arial" w:hAnsi="Arial" w:cs="Arial"/>
          <w:b/>
          <w:bCs/>
          <w:sz w:val="22"/>
          <w:szCs w:val="22"/>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spacing w:before="120"/>
        <w:jc w:val="center"/>
        <w:rPr>
          <w:rFonts w:ascii="Arial" w:hAnsi="Arial" w:cs="Arial"/>
          <w:sz w:val="22"/>
          <w:szCs w:val="22"/>
        </w:rPr>
      </w:pPr>
      <w:r>
        <w:rPr>
          <w:rFonts w:ascii="Arial" w:hAnsi="Arial" w:cs="Arial"/>
          <w:b/>
          <w:color w:val="FF0000"/>
          <w:sz w:val="22"/>
          <w:szCs w:val="22"/>
          <w:u w:val="single"/>
        </w:rPr>
        <w:t>(Este documento deverá ser entregue fora dos envelopes)</w:t>
      </w:r>
    </w:p>
    <w:p>
      <w:pPr>
        <w:autoSpaceDE w:val="0"/>
        <w:autoSpaceDN w:val="0"/>
        <w:adjustRightInd w:val="0"/>
        <w:spacing w:line="276" w:lineRule="auto"/>
        <w:ind w:right="27"/>
        <w:jc w:val="both"/>
        <w:rPr>
          <w:b/>
          <w:bCs/>
        </w:rPr>
      </w:pPr>
    </w:p>
    <w:p>
      <w:pPr>
        <w:pStyle w:val="198"/>
      </w:pPr>
      <w:bookmarkStart w:id="50" w:name="_Toc409103972"/>
      <w:bookmarkStart w:id="51" w:name="_Toc430675563"/>
      <w:bookmarkStart w:id="52" w:name="_Toc514666356"/>
      <w:r>
        <w:t>ANEXO VIII – MODELO DE REQUERIMENTO DE BENEFÍCIO DO TRATAMENTO DIFERENCIADO E DECLARAÇÃO PARA MICROEMPRESAS E EMPRESAS DE PEQUENO PORTE</w:t>
      </w:r>
      <w:bookmarkEnd w:id="50"/>
      <w:bookmarkEnd w:id="51"/>
      <w:bookmarkEnd w:id="52"/>
    </w:p>
    <w:p>
      <w:pPr>
        <w:jc w:val="center"/>
        <w:rPr>
          <w:rFonts w:ascii="Arial" w:hAnsi="Arial" w:cs="Arial"/>
          <w:sz w:val="22"/>
          <w:szCs w:val="22"/>
        </w:rPr>
      </w:pPr>
      <w:r>
        <w:rPr>
          <w:rFonts w:ascii="Arial" w:hAnsi="Arial" w:cs="Arial"/>
          <w:iCs/>
          <w:sz w:val="22"/>
          <w:szCs w:val="22"/>
        </w:rPr>
        <w:t>(PAPEL TIMBRADO DA EMPRESA)</w:t>
      </w:r>
    </w:p>
    <w:p>
      <w:pPr>
        <w:jc w:val="center"/>
      </w:pPr>
    </w:p>
    <w:p>
      <w:pPr>
        <w:pStyle w:val="24"/>
        <w:spacing w:after="0"/>
        <w:ind w:right="27"/>
        <w:jc w:val="both"/>
      </w:pPr>
    </w:p>
    <w:p>
      <w:pPr>
        <w:pStyle w:val="24"/>
        <w:spacing w:after="0"/>
        <w:ind w:right="27"/>
        <w:jc w:val="both"/>
        <w:rPr>
          <w:rFonts w:ascii="Arial" w:hAnsi="Arial" w:cs="Arial"/>
          <w:sz w:val="22"/>
          <w:szCs w:val="22"/>
        </w:rPr>
      </w:pPr>
      <w:r>
        <w:rPr>
          <w:rFonts w:ascii="Arial" w:hAnsi="Arial" w:cs="Arial"/>
          <w:sz w:val="22"/>
          <w:szCs w:val="22"/>
        </w:rPr>
        <w:t xml:space="preserve">Eu, ___________________________________, portador(a) da Carteira de Identidade R.G. nº. ______________ SSP/_____ e inscrito no CPF/MF nº ______________, representante da empresa _________________________________, CNPJ/MF nº. ________________, solicitamos na condição de </w:t>
      </w:r>
      <w:r>
        <w:rPr>
          <w:rFonts w:ascii="Arial" w:hAnsi="Arial" w:cs="Arial"/>
          <w:b/>
          <w:bCs/>
          <w:sz w:val="22"/>
          <w:szCs w:val="22"/>
        </w:rPr>
        <w:t>MICROEMPRESA/EMPRESA DE PEQUENO PORTE</w:t>
      </w:r>
      <w:r>
        <w:rPr>
          <w:rFonts w:ascii="Arial" w:hAnsi="Arial" w:cs="Arial"/>
          <w:sz w:val="22"/>
          <w:szCs w:val="22"/>
        </w:rPr>
        <w:t xml:space="preserve">, quando da sua participação na licitação, modalidade </w:t>
      </w:r>
      <w:r>
        <w:rPr>
          <w:rFonts w:ascii="Arial" w:hAnsi="Arial" w:cs="Arial"/>
          <w:b/>
          <w:sz w:val="22"/>
          <w:szCs w:val="22"/>
        </w:rPr>
        <w:t>TOMADA DE PREÇO</w:t>
      </w:r>
      <w:r>
        <w:rPr>
          <w:rFonts w:hint="default" w:ascii="Arial" w:hAnsi="Arial" w:cs="Arial"/>
          <w:b/>
          <w:sz w:val="22"/>
          <w:szCs w:val="22"/>
          <w:lang w:val="pt-BR"/>
        </w:rPr>
        <w:t>S</w:t>
      </w:r>
      <w:r>
        <w:rPr>
          <w:rFonts w:ascii="Arial" w:hAnsi="Arial" w:cs="Arial"/>
          <w:b/>
          <w:bCs/>
          <w:sz w:val="22"/>
          <w:szCs w:val="22"/>
        </w:rPr>
        <w:t xml:space="preserve"> Nº. </w:t>
      </w:r>
      <w:r>
        <w:rPr>
          <w:rFonts w:ascii="Arial" w:hAnsi="Arial" w:cs="Arial"/>
          <w:b/>
          <w:bCs/>
          <w:sz w:val="22"/>
          <w:szCs w:val="22"/>
          <w:lang w:val="pt-BR"/>
        </w:rPr>
        <w:t>005/2023</w:t>
      </w:r>
      <w:r>
        <w:rPr>
          <w:rFonts w:ascii="Arial" w:hAnsi="Arial" w:cs="Arial"/>
          <w:sz w:val="22"/>
          <w:szCs w:val="22"/>
        </w:rPr>
        <w:t xml:space="preserve"> seja dado o tratamento diferenciado concedido a essas empresas com base nos artigos 42 a 49 e seguintes da </w:t>
      </w:r>
      <w:r>
        <w:rPr>
          <w:rFonts w:ascii="Arial" w:hAnsi="Arial" w:cs="Arial"/>
          <w:b/>
          <w:bCs/>
          <w:sz w:val="22"/>
          <w:szCs w:val="22"/>
        </w:rPr>
        <w:t>Lei Complementar n.º 123/2006.</w:t>
      </w:r>
    </w:p>
    <w:p>
      <w:pPr>
        <w:pStyle w:val="24"/>
        <w:spacing w:after="0"/>
        <w:ind w:right="27"/>
        <w:jc w:val="both"/>
        <w:rPr>
          <w:rFonts w:ascii="Arial" w:hAnsi="Arial" w:cs="Arial"/>
          <w:sz w:val="22"/>
          <w:szCs w:val="22"/>
        </w:rPr>
      </w:pPr>
    </w:p>
    <w:p>
      <w:pPr>
        <w:pStyle w:val="24"/>
        <w:spacing w:after="0"/>
        <w:ind w:right="27"/>
        <w:jc w:val="both"/>
        <w:rPr>
          <w:rFonts w:ascii="Arial" w:hAnsi="Arial" w:cs="Arial"/>
          <w:b/>
          <w:bCs/>
          <w:sz w:val="22"/>
          <w:szCs w:val="22"/>
          <w:u w:val="single"/>
        </w:rPr>
      </w:pPr>
      <w:r>
        <w:rPr>
          <w:rFonts w:ascii="Arial" w:hAnsi="Arial" w:cs="Arial"/>
          <w:b/>
          <w:bCs/>
          <w:sz w:val="22"/>
          <w:szCs w:val="22"/>
          <w:u w:val="single"/>
        </w:rPr>
        <w:t>Declaramos ainda, que não existe qualquer impedimento entre os previstos nos incisos do §4º do artigo 3º da Lei Complementar Federal nº 123/2006 que impeçam a participação neste certame.</w:t>
      </w:r>
    </w:p>
    <w:p>
      <w:pPr>
        <w:pStyle w:val="24"/>
        <w:spacing w:after="0"/>
        <w:ind w:right="27"/>
        <w:jc w:val="both"/>
        <w:rPr>
          <w:rFonts w:hint="default" w:ascii="Arial" w:hAnsi="Arial" w:cs="Arial"/>
          <w:b/>
          <w:bCs/>
          <w:i w:val="0"/>
          <w:iCs w:val="0"/>
          <w:sz w:val="22"/>
          <w:szCs w:val="22"/>
          <w:u w:val="single"/>
          <w:lang w:val="pt-BR"/>
        </w:rPr>
      </w:pPr>
      <w:r>
        <w:rPr>
          <w:rFonts w:hint="default" w:ascii="Arial" w:hAnsi="Arial" w:cs="Arial"/>
          <w:b/>
          <w:bCs/>
          <w:i w:val="0"/>
          <w:iCs w:val="0"/>
          <w:sz w:val="22"/>
          <w:szCs w:val="22"/>
          <w:u w:val="single"/>
          <w:lang w:val="pt-BR"/>
        </w:rPr>
        <w:t xml:space="preserve">Declaramos também </w:t>
      </w:r>
      <w:r>
        <w:rPr>
          <w:rFonts w:hint="default" w:ascii="Arial" w:hAnsi="Arial" w:cs="Arial"/>
          <w:b/>
          <w:bCs/>
          <w:i w:val="0"/>
          <w:iCs w:val="0"/>
          <w:sz w:val="22"/>
          <w:szCs w:val="22"/>
          <w:u w:val="single"/>
        </w:rPr>
        <w:t xml:space="preserve">que </w:t>
      </w:r>
      <w:r>
        <w:rPr>
          <w:rFonts w:hint="default" w:ascii="Arial" w:hAnsi="Arial" w:cs="Arial"/>
          <w:b/>
          <w:bCs/>
          <w:i w:val="0"/>
          <w:iCs w:val="0"/>
          <w:sz w:val="22"/>
          <w:szCs w:val="22"/>
          <w:u w:val="single"/>
          <w:lang w:val="pt-BR"/>
        </w:rPr>
        <w:t xml:space="preserve">cumprimos </w:t>
      </w:r>
      <w:r>
        <w:rPr>
          <w:rFonts w:hint="default" w:ascii="Arial" w:hAnsi="Arial" w:cs="Arial"/>
          <w:b/>
          <w:bCs/>
          <w:i w:val="0"/>
          <w:iCs w:val="0"/>
          <w:sz w:val="22"/>
          <w:szCs w:val="22"/>
          <w:u w:val="single"/>
        </w:rPr>
        <w:t xml:space="preserve">os requisitos legais para a qualificação como </w:t>
      </w:r>
      <w:r>
        <w:rPr>
          <w:rFonts w:hint="default" w:ascii="Arial" w:hAnsi="Arial" w:cs="Arial"/>
          <w:b/>
          <w:bCs/>
          <w:i w:val="0"/>
          <w:iCs w:val="0"/>
          <w:sz w:val="22"/>
          <w:szCs w:val="22"/>
          <w:u w:val="single"/>
          <w:lang w:val="pt-BR"/>
        </w:rPr>
        <w:t>M</w:t>
      </w:r>
      <w:r>
        <w:rPr>
          <w:rFonts w:hint="default" w:ascii="Arial" w:hAnsi="Arial" w:cs="Arial"/>
          <w:b/>
          <w:bCs/>
          <w:i w:val="0"/>
          <w:iCs w:val="0"/>
          <w:sz w:val="22"/>
          <w:szCs w:val="22"/>
          <w:u w:val="single"/>
        </w:rPr>
        <w:t>icroempresa</w:t>
      </w:r>
      <w:r>
        <w:rPr>
          <w:rFonts w:hint="default" w:ascii="Arial" w:hAnsi="Arial" w:cs="Arial"/>
          <w:b/>
          <w:bCs/>
          <w:i w:val="0"/>
          <w:iCs w:val="0"/>
          <w:sz w:val="22"/>
          <w:szCs w:val="22"/>
          <w:u w:val="single"/>
          <w:lang w:val="pt-BR"/>
        </w:rPr>
        <w:t xml:space="preserve"> ou</w:t>
      </w:r>
      <w:r>
        <w:rPr>
          <w:rFonts w:hint="default" w:ascii="Arial" w:hAnsi="Arial" w:cs="Arial"/>
          <w:b/>
          <w:bCs/>
          <w:i w:val="0"/>
          <w:iCs w:val="0"/>
          <w:sz w:val="22"/>
          <w:szCs w:val="22"/>
          <w:u w:val="single"/>
        </w:rPr>
        <w:t xml:space="preserve"> </w:t>
      </w:r>
      <w:r>
        <w:rPr>
          <w:rFonts w:hint="default" w:ascii="Arial" w:hAnsi="Arial" w:cs="Arial"/>
          <w:b/>
          <w:bCs/>
          <w:i w:val="0"/>
          <w:iCs w:val="0"/>
          <w:sz w:val="22"/>
          <w:szCs w:val="22"/>
          <w:u w:val="single"/>
          <w:lang w:val="pt-BR"/>
        </w:rPr>
        <w:t>E</w:t>
      </w:r>
      <w:r>
        <w:rPr>
          <w:rFonts w:hint="default" w:ascii="Arial" w:hAnsi="Arial" w:cs="Arial"/>
          <w:b/>
          <w:bCs/>
          <w:i w:val="0"/>
          <w:iCs w:val="0"/>
          <w:sz w:val="22"/>
          <w:szCs w:val="22"/>
          <w:u w:val="single"/>
        </w:rPr>
        <w:t xml:space="preserve">mpresa de </w:t>
      </w:r>
      <w:r>
        <w:rPr>
          <w:rFonts w:hint="default" w:ascii="Arial" w:hAnsi="Arial" w:cs="Arial"/>
          <w:b/>
          <w:bCs/>
          <w:i w:val="0"/>
          <w:iCs w:val="0"/>
          <w:sz w:val="22"/>
          <w:szCs w:val="22"/>
          <w:u w:val="single"/>
          <w:lang w:val="pt-BR"/>
        </w:rPr>
        <w:t>P</w:t>
      </w:r>
      <w:r>
        <w:rPr>
          <w:rFonts w:hint="default" w:ascii="Arial" w:hAnsi="Arial" w:cs="Arial"/>
          <w:b/>
          <w:bCs/>
          <w:i w:val="0"/>
          <w:iCs w:val="0"/>
          <w:sz w:val="22"/>
          <w:szCs w:val="22"/>
          <w:u w:val="single"/>
        </w:rPr>
        <w:t xml:space="preserve">equeno </w:t>
      </w:r>
      <w:r>
        <w:rPr>
          <w:rFonts w:hint="default" w:ascii="Arial" w:hAnsi="Arial" w:cs="Arial"/>
          <w:b/>
          <w:bCs/>
          <w:i w:val="0"/>
          <w:iCs w:val="0"/>
          <w:sz w:val="22"/>
          <w:szCs w:val="22"/>
          <w:u w:val="single"/>
          <w:lang w:val="pt-BR"/>
        </w:rPr>
        <w:t>P</w:t>
      </w:r>
      <w:r>
        <w:rPr>
          <w:rFonts w:hint="default" w:ascii="Arial" w:hAnsi="Arial" w:cs="Arial"/>
          <w:b/>
          <w:bCs/>
          <w:i w:val="0"/>
          <w:iCs w:val="0"/>
          <w:sz w:val="22"/>
          <w:szCs w:val="22"/>
          <w:u w:val="single"/>
        </w:rPr>
        <w:t>orte</w:t>
      </w:r>
      <w:r>
        <w:rPr>
          <w:rFonts w:hint="default" w:ascii="Arial" w:hAnsi="Arial" w:cs="Arial"/>
          <w:b/>
          <w:bCs/>
          <w:i w:val="0"/>
          <w:iCs w:val="0"/>
          <w:sz w:val="22"/>
          <w:szCs w:val="22"/>
          <w:u w:val="single"/>
          <w:lang w:val="pt-BR"/>
        </w:rPr>
        <w:t>.</w:t>
      </w:r>
    </w:p>
    <w:p>
      <w:pPr>
        <w:pStyle w:val="24"/>
        <w:spacing w:after="0"/>
        <w:ind w:right="27"/>
        <w:jc w:val="both"/>
        <w:rPr>
          <w:rFonts w:ascii="Arial" w:hAnsi="Arial" w:cs="Arial"/>
          <w:b/>
          <w:bCs/>
          <w:sz w:val="22"/>
          <w:szCs w:val="22"/>
          <w:u w:val="single"/>
        </w:rPr>
      </w:pPr>
    </w:p>
    <w:p>
      <w:pPr>
        <w:pStyle w:val="24"/>
        <w:spacing w:after="0"/>
        <w:ind w:right="27"/>
        <w:rPr>
          <w:rFonts w:ascii="Arial" w:hAnsi="Arial" w:cs="Arial"/>
          <w:b/>
          <w:bCs/>
          <w:sz w:val="22"/>
          <w:szCs w:val="22"/>
          <w:u w:val="single"/>
        </w:rPr>
      </w:pPr>
      <w:r>
        <w:rPr>
          <w:rFonts w:ascii="Arial" w:hAnsi="Arial" w:cs="Arial"/>
          <w:b/>
          <w:bCs/>
          <w:sz w:val="22"/>
          <w:szCs w:val="22"/>
          <w:u w:val="single"/>
        </w:rPr>
        <w:t>Declaramos também que:</w:t>
      </w:r>
    </w:p>
    <w:p>
      <w:pPr>
        <w:pStyle w:val="24"/>
        <w:spacing w:after="0"/>
        <w:ind w:right="27"/>
        <w:rPr>
          <w:rFonts w:ascii="Arial" w:hAnsi="Arial" w:cs="Arial"/>
          <w:b/>
          <w:bCs/>
          <w:sz w:val="22"/>
          <w:szCs w:val="22"/>
          <w:u w:val="single"/>
        </w:rPr>
      </w:pPr>
      <w:r>
        <w:rPr>
          <w:rFonts w:ascii="Arial" w:hAnsi="Arial" w:cs="Arial"/>
          <w:b/>
          <w:bCs/>
          <w:sz w:val="22"/>
          <w:szCs w:val="22"/>
          <w:u w:val="single"/>
        </w:rPr>
        <w:t>(   ) somos optante do simples nacional.</w:t>
      </w:r>
    </w:p>
    <w:p>
      <w:pPr>
        <w:pStyle w:val="24"/>
        <w:spacing w:after="0"/>
        <w:ind w:right="27"/>
        <w:jc w:val="both"/>
        <w:rPr>
          <w:rFonts w:ascii="Arial" w:hAnsi="Arial" w:cs="Arial"/>
          <w:b/>
          <w:bCs/>
          <w:sz w:val="22"/>
          <w:szCs w:val="22"/>
          <w:u w:val="single"/>
        </w:rPr>
      </w:pPr>
      <w:r>
        <w:rPr>
          <w:rFonts w:ascii="Arial" w:hAnsi="Arial" w:cs="Arial"/>
          <w:b/>
          <w:bCs/>
          <w:sz w:val="22"/>
          <w:szCs w:val="22"/>
          <w:u w:val="single"/>
        </w:rPr>
        <w:t>(   ) NÃO somos optante do simples nacional.</w:t>
      </w:r>
    </w:p>
    <w:p>
      <w:pPr>
        <w:pStyle w:val="24"/>
        <w:spacing w:after="0"/>
        <w:ind w:right="27"/>
        <w:jc w:val="both"/>
        <w:rPr>
          <w:rFonts w:ascii="Arial" w:hAnsi="Arial" w:cs="Arial"/>
          <w:b/>
          <w:bCs/>
          <w:color w:val="FF0000"/>
          <w:sz w:val="22"/>
          <w:szCs w:val="22"/>
          <w:u w:val="single"/>
        </w:rPr>
      </w:pPr>
    </w:p>
    <w:p>
      <w:pPr>
        <w:pStyle w:val="24"/>
        <w:spacing w:after="0"/>
        <w:ind w:right="27"/>
        <w:jc w:val="both"/>
        <w:rPr>
          <w:rFonts w:ascii="Arial" w:hAnsi="Arial" w:cs="Arial"/>
          <w:b/>
          <w:bCs/>
          <w:sz w:val="22"/>
          <w:szCs w:val="22"/>
          <w:u w:val="single"/>
        </w:rPr>
      </w:pPr>
      <w:r>
        <w:rPr>
          <w:rFonts w:ascii="Arial" w:hAnsi="Arial" w:cs="Arial"/>
          <w:sz w:val="22"/>
          <w:szCs w:val="22"/>
        </w:rPr>
        <w:t xml:space="preserve">Como prova da referida condição, apresentamos em documento anexo, </w:t>
      </w:r>
      <w:r>
        <w:rPr>
          <w:rFonts w:ascii="Arial" w:hAnsi="Arial" w:cs="Arial"/>
          <w:b/>
          <w:bCs/>
          <w:sz w:val="22"/>
          <w:szCs w:val="22"/>
          <w:u w:val="single"/>
        </w:rPr>
        <w:t xml:space="preserve">CERTIDÃO emitida pela Junta Comercial para comprovação da condição de Microempresa ou Empresa de Pequeno Porte na forma do art. 8º da Instrução Normativa nº. 103/2007 do Departamento Nacional de Registro do Comércio - DNRC. </w:t>
      </w:r>
    </w:p>
    <w:p>
      <w:pPr>
        <w:pStyle w:val="24"/>
        <w:spacing w:after="0"/>
        <w:ind w:right="27"/>
        <w:jc w:val="both"/>
        <w:rPr>
          <w:rFonts w:ascii="Arial" w:hAnsi="Arial" w:cs="Arial"/>
          <w:b/>
          <w:bCs/>
          <w:sz w:val="22"/>
          <w:szCs w:val="22"/>
          <w:u w:val="single"/>
        </w:rPr>
      </w:pPr>
    </w:p>
    <w:p>
      <w:pPr>
        <w:pStyle w:val="24"/>
        <w:spacing w:after="0"/>
        <w:ind w:right="27"/>
        <w:jc w:val="both"/>
        <w:rPr>
          <w:rFonts w:ascii="Arial" w:hAnsi="Arial" w:cs="Arial"/>
          <w:b/>
          <w:bCs/>
          <w:sz w:val="22"/>
          <w:szCs w:val="22"/>
          <w:u w:val="single"/>
        </w:rPr>
      </w:pPr>
      <w:r>
        <w:rPr>
          <w:rFonts w:ascii="Arial" w:hAnsi="Arial" w:cs="Arial"/>
          <w:b/>
          <w:bCs/>
          <w:sz w:val="22"/>
          <w:szCs w:val="22"/>
          <w:u w:val="single"/>
        </w:rPr>
        <w:t xml:space="preserve">Obs.: </w:t>
      </w:r>
      <w:r>
        <w:rPr>
          <w:rFonts w:ascii="Arial" w:hAnsi="Arial" w:cs="Arial"/>
          <w:b w:val="0"/>
          <w:bCs w:val="0"/>
          <w:sz w:val="22"/>
          <w:szCs w:val="22"/>
          <w:u w:val="none"/>
        </w:rPr>
        <w:t xml:space="preserve">No caso de microempresa e empresa de pequeno porte que, nos termos da LC 123/2006, </w:t>
      </w:r>
      <w:r>
        <w:rPr>
          <w:rFonts w:ascii="Arial" w:hAnsi="Arial" w:cs="Arial"/>
          <w:b/>
          <w:bCs/>
          <w:sz w:val="22"/>
          <w:szCs w:val="22"/>
          <w:u w:val="single"/>
        </w:rPr>
        <w:t>possuir alguma restrição</w:t>
      </w:r>
      <w:r>
        <w:rPr>
          <w:rFonts w:ascii="Arial" w:hAnsi="Arial" w:cs="Arial"/>
          <w:b w:val="0"/>
          <w:bCs w:val="0"/>
          <w:sz w:val="22"/>
          <w:szCs w:val="22"/>
          <w:u w:val="none"/>
        </w:rPr>
        <w:t xml:space="preserve"> na documentação referente à regularidade fiscal e/ou trabalhista, esta deverá ser mencionada, como ressalva, nesta declaração, além de juntar o documento com restrição no envelope de habilitação.</w:t>
      </w:r>
    </w:p>
    <w:p>
      <w:pPr>
        <w:pStyle w:val="24"/>
        <w:spacing w:after="0"/>
        <w:ind w:right="27"/>
        <w:jc w:val="both"/>
        <w:rPr>
          <w:rFonts w:ascii="Arial" w:hAnsi="Arial" w:cs="Arial"/>
          <w:b/>
          <w:bCs/>
          <w:sz w:val="22"/>
          <w:szCs w:val="22"/>
          <w:u w:val="single"/>
        </w:rPr>
      </w:pPr>
    </w:p>
    <w:p>
      <w:pPr>
        <w:spacing w:line="276" w:lineRule="auto"/>
        <w:jc w:val="right"/>
        <w:rPr>
          <w:rFonts w:ascii="Arial" w:hAnsi="Arial" w:cs="Arial"/>
          <w:b/>
          <w:sz w:val="22"/>
          <w:szCs w:val="22"/>
        </w:rPr>
      </w:pPr>
      <w:r>
        <w:rPr>
          <w:rFonts w:ascii="Arial" w:hAnsi="Arial" w:cs="Arial"/>
          <w:sz w:val="22"/>
          <w:szCs w:val="22"/>
        </w:rPr>
        <w:t xml:space="preserve">Primavera do Leste/MT, ___ de _________ 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autoSpaceDE w:val="0"/>
        <w:autoSpaceDN w:val="0"/>
        <w:adjustRightInd w:val="0"/>
        <w:ind w:right="27"/>
        <w:jc w:val="center"/>
        <w:outlineLvl w:val="0"/>
        <w:rPr>
          <w:rFonts w:ascii="Arial" w:hAnsi="Arial" w:cs="Arial"/>
          <w:b/>
          <w:bCs/>
          <w:sz w:val="22"/>
          <w:szCs w:val="22"/>
        </w:rPr>
      </w:pPr>
    </w:p>
    <w:p>
      <w:pPr>
        <w:autoSpaceDE w:val="0"/>
        <w:autoSpaceDN w:val="0"/>
        <w:adjustRightInd w:val="0"/>
        <w:ind w:right="27"/>
        <w:jc w:val="center"/>
        <w:outlineLvl w:val="0"/>
        <w:rPr>
          <w:rFonts w:ascii="Arial" w:hAnsi="Arial" w:cs="Arial"/>
          <w:b/>
          <w:sz w:val="22"/>
          <w:szCs w:val="22"/>
        </w:rPr>
      </w:pPr>
    </w:p>
    <w:p>
      <w:pPr>
        <w:autoSpaceDE w:val="0"/>
        <w:autoSpaceDN w:val="0"/>
        <w:adjustRightInd w:val="0"/>
        <w:ind w:right="27"/>
        <w:jc w:val="center"/>
        <w:outlineLvl w:val="0"/>
        <w:rPr>
          <w:rFonts w:ascii="Arial" w:hAnsi="Arial" w:cs="Arial"/>
          <w:b/>
          <w:sz w:val="22"/>
          <w:szCs w:val="22"/>
        </w:rPr>
      </w:pPr>
      <w:r>
        <w:rPr>
          <w:rFonts w:ascii="Arial" w:hAnsi="Arial" w:cs="Arial"/>
          <w:b/>
          <w:sz w:val="22"/>
          <w:szCs w:val="22"/>
        </w:rPr>
        <w:t>Assinatura do representante legal sob carimbo</w:t>
      </w:r>
    </w:p>
    <w:p>
      <w:pPr>
        <w:autoSpaceDE w:val="0"/>
        <w:autoSpaceDN w:val="0"/>
        <w:adjustRightInd w:val="0"/>
        <w:ind w:right="27"/>
        <w:jc w:val="center"/>
        <w:rPr>
          <w:rFonts w:ascii="Arial" w:hAnsi="Arial" w:cs="Arial"/>
          <w:b/>
          <w:sz w:val="22"/>
          <w:szCs w:val="22"/>
        </w:rPr>
      </w:pPr>
      <w:r>
        <w:rPr>
          <w:rFonts w:ascii="Arial" w:hAnsi="Arial" w:cs="Arial"/>
          <w:b/>
          <w:sz w:val="22"/>
          <w:szCs w:val="22"/>
        </w:rPr>
        <w:t>RG:</w:t>
      </w:r>
    </w:p>
    <w:p>
      <w:pPr>
        <w:autoSpaceDE w:val="0"/>
        <w:autoSpaceDN w:val="0"/>
        <w:adjustRightInd w:val="0"/>
        <w:ind w:right="27"/>
        <w:jc w:val="center"/>
        <w:outlineLvl w:val="0"/>
        <w:rPr>
          <w:rFonts w:ascii="Arial" w:hAnsi="Arial" w:cs="Arial"/>
          <w:b/>
          <w:sz w:val="22"/>
          <w:szCs w:val="22"/>
        </w:rPr>
      </w:pPr>
      <w:r>
        <w:rPr>
          <w:rFonts w:ascii="Arial" w:hAnsi="Arial" w:cs="Arial"/>
          <w:b/>
          <w:sz w:val="22"/>
          <w:szCs w:val="22"/>
        </w:rPr>
        <w:t>CPF:</w:t>
      </w:r>
    </w:p>
    <w:p>
      <w:pPr>
        <w:autoSpaceDE w:val="0"/>
        <w:autoSpaceDN w:val="0"/>
        <w:adjustRightInd w:val="0"/>
        <w:ind w:right="27"/>
        <w:jc w:val="center"/>
        <w:outlineLvl w:val="0"/>
        <w:rPr>
          <w:rFonts w:ascii="Arial" w:hAnsi="Arial" w:cs="Arial"/>
          <w:b/>
          <w:sz w:val="22"/>
          <w:szCs w:val="22"/>
        </w:rPr>
      </w:pPr>
      <w:r>
        <w:rPr>
          <w:rFonts w:ascii="Arial" w:hAnsi="Arial" w:cs="Arial"/>
          <w:b/>
          <w:sz w:val="22"/>
          <w:szCs w:val="22"/>
        </w:rPr>
        <w:t>CNPJ/MF da empresa</w:t>
      </w:r>
    </w:p>
    <w:p>
      <w:pPr>
        <w:autoSpaceDE w:val="0"/>
        <w:autoSpaceDN w:val="0"/>
        <w:adjustRightInd w:val="0"/>
        <w:spacing w:line="276" w:lineRule="auto"/>
        <w:ind w:right="27"/>
        <w:jc w:val="both"/>
        <w:rPr>
          <w:rFonts w:ascii="Arial" w:hAnsi="Arial" w:cs="Arial"/>
          <w:b/>
          <w:bCs/>
          <w:sz w:val="22"/>
          <w:szCs w:val="22"/>
        </w:rPr>
      </w:pPr>
    </w:p>
    <w:p>
      <w:pPr>
        <w:autoSpaceDE w:val="0"/>
        <w:autoSpaceDN w:val="0"/>
        <w:adjustRightInd w:val="0"/>
        <w:spacing w:line="276" w:lineRule="auto"/>
        <w:ind w:right="27"/>
        <w:jc w:val="both"/>
        <w:rPr>
          <w:b/>
          <w:bCs/>
        </w:rPr>
      </w:pPr>
    </w:p>
    <w:p>
      <w:pPr>
        <w:spacing w:after="120"/>
        <w:jc w:val="center"/>
        <w:rPr>
          <w:rFonts w:ascii="Arial" w:hAnsi="Arial" w:cs="Arial"/>
          <w:b/>
          <w:color w:val="FF0000"/>
          <w:sz w:val="22"/>
          <w:szCs w:val="22"/>
          <w:u w:val="single"/>
        </w:rPr>
      </w:pPr>
      <w:r>
        <w:rPr>
          <w:rFonts w:ascii="Arial" w:hAnsi="Arial" w:cs="Arial"/>
          <w:b/>
          <w:color w:val="FF0000"/>
          <w:sz w:val="22"/>
          <w:szCs w:val="22"/>
          <w:u w:val="single"/>
        </w:rPr>
        <w:t>(Este documento deverá ser entregue fora dos envelopes)</w:t>
      </w:r>
    </w:p>
    <w:p>
      <w:pPr>
        <w:spacing w:after="120"/>
        <w:jc w:val="center"/>
        <w:rPr>
          <w:rFonts w:ascii="Arial" w:hAnsi="Arial" w:cs="Arial"/>
          <w:b/>
          <w:color w:val="FF0000"/>
          <w:sz w:val="22"/>
          <w:szCs w:val="22"/>
          <w:u w:val="single"/>
        </w:rPr>
      </w:pPr>
    </w:p>
    <w:p>
      <w:pPr>
        <w:pStyle w:val="198"/>
      </w:pPr>
      <w:bookmarkStart w:id="53" w:name="_Toc513732649"/>
      <w:bookmarkStart w:id="54" w:name="_Toc514666357"/>
      <w:r>
        <w:t>ANEXO IX - MODELO ATESTADO DE VISITA TÉCNICA</w:t>
      </w:r>
      <w:bookmarkEnd w:id="53"/>
      <w:bookmarkEnd w:id="54"/>
    </w:p>
    <w:p>
      <w:pPr>
        <w:autoSpaceDE w:val="0"/>
        <w:autoSpaceDN w:val="0"/>
        <w:adjustRightInd w:val="0"/>
        <w:ind w:right="27"/>
        <w:jc w:val="center"/>
        <w:outlineLvl w:val="0"/>
        <w:rPr>
          <w:b/>
        </w:rPr>
      </w:pPr>
    </w:p>
    <w:p>
      <w:pPr>
        <w:autoSpaceDE w:val="0"/>
        <w:autoSpaceDN w:val="0"/>
        <w:adjustRightInd w:val="0"/>
        <w:ind w:right="27"/>
        <w:jc w:val="center"/>
        <w:outlineLvl w:val="0"/>
        <w:rPr>
          <w:rFonts w:ascii="Arial" w:hAnsi="Arial" w:cs="Arial"/>
          <w:b/>
        </w:rPr>
      </w:pPr>
      <w:r>
        <w:rPr>
          <w:rFonts w:ascii="Arial" w:hAnsi="Arial" w:cs="Arial"/>
          <w:b/>
        </w:rPr>
        <w:t>ATESTADO DE VISITA TÉCNICA</w:t>
      </w:r>
    </w:p>
    <w:p>
      <w:pPr>
        <w:autoSpaceDE w:val="0"/>
        <w:autoSpaceDN w:val="0"/>
        <w:adjustRightInd w:val="0"/>
        <w:ind w:right="27"/>
        <w:jc w:val="center"/>
        <w:outlineLvl w:val="0"/>
        <w:rPr>
          <w:rFonts w:ascii="Arial" w:hAnsi="Arial" w:cs="Arial"/>
          <w:b/>
        </w:rPr>
      </w:pPr>
    </w:p>
    <w:p>
      <w:pPr>
        <w:autoSpaceDE w:val="0"/>
        <w:autoSpaceDN w:val="0"/>
        <w:adjustRightInd w:val="0"/>
        <w:ind w:right="27"/>
        <w:jc w:val="center"/>
        <w:outlineLvl w:val="0"/>
        <w:rPr>
          <w:b/>
        </w:rPr>
      </w:pPr>
    </w:p>
    <w:p>
      <w:pPr>
        <w:autoSpaceDE w:val="0"/>
        <w:autoSpaceDN w:val="0"/>
        <w:adjustRightInd w:val="0"/>
        <w:ind w:right="27"/>
        <w:jc w:val="both"/>
        <w:outlineLvl w:val="0"/>
        <w:rPr>
          <w:rFonts w:hint="default" w:ascii="Arial" w:hAnsi="Arial" w:cs="Arial"/>
          <w:b/>
          <w:sz w:val="20"/>
          <w:szCs w:val="20"/>
          <w:lang w:val="pt-BR"/>
        </w:rPr>
      </w:pPr>
      <w:r>
        <w:rPr>
          <w:rFonts w:ascii="Arial" w:hAnsi="Arial" w:cs="Arial"/>
          <w:b/>
          <w:sz w:val="20"/>
          <w:szCs w:val="20"/>
        </w:rPr>
        <w:t>TOMADA DE PREÇO</w:t>
      </w:r>
      <w:r>
        <w:rPr>
          <w:rFonts w:hint="default" w:ascii="Arial" w:hAnsi="Arial" w:cs="Arial"/>
          <w:b/>
          <w:sz w:val="20"/>
          <w:szCs w:val="20"/>
          <w:lang w:val="pt-BR"/>
        </w:rPr>
        <w:t>S</w:t>
      </w:r>
      <w:r>
        <w:rPr>
          <w:rFonts w:ascii="Arial" w:hAnsi="Arial" w:cs="Arial"/>
          <w:b/>
          <w:sz w:val="20"/>
          <w:szCs w:val="20"/>
        </w:rPr>
        <w:t xml:space="preserve"> Nº </w:t>
      </w:r>
      <w:r>
        <w:rPr>
          <w:rFonts w:ascii="Arial" w:hAnsi="Arial" w:cs="Arial"/>
          <w:b/>
          <w:sz w:val="20"/>
          <w:szCs w:val="20"/>
          <w:lang w:val="pt-BR"/>
        </w:rPr>
        <w:t>005/2023</w:t>
      </w:r>
    </w:p>
    <w:p>
      <w:pPr>
        <w:autoSpaceDE w:val="0"/>
        <w:autoSpaceDN w:val="0"/>
        <w:adjustRightInd w:val="0"/>
        <w:ind w:right="27"/>
        <w:jc w:val="both"/>
        <w:outlineLvl w:val="0"/>
        <w:rPr>
          <w:rFonts w:ascii="Arial" w:hAnsi="Arial" w:cs="Arial"/>
          <w:b/>
          <w:sz w:val="20"/>
          <w:szCs w:val="20"/>
        </w:rPr>
      </w:pPr>
      <w:r>
        <w:rPr>
          <w:rFonts w:ascii="Arial" w:hAnsi="Arial" w:cs="Arial"/>
          <w:b/>
          <w:sz w:val="20"/>
          <w:szCs w:val="20"/>
        </w:rPr>
        <w:t>PREFEITURA MUNICIPAL DE PRIMAVERA DO LESTE</w:t>
      </w:r>
    </w:p>
    <w:p>
      <w:pPr>
        <w:autoSpaceDE w:val="0"/>
        <w:autoSpaceDN w:val="0"/>
        <w:adjustRightInd w:val="0"/>
        <w:ind w:right="27"/>
        <w:jc w:val="both"/>
        <w:outlineLvl w:val="0"/>
        <w:rPr>
          <w:rFonts w:hint="default" w:ascii="Arial" w:hAnsi="Arial" w:cs="Arial"/>
          <w:b/>
          <w:sz w:val="20"/>
          <w:szCs w:val="20"/>
          <w:lang w:val="pt-BR"/>
        </w:rPr>
      </w:pPr>
      <w:r>
        <w:rPr>
          <w:rFonts w:ascii="Arial" w:hAnsi="Arial" w:cs="Arial"/>
          <w:b/>
          <w:bCs/>
          <w:sz w:val="20"/>
          <w:szCs w:val="20"/>
        </w:rPr>
        <w:t xml:space="preserve">SECRETARIA MUNICIPAL DE </w:t>
      </w:r>
      <w:r>
        <w:rPr>
          <w:rFonts w:hint="default" w:ascii="Arial" w:hAnsi="Arial" w:cs="Arial"/>
          <w:b/>
          <w:bCs/>
          <w:sz w:val="20"/>
          <w:szCs w:val="20"/>
          <w:lang w:val="pt-BR"/>
        </w:rPr>
        <w:t>INFRAESTRUTURA.</w:t>
      </w:r>
    </w:p>
    <w:p>
      <w:pPr>
        <w:autoSpaceDE w:val="0"/>
        <w:autoSpaceDN w:val="0"/>
        <w:adjustRightInd w:val="0"/>
        <w:ind w:right="27"/>
        <w:jc w:val="both"/>
        <w:outlineLvl w:val="0"/>
        <w:rPr>
          <w:b/>
        </w:rPr>
      </w:pPr>
    </w:p>
    <w:p>
      <w:pPr>
        <w:autoSpaceDE w:val="0"/>
        <w:autoSpaceDN w:val="0"/>
        <w:adjustRightInd w:val="0"/>
        <w:ind w:right="27"/>
        <w:jc w:val="both"/>
        <w:outlineLvl w:val="0"/>
        <w:rPr>
          <w:b/>
        </w:rPr>
      </w:pPr>
    </w:p>
    <w:p>
      <w:pPr>
        <w:autoSpaceDE w:val="0"/>
        <w:autoSpaceDN w:val="0"/>
        <w:adjustRightInd w:val="0"/>
        <w:ind w:right="27"/>
        <w:jc w:val="both"/>
        <w:rPr>
          <w:b/>
        </w:rPr>
      </w:pPr>
    </w:p>
    <w:p>
      <w:pPr>
        <w:autoSpaceDE w:val="0"/>
        <w:autoSpaceDN w:val="0"/>
        <w:adjustRightInd w:val="0"/>
        <w:jc w:val="both"/>
        <w:rPr>
          <w:rFonts w:ascii="Arial" w:hAnsi="Arial" w:cs="Arial"/>
          <w:sz w:val="22"/>
          <w:szCs w:val="22"/>
        </w:rPr>
      </w:pPr>
      <w:r>
        <w:rPr>
          <w:rFonts w:ascii="Arial" w:hAnsi="Arial" w:cs="Arial"/>
          <w:sz w:val="22"/>
          <w:szCs w:val="22"/>
        </w:rPr>
        <w:t xml:space="preserve">DECLARO, para fins de participação na </w:t>
      </w:r>
      <w:r>
        <w:rPr>
          <w:rFonts w:ascii="Arial" w:hAnsi="Arial" w:cs="Arial"/>
          <w:bCs/>
          <w:sz w:val="22"/>
          <w:szCs w:val="22"/>
        </w:rPr>
        <w:t>TOMADA DE PREÇO</w:t>
      </w:r>
      <w:r>
        <w:rPr>
          <w:rFonts w:hint="default" w:ascii="Arial" w:hAnsi="Arial" w:cs="Arial"/>
          <w:bCs/>
          <w:sz w:val="22"/>
          <w:szCs w:val="22"/>
          <w:lang w:val="pt-BR"/>
        </w:rPr>
        <w:t>S</w:t>
      </w:r>
      <w:r>
        <w:rPr>
          <w:rFonts w:ascii="Arial" w:hAnsi="Arial" w:cs="Arial"/>
          <w:bCs/>
          <w:sz w:val="22"/>
          <w:szCs w:val="22"/>
        </w:rPr>
        <w:t xml:space="preserve"> </w:t>
      </w:r>
      <w:r>
        <w:rPr>
          <w:rFonts w:ascii="Arial" w:hAnsi="Arial" w:cs="Arial"/>
          <w:sz w:val="22"/>
          <w:szCs w:val="22"/>
        </w:rPr>
        <w:t xml:space="preserve">Nº </w:t>
      </w:r>
      <w:r>
        <w:rPr>
          <w:rFonts w:ascii="Arial" w:hAnsi="Arial" w:cs="Arial"/>
          <w:sz w:val="22"/>
          <w:szCs w:val="22"/>
          <w:lang w:val="pt-BR"/>
        </w:rPr>
        <w:t>005/2023</w:t>
      </w:r>
      <w:r>
        <w:rPr>
          <w:rFonts w:ascii="Arial" w:hAnsi="Arial" w:cs="Arial"/>
          <w:sz w:val="22"/>
          <w:szCs w:val="22"/>
        </w:rPr>
        <w:t>, que a Empresa _________________, inscrita no CNPJ/MF nº ____________________, sediada na _______________________, neste ato, representada pelo(a) Sr(a) ____________________, portador(a) do(a) CPF/MF no._____________ e do RG/CREA nº. ______________,vistoriou as áreas aonde se</w:t>
      </w:r>
      <w:r>
        <w:rPr>
          <w:rFonts w:hint="default" w:ascii="Arial" w:hAnsi="Arial" w:cs="Arial"/>
          <w:sz w:val="22"/>
          <w:szCs w:val="22"/>
          <w:lang w:val="pt-BR"/>
        </w:rPr>
        <w:t>rá executada</w:t>
      </w:r>
      <w:r>
        <w:rPr>
          <w:rFonts w:hint="default" w:ascii="Arial" w:hAnsi="Arial" w:cs="Arial"/>
          <w:sz w:val="22"/>
          <w:szCs w:val="22"/>
        </w:rPr>
        <w:t xml:space="preserve"> </w:t>
      </w:r>
      <w:r>
        <w:rPr>
          <w:rFonts w:hint="default" w:ascii="Arial" w:hAnsi="Arial" w:cs="Arial"/>
          <w:sz w:val="22"/>
          <w:szCs w:val="22"/>
          <w:lang w:val="pt-BR"/>
        </w:rPr>
        <w:t>o projeto visando a CONTRATAÇÃO DE PESSOA JURÍDICA ESPECIALIZADA NA ELABORAÇÃO DE PROJETO BÁSICO E EXECUTIVO DE UMA REDE DE DRENAGEM URBANA PARA O TRANSPORTE DE ÁGUAS PLUVIAIS DE UMA ÁREA LOCALIZADA NO CENTRO DO MUNICÍPIO (MAPA 01) PARA O DESTINO FINAL LOCALIZADO NA ÁREA DE MATA APÓS, APROXIMADAMENTE 550 METROS, O PRÉDIO QUE SE ENCONTRA INSTALADO O JORNAL O DIÁRIO (AS MARGENS DA RODOVIA FEDERAL BR 070). O TRECHO DESDE DO INICIO ATÉ O PONTO FINAL POSSUI  APROXIMADAMENTE DE 2.550 METROS DE EXTENSÃO</w:t>
      </w:r>
      <w:r>
        <w:rPr>
          <w:rFonts w:ascii="Arial" w:hAnsi="Arial" w:cs="Arial"/>
          <w:sz w:val="22"/>
          <w:szCs w:val="22"/>
        </w:rPr>
        <w:t>, de maneira que tomou pleno conhecimento (condições físicas) e das dificuldades que os serviços possam apresentar no futuro; constando as peculiaridades inerentes à natureza dos trabalhos e o vulto dos serviços técnicos especializados necessárias ao perfeito desenvolvimento da execução d</w:t>
      </w:r>
      <w:r>
        <w:rPr>
          <w:rFonts w:hint="default" w:ascii="Arial" w:hAnsi="Arial" w:cs="Arial"/>
          <w:sz w:val="22"/>
          <w:szCs w:val="22"/>
          <w:lang w:val="pt-BR"/>
        </w:rPr>
        <w:t>o projeto</w:t>
      </w:r>
      <w:r>
        <w:rPr>
          <w:rFonts w:ascii="Arial" w:hAnsi="Arial" w:cs="Arial"/>
          <w:sz w:val="22"/>
          <w:szCs w:val="22"/>
        </w:rPr>
        <w:t>, não cabendo, posteriormente, qualquer alegação de desconhecimento ou solicitação de acréscimo no preço por falta de informação.</w:t>
      </w:r>
    </w:p>
    <w:p>
      <w:pPr>
        <w:autoSpaceDE w:val="0"/>
        <w:autoSpaceDN w:val="0"/>
        <w:adjustRightInd w:val="0"/>
        <w:jc w:val="both"/>
        <w:rPr>
          <w:rFonts w:ascii="Arial" w:hAnsi="Arial" w:cs="Arial"/>
          <w:b/>
          <w:sz w:val="22"/>
          <w:szCs w:val="22"/>
        </w:rPr>
      </w:pPr>
      <w:r>
        <w:rPr>
          <w:rFonts w:ascii="Arial" w:hAnsi="Arial" w:cs="Arial"/>
          <w:sz w:val="22"/>
          <w:szCs w:val="22"/>
        </w:rPr>
        <w:t>A Administração Geral e a responsabilidade técnica dos serviços contratados serão de resposabilidade do Engº _________________________________.</w:t>
      </w:r>
    </w:p>
    <w:p>
      <w:pPr>
        <w:autoSpaceDE w:val="0"/>
        <w:autoSpaceDN w:val="0"/>
        <w:adjustRightInd w:val="0"/>
        <w:ind w:left="420" w:right="357"/>
        <w:jc w:val="both"/>
        <w:rPr>
          <w:rFonts w:ascii="Arial" w:hAnsi="Arial" w:cs="Arial"/>
          <w:sz w:val="22"/>
          <w:szCs w:val="22"/>
        </w:rPr>
      </w:pPr>
      <w:r>
        <w:rPr>
          <w:rFonts w:ascii="Arial" w:hAnsi="Arial" w:cs="Arial"/>
          <w:sz w:val="22"/>
          <w:szCs w:val="22"/>
        </w:rPr>
        <w:t xml:space="preserve">                         </w:t>
      </w:r>
    </w:p>
    <w:p>
      <w:pPr>
        <w:autoSpaceDE w:val="0"/>
        <w:autoSpaceDN w:val="0"/>
        <w:adjustRightInd w:val="0"/>
        <w:ind w:left="420"/>
        <w:jc w:val="right"/>
        <w:rPr>
          <w:rFonts w:ascii="Arial" w:hAnsi="Arial" w:cs="Arial"/>
          <w:b/>
          <w:sz w:val="22"/>
          <w:szCs w:val="22"/>
        </w:rPr>
      </w:pPr>
      <w:r>
        <w:rPr>
          <w:rFonts w:ascii="Arial" w:hAnsi="Arial" w:cs="Arial"/>
          <w:sz w:val="22"/>
          <w:szCs w:val="22"/>
        </w:rPr>
        <w:t xml:space="preserve">   Primavera do Leste/MT, ___ de ___________ 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autoSpaceDE w:val="0"/>
        <w:autoSpaceDN w:val="0"/>
        <w:adjustRightInd w:val="0"/>
        <w:ind w:right="357"/>
        <w:rPr>
          <w:rFonts w:ascii="Arial" w:hAnsi="Arial" w:cs="Arial"/>
          <w:b/>
          <w:sz w:val="22"/>
          <w:szCs w:val="22"/>
        </w:rPr>
      </w:pPr>
    </w:p>
    <w:p>
      <w:pPr>
        <w:jc w:val="center"/>
        <w:rPr>
          <w:rFonts w:ascii="Arial" w:hAnsi="Arial" w:cs="Arial"/>
          <w:sz w:val="22"/>
          <w:szCs w:val="22"/>
        </w:rPr>
      </w:pPr>
    </w:p>
    <w:p>
      <w:pPr>
        <w:jc w:val="center"/>
        <w:rPr>
          <w:rFonts w:ascii="Arial" w:hAnsi="Arial" w:cs="Arial"/>
          <w:sz w:val="22"/>
          <w:szCs w:val="22"/>
        </w:rPr>
      </w:pPr>
      <w:r>
        <w:rPr>
          <w:rFonts w:ascii="Arial" w:hAnsi="Arial" w:cs="Arial"/>
          <w:sz w:val="22"/>
          <w:szCs w:val="22"/>
        </w:rPr>
        <w:t>Assinatura e carimbo do profissional</w:t>
      </w:r>
    </w:p>
    <w:p>
      <w:pPr>
        <w:jc w:val="center"/>
        <w:rPr>
          <w:rFonts w:ascii="Arial" w:hAnsi="Arial" w:cs="Arial"/>
          <w:sz w:val="22"/>
          <w:szCs w:val="22"/>
        </w:rPr>
      </w:pPr>
      <w:r>
        <w:rPr>
          <w:rFonts w:ascii="Arial" w:hAnsi="Arial" w:cs="Arial"/>
          <w:sz w:val="22"/>
          <w:szCs w:val="22"/>
        </w:rPr>
        <w:t>(representante legal)</w:t>
      </w:r>
    </w:p>
    <w:p>
      <w:pPr>
        <w:autoSpaceDE w:val="0"/>
        <w:autoSpaceDN w:val="0"/>
        <w:adjustRightInd w:val="0"/>
        <w:ind w:right="357"/>
        <w:rPr>
          <w:rFonts w:ascii="Arial" w:hAnsi="Arial" w:cs="Arial"/>
          <w:b/>
          <w:sz w:val="22"/>
          <w:szCs w:val="22"/>
        </w:rPr>
      </w:pPr>
    </w:p>
    <w:p>
      <w:pPr>
        <w:autoSpaceDE w:val="0"/>
        <w:autoSpaceDN w:val="0"/>
        <w:adjustRightInd w:val="0"/>
        <w:ind w:right="27"/>
        <w:jc w:val="both"/>
        <w:outlineLvl w:val="0"/>
        <w:rPr>
          <w:rFonts w:ascii="Arial" w:hAnsi="Arial" w:cs="Arial"/>
          <w:b/>
          <w:sz w:val="22"/>
          <w:szCs w:val="22"/>
        </w:rPr>
      </w:pPr>
    </w:p>
    <w:p>
      <w:pPr>
        <w:jc w:val="center"/>
        <w:rPr>
          <w:rFonts w:ascii="Arial" w:hAnsi="Arial" w:cs="Arial"/>
          <w:sz w:val="22"/>
          <w:szCs w:val="22"/>
        </w:rPr>
      </w:pPr>
      <w:r>
        <w:rPr>
          <w:rFonts w:ascii="Arial" w:hAnsi="Arial" w:cs="Arial"/>
          <w:sz w:val="22"/>
          <w:szCs w:val="22"/>
        </w:rPr>
        <w:t>_______________________________</w:t>
      </w:r>
    </w:p>
    <w:p>
      <w:pPr>
        <w:jc w:val="center"/>
        <w:rPr>
          <w:rFonts w:ascii="Arial" w:hAnsi="Arial" w:cs="Arial"/>
          <w:sz w:val="22"/>
          <w:szCs w:val="22"/>
        </w:rPr>
      </w:pPr>
      <w:r>
        <w:rPr>
          <w:rFonts w:ascii="Arial" w:hAnsi="Arial" w:cs="Arial"/>
          <w:sz w:val="22"/>
          <w:szCs w:val="22"/>
        </w:rPr>
        <w:t xml:space="preserve">Assinatura e carimbo de servidor da Prefeitura </w:t>
      </w:r>
    </w:p>
    <w:p>
      <w:pPr>
        <w:jc w:val="center"/>
        <w:rPr>
          <w:rFonts w:ascii="Arial" w:hAnsi="Arial" w:cs="Arial"/>
          <w:sz w:val="22"/>
          <w:szCs w:val="22"/>
        </w:rPr>
      </w:pPr>
      <w:r>
        <w:rPr>
          <w:rFonts w:ascii="Arial" w:hAnsi="Arial" w:cs="Arial"/>
          <w:sz w:val="22"/>
          <w:szCs w:val="22"/>
        </w:rPr>
        <w:t>Municipal de Primavera do Leste</w:t>
      </w:r>
    </w:p>
    <w:p>
      <w:pPr>
        <w:autoSpaceDE w:val="0"/>
        <w:autoSpaceDN w:val="0"/>
        <w:adjustRightInd w:val="0"/>
        <w:ind w:right="27"/>
        <w:jc w:val="both"/>
        <w:outlineLvl w:val="0"/>
        <w:rPr>
          <w:rFonts w:ascii="Arial" w:hAnsi="Arial" w:cs="Arial"/>
          <w:b/>
          <w:sz w:val="22"/>
          <w:szCs w:val="22"/>
        </w:rPr>
      </w:pPr>
    </w:p>
    <w:p>
      <w:pPr>
        <w:jc w:val="center"/>
        <w:rPr>
          <w:rFonts w:ascii="Arial" w:hAnsi="Arial" w:cs="Arial"/>
          <w:sz w:val="22"/>
          <w:szCs w:val="22"/>
        </w:rPr>
      </w:pPr>
      <w:r>
        <w:rPr>
          <w:rFonts w:ascii="Arial" w:hAnsi="Arial" w:cs="Arial"/>
          <w:b/>
          <w:i/>
          <w:sz w:val="22"/>
          <w:szCs w:val="22"/>
        </w:rPr>
        <w:t>Observações</w:t>
      </w:r>
      <w:r>
        <w:rPr>
          <w:rFonts w:ascii="Arial" w:hAnsi="Arial" w:cs="Arial"/>
          <w:i/>
          <w:sz w:val="22"/>
          <w:szCs w:val="22"/>
        </w:rPr>
        <w:t>: - Esta declaração deverá ser emitida em papel que identifique a licitante</w:t>
      </w:r>
      <w:r>
        <w:rPr>
          <w:rFonts w:ascii="Arial" w:hAnsi="Arial" w:cs="Arial"/>
          <w:sz w:val="22"/>
          <w:szCs w:val="22"/>
        </w:rPr>
        <w:t>.</w:t>
      </w:r>
    </w:p>
    <w:p>
      <w:pPr>
        <w:pStyle w:val="24"/>
        <w:rPr>
          <w:rFonts w:ascii="Arial" w:hAnsi="Arial" w:cs="Arial"/>
          <w:sz w:val="22"/>
          <w:szCs w:val="22"/>
          <w:u w:val="single"/>
        </w:rPr>
      </w:pPr>
    </w:p>
    <w:p>
      <w:pPr>
        <w:jc w:val="center"/>
        <w:rPr>
          <w:rFonts w:ascii="Arial" w:hAnsi="Arial" w:cs="Arial"/>
          <w:b/>
          <w:color w:val="FF0000"/>
          <w:sz w:val="22"/>
          <w:szCs w:val="22"/>
          <w:u w:val="single"/>
        </w:rPr>
      </w:pPr>
      <w:r>
        <w:rPr>
          <w:rFonts w:ascii="Arial" w:hAnsi="Arial" w:cs="Arial"/>
          <w:b/>
          <w:color w:val="FF0000"/>
          <w:sz w:val="22"/>
          <w:szCs w:val="22"/>
          <w:u w:val="single"/>
        </w:rPr>
        <w:t>Anexar ao Envelope Nº 01 – Documentação</w:t>
      </w:r>
    </w:p>
    <w:p>
      <w:pPr>
        <w:jc w:val="center"/>
        <w:rPr>
          <w:rFonts w:ascii="Arial" w:hAnsi="Arial" w:cs="Arial"/>
          <w:b/>
          <w:color w:val="FF0000"/>
          <w:sz w:val="22"/>
          <w:szCs w:val="22"/>
          <w:u w:val="single"/>
        </w:rPr>
      </w:pPr>
    </w:p>
    <w:p>
      <w:pPr>
        <w:jc w:val="center"/>
        <w:rPr>
          <w:rFonts w:ascii="Arial" w:hAnsi="Arial" w:cs="Arial"/>
          <w:b/>
          <w:color w:val="FF0000"/>
          <w:sz w:val="22"/>
          <w:szCs w:val="22"/>
          <w:u w:val="single"/>
        </w:rPr>
      </w:pPr>
    </w:p>
    <w:p>
      <w:pPr>
        <w:pStyle w:val="198"/>
      </w:pPr>
      <w:bookmarkStart w:id="55" w:name="_Toc513732650"/>
      <w:bookmarkStart w:id="56" w:name="_Toc514666358"/>
      <w:r>
        <w:t>ANEXO X – MODELO DE DECLARAÇÃO DE ABSTENÇÃO DE VISITA TÉCNICA</w:t>
      </w:r>
      <w:bookmarkEnd w:id="55"/>
      <w:bookmarkEnd w:id="56"/>
    </w:p>
    <w:p>
      <w:pPr>
        <w:autoSpaceDE w:val="0"/>
        <w:autoSpaceDN w:val="0"/>
        <w:adjustRightInd w:val="0"/>
        <w:ind w:right="27"/>
        <w:jc w:val="center"/>
        <w:outlineLvl w:val="0"/>
        <w:rPr>
          <w:b/>
        </w:rPr>
      </w:pPr>
    </w:p>
    <w:p>
      <w:pPr>
        <w:autoSpaceDE w:val="0"/>
        <w:autoSpaceDN w:val="0"/>
        <w:adjustRightInd w:val="0"/>
        <w:ind w:right="27"/>
        <w:jc w:val="center"/>
        <w:outlineLvl w:val="0"/>
        <w:rPr>
          <w:b/>
        </w:rPr>
      </w:pPr>
    </w:p>
    <w:p>
      <w:pPr>
        <w:autoSpaceDE w:val="0"/>
        <w:autoSpaceDN w:val="0"/>
        <w:adjustRightInd w:val="0"/>
        <w:ind w:right="27"/>
        <w:jc w:val="both"/>
        <w:outlineLvl w:val="0"/>
        <w:rPr>
          <w:rFonts w:hint="default" w:ascii="Arial" w:hAnsi="Arial" w:cs="Arial"/>
          <w:b/>
          <w:bCs/>
          <w:sz w:val="22"/>
          <w:szCs w:val="22"/>
          <w:lang w:val="pt-BR"/>
        </w:rPr>
      </w:pPr>
      <w:r>
        <w:rPr>
          <w:rFonts w:ascii="Arial" w:hAnsi="Arial" w:cs="Arial"/>
          <w:b/>
          <w:bCs/>
          <w:sz w:val="22"/>
          <w:szCs w:val="22"/>
        </w:rPr>
        <w:t>TOMADA DE PREÇO</w:t>
      </w:r>
      <w:r>
        <w:rPr>
          <w:rFonts w:hint="default" w:ascii="Arial" w:hAnsi="Arial" w:cs="Arial"/>
          <w:b/>
          <w:bCs/>
          <w:sz w:val="22"/>
          <w:szCs w:val="22"/>
          <w:lang w:val="pt-BR"/>
        </w:rPr>
        <w:t>S</w:t>
      </w:r>
      <w:r>
        <w:rPr>
          <w:rFonts w:ascii="Arial" w:hAnsi="Arial" w:cs="Arial"/>
          <w:b/>
          <w:bCs/>
          <w:sz w:val="22"/>
          <w:szCs w:val="22"/>
        </w:rPr>
        <w:t xml:space="preserve"> Nº </w:t>
      </w:r>
      <w:r>
        <w:rPr>
          <w:rFonts w:ascii="Arial" w:hAnsi="Arial" w:cs="Arial"/>
          <w:b/>
          <w:bCs/>
          <w:sz w:val="22"/>
          <w:szCs w:val="22"/>
          <w:lang w:val="pt-BR"/>
        </w:rPr>
        <w:t>005/2023</w:t>
      </w:r>
    </w:p>
    <w:p>
      <w:pPr>
        <w:autoSpaceDE w:val="0"/>
        <w:autoSpaceDN w:val="0"/>
        <w:adjustRightInd w:val="0"/>
        <w:ind w:right="27"/>
        <w:jc w:val="both"/>
        <w:outlineLvl w:val="0"/>
        <w:rPr>
          <w:rFonts w:ascii="Arial" w:hAnsi="Arial" w:cs="Arial"/>
          <w:b/>
          <w:bCs/>
          <w:sz w:val="22"/>
          <w:szCs w:val="22"/>
        </w:rPr>
      </w:pPr>
      <w:r>
        <w:rPr>
          <w:rFonts w:ascii="Arial" w:hAnsi="Arial" w:cs="Arial"/>
          <w:b/>
          <w:bCs/>
          <w:sz w:val="22"/>
          <w:szCs w:val="22"/>
        </w:rPr>
        <w:t>PREFEITURA MUNICIPAL DE PRIMAVERA DO LESTE/MT</w:t>
      </w:r>
    </w:p>
    <w:p>
      <w:pPr>
        <w:autoSpaceDE w:val="0"/>
        <w:autoSpaceDN w:val="0"/>
        <w:adjustRightInd w:val="0"/>
        <w:ind w:right="27"/>
        <w:jc w:val="both"/>
        <w:rPr>
          <w:rFonts w:hint="default" w:ascii="Arial" w:hAnsi="Arial" w:cs="Arial"/>
          <w:b/>
          <w:sz w:val="22"/>
          <w:szCs w:val="22"/>
          <w:lang w:val="pt-BR"/>
        </w:rPr>
      </w:pPr>
      <w:r>
        <w:rPr>
          <w:rFonts w:ascii="Arial" w:hAnsi="Arial" w:cs="Arial"/>
          <w:b/>
          <w:bCs/>
          <w:sz w:val="22"/>
          <w:szCs w:val="22"/>
        </w:rPr>
        <w:t xml:space="preserve">SECRETARIA MUNICIPAL DE </w:t>
      </w:r>
      <w:r>
        <w:rPr>
          <w:rFonts w:hint="default" w:ascii="Arial" w:hAnsi="Arial" w:cs="Arial"/>
          <w:b/>
          <w:bCs/>
          <w:sz w:val="22"/>
          <w:szCs w:val="22"/>
          <w:lang w:val="pt-BR"/>
        </w:rPr>
        <w:t>INFRAESTRUTURA</w:t>
      </w:r>
    </w:p>
    <w:p>
      <w:pPr>
        <w:autoSpaceDE w:val="0"/>
        <w:autoSpaceDN w:val="0"/>
        <w:adjustRightInd w:val="0"/>
        <w:jc w:val="center"/>
        <w:rPr>
          <w:bCs/>
          <w:color w:val="000000"/>
        </w:rPr>
      </w:pPr>
    </w:p>
    <w:p>
      <w:pPr>
        <w:autoSpaceDE w:val="0"/>
        <w:autoSpaceDN w:val="0"/>
        <w:adjustRightInd w:val="0"/>
        <w:jc w:val="center"/>
        <w:rPr>
          <w:bCs/>
          <w:color w:val="000000"/>
        </w:rPr>
      </w:pPr>
    </w:p>
    <w:p>
      <w:pPr>
        <w:autoSpaceDE w:val="0"/>
        <w:autoSpaceDN w:val="0"/>
        <w:adjustRightInd w:val="0"/>
        <w:jc w:val="center"/>
        <w:rPr>
          <w:bCs/>
          <w:color w:val="000000"/>
        </w:rPr>
      </w:pPr>
    </w:p>
    <w:p>
      <w:pPr>
        <w:autoSpaceDE w:val="0"/>
        <w:autoSpaceDN w:val="0"/>
        <w:adjustRightInd w:val="0"/>
        <w:jc w:val="center"/>
        <w:rPr>
          <w:bCs/>
          <w:color w:val="000000"/>
        </w:rPr>
      </w:pPr>
    </w:p>
    <w:p>
      <w:pPr>
        <w:autoSpaceDE w:val="0"/>
        <w:autoSpaceDN w:val="0"/>
        <w:adjustRightInd w:val="0"/>
        <w:jc w:val="center"/>
        <w:rPr>
          <w:bCs/>
          <w:color w:val="000000"/>
        </w:rPr>
      </w:pPr>
    </w:p>
    <w:p>
      <w:pPr>
        <w:autoSpaceDE w:val="0"/>
        <w:autoSpaceDN w:val="0"/>
        <w:adjustRightInd w:val="0"/>
        <w:jc w:val="both"/>
        <w:rPr>
          <w:rFonts w:ascii="Arial" w:hAnsi="Arial" w:cs="Arial"/>
          <w:bCs/>
          <w:color w:val="000000"/>
          <w:sz w:val="22"/>
          <w:szCs w:val="22"/>
        </w:rPr>
      </w:pPr>
      <w:r>
        <w:rPr>
          <w:rFonts w:ascii="Arial" w:hAnsi="Arial" w:cs="Arial"/>
          <w:bCs/>
          <w:color w:val="000000"/>
          <w:sz w:val="22"/>
          <w:szCs w:val="22"/>
        </w:rPr>
        <w:t xml:space="preserve">A empresa </w:t>
      </w:r>
      <w:r>
        <w:rPr>
          <w:rFonts w:ascii="Arial" w:hAnsi="Arial" w:cs="Arial"/>
          <w:sz w:val="22"/>
          <w:szCs w:val="22"/>
        </w:rPr>
        <w:t>___________________________, inscrita no CNPJ sob nº. ________________, por intermédio de seu representante legal o(a) Sr(a)____________________________, portador(a) da Carteir</w:t>
      </w:r>
      <w:r>
        <w:rPr>
          <w:rFonts w:hint="default" w:ascii="Arial" w:hAnsi="Arial" w:cs="Arial"/>
          <w:sz w:val="22"/>
          <w:szCs w:val="22"/>
        </w:rPr>
        <w:t xml:space="preserve">a de Identidade nº_____________ e do CPF nº________________, </w:t>
      </w:r>
      <w:r>
        <w:rPr>
          <w:rFonts w:hint="default" w:ascii="Arial" w:hAnsi="Arial" w:cs="Arial"/>
          <w:b/>
          <w:bCs/>
          <w:color w:val="000000"/>
          <w:sz w:val="22"/>
          <w:szCs w:val="22"/>
        </w:rPr>
        <w:t xml:space="preserve">DECLARA, </w:t>
      </w:r>
      <w:r>
        <w:rPr>
          <w:rFonts w:hint="default" w:ascii="Arial" w:hAnsi="Arial" w:cs="Arial"/>
          <w:bCs/>
          <w:color w:val="000000"/>
          <w:sz w:val="22"/>
          <w:szCs w:val="22"/>
        </w:rPr>
        <w:t xml:space="preserve">para efeitos legais, que tem conhecimento de todas as condições, </w:t>
      </w:r>
      <w:r>
        <w:rPr>
          <w:rFonts w:hint="default" w:ascii="Arial" w:hAnsi="Arial" w:cs="Arial"/>
          <w:sz w:val="22"/>
          <w:szCs w:val="22"/>
        </w:rPr>
        <w:t>o projeto executivo para o cumprimento d</w:t>
      </w:r>
      <w:r>
        <w:rPr>
          <w:rFonts w:hint="default" w:ascii="Arial" w:hAnsi="Arial" w:cs="Arial"/>
          <w:sz w:val="22"/>
          <w:szCs w:val="22"/>
          <w:lang w:val="pt-BR"/>
        </w:rPr>
        <w:t>o projeto visando a CONTRATAÇÃO DE PESSOA JURÍDICA ESPECIALIZADA NA ELABORAÇÃO DE PROJETO BÁSICO E EXECUTIVO DE UMA REDE DE DRENAGEM URBANA PARA O TRANSPORTE DE ÁGUAS PLUVIAIS DE UMA ÁREA LOCALIZADA NO CENTRO DO MUNICÍPIO (MAPA 01) PARA O DESTINO FINAL LOCALIZADO NA ÁREA DE MATA APÓS, APROXIMADAMENTE 550 METROS, O PRÉDIO QUE SE ENCONTRA INSTALADO O JORNAL O DIÁRIO (AS MARGENS DA RODOVIA FEDERAL BR 070). O TRECHO DESDE DO INICIO ATÉ O PONTO FINAL POSSUI  APROXIMADAMENTE DE 2.550 METROS DE EXTENSÃO</w:t>
      </w:r>
      <w:r>
        <w:rPr>
          <w:rFonts w:hint="default" w:ascii="Arial" w:hAnsi="Arial" w:cs="Arial"/>
          <w:bCs/>
          <w:color w:val="000000"/>
          <w:sz w:val="22"/>
          <w:szCs w:val="22"/>
        </w:rPr>
        <w:t>,</w:t>
      </w:r>
      <w:r>
        <w:rPr>
          <w:rFonts w:hint="default" w:ascii="Arial" w:hAnsi="Arial" w:cs="Arial"/>
          <w:sz w:val="22"/>
          <w:szCs w:val="22"/>
        </w:rPr>
        <w:t xml:space="preserve"> </w:t>
      </w:r>
      <w:r>
        <w:rPr>
          <w:rFonts w:hint="default" w:ascii="Arial" w:hAnsi="Arial" w:cs="Arial"/>
          <w:bCs/>
          <w:color w:val="000000"/>
          <w:sz w:val="22"/>
          <w:szCs w:val="22"/>
        </w:rPr>
        <w:t>objeto desta TOMADA DE PREÇO</w:t>
      </w:r>
      <w:r>
        <w:rPr>
          <w:rFonts w:hint="default" w:ascii="Arial" w:hAnsi="Arial" w:cs="Arial"/>
          <w:bCs/>
          <w:color w:val="000000"/>
          <w:sz w:val="22"/>
          <w:szCs w:val="22"/>
          <w:lang w:val="pt-BR"/>
        </w:rPr>
        <w:t>S</w:t>
      </w:r>
      <w:r>
        <w:rPr>
          <w:rFonts w:hint="default" w:ascii="Arial" w:hAnsi="Arial" w:cs="Arial"/>
          <w:bCs/>
          <w:color w:val="000000"/>
          <w:sz w:val="22"/>
          <w:szCs w:val="22"/>
        </w:rPr>
        <w:t xml:space="preserve"> nº </w:t>
      </w:r>
      <w:r>
        <w:rPr>
          <w:rFonts w:hint="default" w:ascii="Arial" w:hAnsi="Arial" w:cs="Arial"/>
          <w:bCs/>
          <w:color w:val="000000"/>
          <w:sz w:val="22"/>
          <w:szCs w:val="22"/>
          <w:lang w:val="pt-BR"/>
        </w:rPr>
        <w:t>005/2023</w:t>
      </w:r>
      <w:r>
        <w:rPr>
          <w:rFonts w:hint="default" w:ascii="Arial" w:hAnsi="Arial" w:cs="Arial"/>
          <w:bCs/>
          <w:color w:val="000000"/>
          <w:sz w:val="22"/>
          <w:szCs w:val="22"/>
        </w:rPr>
        <w:t xml:space="preserve">, realizado pela Prefeitura Municipal de Primavera do Leste/MT, e que faz a opção de se abster da visita, não </w:t>
      </w:r>
      <w:r>
        <w:rPr>
          <w:rFonts w:ascii="Arial" w:hAnsi="Arial" w:cs="Arial"/>
          <w:bCs/>
          <w:color w:val="000000"/>
          <w:sz w:val="22"/>
          <w:szCs w:val="22"/>
        </w:rPr>
        <w:t xml:space="preserve">cabendo posteriormente nenhum questionamento contra a contratante em razão disto, nem tão pouco eximir-se de qualquer obrigação assumida ou revisão dos termos do contrato que vier a firmar. </w:t>
      </w:r>
    </w:p>
    <w:p>
      <w:pPr>
        <w:autoSpaceDE w:val="0"/>
        <w:autoSpaceDN w:val="0"/>
        <w:adjustRightInd w:val="0"/>
        <w:jc w:val="both"/>
        <w:rPr>
          <w:rFonts w:ascii="Arial" w:hAnsi="Arial" w:cs="Arial"/>
          <w:bCs/>
          <w:color w:val="000000"/>
          <w:sz w:val="22"/>
          <w:szCs w:val="22"/>
        </w:rPr>
      </w:pPr>
    </w:p>
    <w:p>
      <w:pPr>
        <w:autoSpaceDE w:val="0"/>
        <w:autoSpaceDN w:val="0"/>
        <w:adjustRightInd w:val="0"/>
        <w:jc w:val="both"/>
        <w:rPr>
          <w:rFonts w:ascii="Arial" w:hAnsi="Arial" w:cs="Arial"/>
          <w:bCs/>
          <w:color w:val="000000"/>
          <w:sz w:val="22"/>
          <w:szCs w:val="22"/>
        </w:rPr>
      </w:pPr>
    </w:p>
    <w:p>
      <w:pPr>
        <w:spacing w:line="276" w:lineRule="auto"/>
        <w:jc w:val="right"/>
        <w:rPr>
          <w:rFonts w:ascii="Arial" w:hAnsi="Arial" w:cs="Arial"/>
          <w:b/>
          <w:sz w:val="22"/>
          <w:szCs w:val="22"/>
        </w:rPr>
      </w:pPr>
      <w:r>
        <w:rPr>
          <w:rFonts w:ascii="Arial" w:hAnsi="Arial" w:cs="Arial"/>
          <w:sz w:val="22"/>
          <w:szCs w:val="22"/>
        </w:rPr>
        <w:t xml:space="preserve">Primavera do Leste/MT, ___ de _________ 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rPr>
          <w:rFonts w:ascii="Arial" w:hAnsi="Arial" w:cs="Arial"/>
          <w:sz w:val="22"/>
          <w:szCs w:val="22"/>
        </w:rPr>
      </w:pPr>
    </w:p>
    <w:p>
      <w:pPr>
        <w:rPr>
          <w:rFonts w:ascii="Arial" w:hAnsi="Arial" w:cs="Arial"/>
          <w:sz w:val="22"/>
          <w:szCs w:val="22"/>
        </w:rPr>
      </w:pPr>
    </w:p>
    <w:p>
      <w:pPr>
        <w:autoSpaceDE w:val="0"/>
        <w:autoSpaceDN w:val="0"/>
        <w:adjustRightInd w:val="0"/>
        <w:ind w:right="27"/>
        <w:jc w:val="center"/>
        <w:rPr>
          <w:rFonts w:ascii="Arial" w:hAnsi="Arial" w:cs="Arial"/>
          <w:sz w:val="22"/>
          <w:szCs w:val="22"/>
        </w:rPr>
      </w:pPr>
      <w:r>
        <w:rPr>
          <w:rFonts w:ascii="Arial" w:hAnsi="Arial" w:cs="Arial"/>
          <w:sz w:val="22"/>
          <w:szCs w:val="22"/>
        </w:rPr>
        <w:t>_______________________________________</w:t>
      </w:r>
    </w:p>
    <w:p>
      <w:pPr>
        <w:autoSpaceDE w:val="0"/>
        <w:autoSpaceDN w:val="0"/>
        <w:adjustRightInd w:val="0"/>
        <w:ind w:right="27"/>
        <w:jc w:val="center"/>
        <w:outlineLvl w:val="0"/>
        <w:rPr>
          <w:rFonts w:ascii="Arial" w:hAnsi="Arial" w:cs="Arial"/>
          <w:b/>
          <w:sz w:val="22"/>
          <w:szCs w:val="22"/>
        </w:rPr>
      </w:pPr>
      <w:r>
        <w:rPr>
          <w:rFonts w:ascii="Arial" w:hAnsi="Arial" w:cs="Arial"/>
          <w:b/>
          <w:sz w:val="22"/>
          <w:szCs w:val="22"/>
        </w:rPr>
        <w:t>Assinatura do representante legal sob carimbo</w:t>
      </w:r>
    </w:p>
    <w:p>
      <w:pPr>
        <w:autoSpaceDE w:val="0"/>
        <w:autoSpaceDN w:val="0"/>
        <w:adjustRightInd w:val="0"/>
        <w:ind w:right="27"/>
        <w:jc w:val="center"/>
        <w:rPr>
          <w:rFonts w:ascii="Arial" w:hAnsi="Arial" w:cs="Arial"/>
          <w:b/>
          <w:sz w:val="22"/>
          <w:szCs w:val="22"/>
        </w:rPr>
      </w:pPr>
      <w:r>
        <w:rPr>
          <w:rFonts w:ascii="Arial" w:hAnsi="Arial" w:cs="Arial"/>
          <w:b/>
          <w:sz w:val="22"/>
          <w:szCs w:val="22"/>
        </w:rPr>
        <w:t>RG:</w:t>
      </w:r>
    </w:p>
    <w:p>
      <w:pPr>
        <w:autoSpaceDE w:val="0"/>
        <w:autoSpaceDN w:val="0"/>
        <w:adjustRightInd w:val="0"/>
        <w:ind w:right="27"/>
        <w:jc w:val="center"/>
        <w:outlineLvl w:val="0"/>
        <w:rPr>
          <w:rFonts w:ascii="Arial" w:hAnsi="Arial" w:cs="Arial"/>
          <w:b/>
          <w:sz w:val="22"/>
          <w:szCs w:val="22"/>
        </w:rPr>
      </w:pPr>
      <w:r>
        <w:rPr>
          <w:rFonts w:ascii="Arial" w:hAnsi="Arial" w:cs="Arial"/>
          <w:b/>
          <w:sz w:val="22"/>
          <w:szCs w:val="22"/>
        </w:rPr>
        <w:t>CPF/MF:</w:t>
      </w:r>
    </w:p>
    <w:p>
      <w:pPr>
        <w:autoSpaceDE w:val="0"/>
        <w:autoSpaceDN w:val="0"/>
        <w:adjustRightInd w:val="0"/>
        <w:ind w:right="27"/>
        <w:jc w:val="center"/>
        <w:outlineLvl w:val="0"/>
        <w:rPr>
          <w:rFonts w:ascii="Arial" w:hAnsi="Arial" w:cs="Arial"/>
          <w:b/>
          <w:sz w:val="22"/>
          <w:szCs w:val="22"/>
        </w:rPr>
      </w:pPr>
      <w:r>
        <w:rPr>
          <w:rFonts w:ascii="Arial" w:hAnsi="Arial" w:cs="Arial"/>
          <w:b/>
          <w:sz w:val="22"/>
          <w:szCs w:val="22"/>
        </w:rPr>
        <w:t>CNPJ/MF da empresa</w:t>
      </w:r>
    </w:p>
    <w:p>
      <w:pPr>
        <w:autoSpaceDE w:val="0"/>
        <w:autoSpaceDN w:val="0"/>
        <w:adjustRightInd w:val="0"/>
        <w:ind w:right="27"/>
        <w:jc w:val="center"/>
        <w:outlineLvl w:val="0"/>
        <w:rPr>
          <w:b/>
          <w:bCs/>
        </w:rPr>
      </w:pPr>
    </w:p>
    <w:p>
      <w:pPr>
        <w:pStyle w:val="49"/>
        <w:suppressAutoHyphens w:val="0"/>
        <w:ind w:left="0"/>
        <w:jc w:val="center"/>
        <w:rPr>
          <w:rFonts w:ascii="Arial" w:hAnsi="Arial" w:cs="Arial"/>
          <w:b/>
          <w:i/>
          <w:sz w:val="22"/>
          <w:szCs w:val="22"/>
        </w:rPr>
      </w:pPr>
      <w:r>
        <w:rPr>
          <w:rFonts w:ascii="Arial" w:hAnsi="Arial" w:cs="Arial"/>
          <w:b/>
          <w:i/>
          <w:sz w:val="22"/>
          <w:szCs w:val="22"/>
        </w:rPr>
        <w:t>Obs: Esta Declaração deverá ser elaborada e assinada pelo representante legal.</w:t>
      </w:r>
    </w:p>
    <w:p>
      <w:pPr>
        <w:pStyle w:val="49"/>
        <w:suppressAutoHyphens w:val="0"/>
        <w:ind w:left="0"/>
        <w:jc w:val="center"/>
        <w:rPr>
          <w:rFonts w:ascii="Arial" w:hAnsi="Arial" w:cs="Arial"/>
          <w:b/>
          <w:color w:val="FF0000"/>
          <w:sz w:val="22"/>
          <w:szCs w:val="22"/>
          <w:u w:val="single"/>
        </w:rPr>
      </w:pPr>
      <w:r>
        <w:rPr>
          <w:rFonts w:ascii="Arial" w:hAnsi="Arial" w:cs="Arial"/>
          <w:b/>
          <w:color w:val="FF0000"/>
          <w:sz w:val="22"/>
          <w:szCs w:val="22"/>
          <w:u w:val="single"/>
        </w:rPr>
        <w:t>Anexar ao Envelope nº 1 – Documentação</w:t>
      </w: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pStyle w:val="198"/>
      </w:pPr>
      <w:r>
        <w:t>ANEXO XI – MODELO DE DECLARAÇÃO DE OPERACIONALIDADE DOS EQUIPAMENTOS</w:t>
      </w: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pStyle w:val="49"/>
        <w:suppressAutoHyphens w:val="0"/>
        <w:spacing w:line="360" w:lineRule="auto"/>
        <w:ind w:left="0" w:firstLine="708"/>
        <w:jc w:val="both"/>
        <w:rPr>
          <w:rFonts w:ascii="Arial" w:hAnsi="Arial" w:cs="Arial"/>
          <w:sz w:val="22"/>
          <w:szCs w:val="22"/>
        </w:rPr>
      </w:pPr>
      <w:r>
        <w:rPr>
          <w:rFonts w:ascii="Arial" w:hAnsi="Arial" w:cs="Arial"/>
          <w:sz w:val="22"/>
          <w:szCs w:val="22"/>
        </w:rPr>
        <w:t xml:space="preserve">Declaramos sob as penas Lei, e para fins de participação no Processo Licitatório </w:t>
      </w:r>
      <w:r>
        <w:rPr>
          <w:rFonts w:ascii="Arial" w:hAnsi="Arial" w:cs="Arial"/>
          <w:b/>
          <w:sz w:val="22"/>
          <w:szCs w:val="22"/>
        </w:rPr>
        <w:t>TOMADA DE PREÇOS Nº</w:t>
      </w:r>
      <w:r>
        <w:rPr>
          <w:rFonts w:ascii="Arial" w:hAnsi="Arial" w:cs="Arial"/>
          <w:b/>
          <w:sz w:val="22"/>
          <w:szCs w:val="22"/>
          <w:lang w:val="pt-BR"/>
        </w:rPr>
        <w:t>005/2023</w:t>
      </w:r>
      <w:r>
        <w:rPr>
          <w:rFonts w:ascii="Arial" w:hAnsi="Arial" w:cs="Arial"/>
          <w:sz w:val="22"/>
          <w:szCs w:val="22"/>
        </w:rPr>
        <w:t>, junto a Prefeitura Municipal de Primavera do Leste - MT, que serão utilizados equipamentos, abaixo indicados, em perfeitas condições de operacionalidade, disponíveis para serem utilizados na execução do objeto licitado e que atendam a demanda e especificações técnicas exigidas para os serviços.</w:t>
      </w:r>
    </w:p>
    <w:p>
      <w:pPr>
        <w:pStyle w:val="49"/>
        <w:suppressAutoHyphens w:val="0"/>
        <w:ind w:left="0"/>
        <w:rPr>
          <w:rFonts w:ascii="Arial" w:hAnsi="Arial" w:cs="Arial"/>
          <w:sz w:val="22"/>
          <w:szCs w:val="22"/>
        </w:rPr>
      </w:pPr>
    </w:p>
    <w:tbl>
      <w:tblPr>
        <w:tblStyle w:val="12"/>
        <w:tblW w:w="9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4"/>
        <w:gridCol w:w="1267"/>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4" w:type="dxa"/>
            <w:vAlign w:val="center"/>
          </w:tcPr>
          <w:p>
            <w:pPr>
              <w:pStyle w:val="49"/>
              <w:suppressAutoHyphens w:val="0"/>
              <w:ind w:left="0"/>
              <w:jc w:val="center"/>
              <w:rPr>
                <w:rFonts w:ascii="Arial" w:hAnsi="Arial" w:cs="Arial"/>
                <w:sz w:val="22"/>
                <w:szCs w:val="22"/>
              </w:rPr>
            </w:pPr>
            <w:r>
              <w:rPr>
                <w:rFonts w:ascii="Arial" w:hAnsi="Arial" w:cs="Arial"/>
                <w:sz w:val="22"/>
                <w:szCs w:val="22"/>
              </w:rPr>
              <w:t>ESPECIFICAÇÃO DOS EQUIPAMENTOS (NOME, MARCA/MODELO, CAPACIDADE/POTÊNCIA, ETC)</w:t>
            </w:r>
          </w:p>
        </w:tc>
        <w:tc>
          <w:tcPr>
            <w:tcW w:w="1267" w:type="dxa"/>
            <w:vAlign w:val="center"/>
          </w:tcPr>
          <w:p>
            <w:pPr>
              <w:pStyle w:val="49"/>
              <w:suppressAutoHyphens w:val="0"/>
              <w:ind w:left="0"/>
              <w:jc w:val="center"/>
              <w:rPr>
                <w:rFonts w:ascii="Arial" w:hAnsi="Arial" w:cs="Arial"/>
                <w:sz w:val="22"/>
                <w:szCs w:val="22"/>
              </w:rPr>
            </w:pPr>
            <w:r>
              <w:rPr>
                <w:rFonts w:ascii="Arial" w:hAnsi="Arial" w:cs="Arial"/>
                <w:sz w:val="22"/>
                <w:szCs w:val="22"/>
              </w:rPr>
              <w:t>QUANT.</w:t>
            </w:r>
          </w:p>
        </w:tc>
        <w:tc>
          <w:tcPr>
            <w:tcW w:w="1835" w:type="dxa"/>
            <w:vAlign w:val="center"/>
          </w:tcPr>
          <w:p>
            <w:pPr>
              <w:pStyle w:val="49"/>
              <w:suppressAutoHyphens w:val="0"/>
              <w:ind w:hanging="1399"/>
              <w:jc w:val="center"/>
              <w:rPr>
                <w:rFonts w:ascii="Arial" w:hAnsi="Arial" w:cs="Arial"/>
                <w:sz w:val="22"/>
                <w:szCs w:val="22"/>
              </w:rPr>
            </w:pPr>
            <w:r>
              <w:rPr>
                <w:rFonts w:ascii="Arial" w:hAnsi="Arial" w:cs="Arial"/>
                <w:sz w:val="22"/>
                <w:szCs w:val="22"/>
              </w:rPr>
              <w:t>ANO</w:t>
            </w:r>
          </w:p>
          <w:p>
            <w:pPr>
              <w:pStyle w:val="49"/>
              <w:suppressAutoHyphens w:val="0"/>
              <w:ind w:left="0"/>
              <w:jc w:val="center"/>
              <w:rPr>
                <w:rFonts w:ascii="Arial" w:hAnsi="Arial" w:cs="Arial"/>
                <w:sz w:val="22"/>
                <w:szCs w:val="22"/>
              </w:rPr>
            </w:pPr>
            <w:r>
              <w:rPr>
                <w:rFonts w:ascii="Arial" w:hAnsi="Arial" w:cs="Arial"/>
                <w:sz w:val="22"/>
                <w:szCs w:val="22"/>
              </w:rPr>
              <w:t>FABRICAÇÃO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4" w:type="dxa"/>
            <w:vAlign w:val="center"/>
          </w:tcPr>
          <w:p>
            <w:pPr>
              <w:pStyle w:val="49"/>
              <w:suppressAutoHyphens w:val="0"/>
              <w:ind w:left="0"/>
              <w:jc w:val="center"/>
              <w:rPr>
                <w:rFonts w:ascii="Arial" w:hAnsi="Arial" w:cs="Arial"/>
                <w:sz w:val="22"/>
                <w:szCs w:val="22"/>
              </w:rPr>
            </w:pPr>
          </w:p>
        </w:tc>
        <w:tc>
          <w:tcPr>
            <w:tcW w:w="1267" w:type="dxa"/>
            <w:vAlign w:val="center"/>
          </w:tcPr>
          <w:p>
            <w:pPr>
              <w:pStyle w:val="49"/>
              <w:suppressAutoHyphens w:val="0"/>
              <w:ind w:left="0"/>
              <w:jc w:val="center"/>
              <w:rPr>
                <w:rFonts w:ascii="Arial" w:hAnsi="Arial" w:cs="Arial"/>
                <w:sz w:val="22"/>
                <w:szCs w:val="22"/>
              </w:rPr>
            </w:pPr>
          </w:p>
        </w:tc>
        <w:tc>
          <w:tcPr>
            <w:tcW w:w="1835" w:type="dxa"/>
            <w:vAlign w:val="center"/>
          </w:tcPr>
          <w:p>
            <w:pPr>
              <w:pStyle w:val="49"/>
              <w:suppressAutoHyphens w:val="0"/>
              <w:ind w:left="0"/>
              <w:jc w:val="center"/>
              <w:rPr>
                <w:rFonts w:ascii="Arial" w:hAnsi="Arial" w:cs="Arial"/>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34" w:type="dxa"/>
            <w:vAlign w:val="center"/>
          </w:tcPr>
          <w:p>
            <w:pPr>
              <w:pStyle w:val="49"/>
              <w:suppressAutoHyphens w:val="0"/>
              <w:ind w:left="0"/>
              <w:jc w:val="center"/>
              <w:rPr>
                <w:rFonts w:ascii="Arial" w:hAnsi="Arial" w:cs="Arial"/>
                <w:sz w:val="22"/>
                <w:szCs w:val="22"/>
              </w:rPr>
            </w:pPr>
          </w:p>
        </w:tc>
        <w:tc>
          <w:tcPr>
            <w:tcW w:w="1267" w:type="dxa"/>
            <w:vAlign w:val="center"/>
          </w:tcPr>
          <w:p>
            <w:pPr>
              <w:pStyle w:val="49"/>
              <w:suppressAutoHyphens w:val="0"/>
              <w:ind w:left="0"/>
              <w:jc w:val="center"/>
              <w:rPr>
                <w:rFonts w:ascii="Arial" w:hAnsi="Arial" w:cs="Arial"/>
                <w:sz w:val="22"/>
                <w:szCs w:val="22"/>
              </w:rPr>
            </w:pPr>
          </w:p>
        </w:tc>
        <w:tc>
          <w:tcPr>
            <w:tcW w:w="1835" w:type="dxa"/>
            <w:vAlign w:val="center"/>
          </w:tcPr>
          <w:p>
            <w:pPr>
              <w:pStyle w:val="49"/>
              <w:suppressAutoHyphens w:val="0"/>
              <w:ind w:left="0"/>
              <w:jc w:val="center"/>
              <w:rPr>
                <w:rFonts w:ascii="Arial" w:hAnsi="Arial" w:cs="Arial"/>
                <w:sz w:val="22"/>
                <w:szCs w:val="22"/>
              </w:rPr>
            </w:pPr>
          </w:p>
        </w:tc>
      </w:tr>
    </w:tbl>
    <w:p>
      <w:pPr>
        <w:pStyle w:val="49"/>
        <w:suppressAutoHyphens w:val="0"/>
        <w:ind w:left="0"/>
        <w:rPr>
          <w:rFonts w:ascii="Arial" w:hAnsi="Arial" w:cs="Arial"/>
          <w:sz w:val="22"/>
          <w:szCs w:val="22"/>
        </w:rPr>
      </w:pPr>
    </w:p>
    <w:p>
      <w:pPr>
        <w:pStyle w:val="49"/>
        <w:suppressAutoHyphens w:val="0"/>
        <w:ind w:left="0" w:firstLine="708"/>
        <w:rPr>
          <w:rFonts w:ascii="Arial" w:hAnsi="Arial" w:cs="Arial"/>
          <w:sz w:val="22"/>
          <w:szCs w:val="22"/>
        </w:rPr>
      </w:pPr>
      <w:r>
        <w:rPr>
          <w:rFonts w:ascii="Arial" w:hAnsi="Arial" w:cs="Arial"/>
          <w:sz w:val="22"/>
          <w:szCs w:val="22"/>
        </w:rPr>
        <w:t>Por ser verdade, firmamos a presente declaração.</w:t>
      </w:r>
    </w:p>
    <w:p>
      <w:pPr>
        <w:pStyle w:val="49"/>
        <w:suppressAutoHyphens w:val="0"/>
        <w:ind w:left="0" w:firstLine="708"/>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right"/>
        <w:rPr>
          <w:rFonts w:ascii="Arial" w:hAnsi="Arial" w:cs="Arial"/>
          <w:sz w:val="22"/>
          <w:szCs w:val="22"/>
        </w:rPr>
      </w:pPr>
      <w:r>
        <w:rPr>
          <w:rFonts w:ascii="Arial" w:hAnsi="Arial" w:cs="Arial"/>
          <w:sz w:val="22"/>
          <w:szCs w:val="22"/>
        </w:rPr>
        <w:t xml:space="preserve">Primavera do Leste/MT, ___ de _________ 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r>
        <w:rPr>
          <w:rFonts w:ascii="Arial" w:hAnsi="Arial" w:cs="Arial"/>
          <w:sz w:val="22"/>
          <w:szCs w:val="22"/>
        </w:rPr>
        <w:t>Assinatura</w:t>
      </w:r>
    </w:p>
    <w:p>
      <w:pPr>
        <w:pStyle w:val="49"/>
        <w:suppressAutoHyphens w:val="0"/>
        <w:ind w:left="0"/>
        <w:jc w:val="center"/>
        <w:rPr>
          <w:rFonts w:ascii="Arial" w:hAnsi="Arial" w:cs="Arial"/>
          <w:sz w:val="22"/>
          <w:szCs w:val="22"/>
        </w:rPr>
      </w:pPr>
      <w:r>
        <w:rPr>
          <w:rFonts w:ascii="Arial" w:hAnsi="Arial" w:cs="Arial"/>
          <w:sz w:val="22"/>
          <w:szCs w:val="22"/>
        </w:rPr>
        <w:t>Nome do Representante Legal</w:t>
      </w: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b/>
          <w:i/>
          <w:sz w:val="22"/>
          <w:szCs w:val="22"/>
        </w:rPr>
      </w:pPr>
      <w:r>
        <w:rPr>
          <w:rFonts w:ascii="Arial" w:hAnsi="Arial" w:cs="Arial"/>
          <w:b/>
          <w:i/>
          <w:sz w:val="22"/>
          <w:szCs w:val="22"/>
        </w:rPr>
        <w:t>Obs: Esta Declaração deverá ser elaborada e assinada pelo representante legal.</w:t>
      </w:r>
    </w:p>
    <w:p>
      <w:pPr>
        <w:pStyle w:val="49"/>
        <w:suppressAutoHyphens w:val="0"/>
        <w:ind w:left="0"/>
        <w:jc w:val="center"/>
        <w:rPr>
          <w:rFonts w:ascii="Arial" w:hAnsi="Arial" w:cs="Arial"/>
          <w:b/>
          <w:sz w:val="22"/>
          <w:szCs w:val="22"/>
        </w:rPr>
      </w:pPr>
    </w:p>
    <w:p>
      <w:pPr>
        <w:pStyle w:val="49"/>
        <w:suppressAutoHyphens w:val="0"/>
        <w:ind w:left="0"/>
        <w:jc w:val="center"/>
        <w:rPr>
          <w:rFonts w:ascii="Arial" w:hAnsi="Arial" w:cs="Arial"/>
          <w:b/>
          <w:sz w:val="22"/>
          <w:szCs w:val="22"/>
        </w:rPr>
      </w:pPr>
    </w:p>
    <w:p>
      <w:pPr>
        <w:pStyle w:val="49"/>
        <w:suppressAutoHyphens w:val="0"/>
        <w:ind w:left="0"/>
        <w:jc w:val="center"/>
        <w:rPr>
          <w:rFonts w:ascii="Arial" w:hAnsi="Arial" w:cs="Arial"/>
          <w:b/>
          <w:sz w:val="22"/>
          <w:szCs w:val="22"/>
          <w:u w:val="single"/>
        </w:rPr>
      </w:pPr>
    </w:p>
    <w:p>
      <w:pPr>
        <w:pStyle w:val="49"/>
        <w:suppressAutoHyphens w:val="0"/>
        <w:ind w:left="0"/>
        <w:jc w:val="center"/>
        <w:rPr>
          <w:rFonts w:ascii="Arial" w:hAnsi="Arial" w:cs="Arial"/>
          <w:b/>
          <w:color w:val="FF0000"/>
          <w:sz w:val="22"/>
          <w:szCs w:val="22"/>
          <w:u w:val="single"/>
        </w:rPr>
      </w:pPr>
      <w:r>
        <w:rPr>
          <w:rFonts w:ascii="Arial" w:hAnsi="Arial" w:cs="Arial"/>
          <w:b/>
          <w:color w:val="FF0000"/>
          <w:sz w:val="22"/>
          <w:szCs w:val="22"/>
          <w:u w:val="single"/>
        </w:rPr>
        <w:t>Anexar ao Envelope Nº 01- Documentação</w:t>
      </w:r>
    </w:p>
    <w:p>
      <w:pPr>
        <w:spacing w:before="120"/>
        <w:jc w:val="both"/>
        <w:rPr>
          <w:rFonts w:ascii="Arial" w:hAnsi="Arial" w:cs="Arial"/>
          <w:sz w:val="22"/>
          <w:szCs w:val="22"/>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pStyle w:val="198"/>
      </w:pPr>
      <w:r>
        <w:t>ANEXO XIi – MODELO DE DECLARAÇÃO DE DISPONIBILIDADE DE PESSOAL E CONDIÇÕES DE EXECUÇÃO DO OBJETO</w:t>
      </w: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pStyle w:val="49"/>
        <w:suppressAutoHyphens w:val="0"/>
        <w:spacing w:line="360" w:lineRule="auto"/>
        <w:ind w:left="0" w:firstLine="708"/>
        <w:jc w:val="both"/>
        <w:rPr>
          <w:b/>
          <w:bCs/>
        </w:rPr>
      </w:pPr>
      <w:r>
        <w:rPr>
          <w:b/>
          <w:bCs/>
        </w:rPr>
        <w:tab/>
      </w:r>
    </w:p>
    <w:p>
      <w:pPr>
        <w:pStyle w:val="49"/>
        <w:suppressAutoHyphens w:val="0"/>
        <w:spacing w:line="360" w:lineRule="auto"/>
        <w:ind w:left="0" w:firstLine="708"/>
        <w:jc w:val="both"/>
        <w:rPr>
          <w:rFonts w:ascii="Arial" w:hAnsi="Arial" w:cs="Arial"/>
          <w:sz w:val="22"/>
          <w:szCs w:val="22"/>
        </w:rPr>
      </w:pPr>
      <w:r>
        <w:rPr>
          <w:rFonts w:ascii="Arial" w:hAnsi="Arial" w:cs="Arial"/>
          <w:sz w:val="22"/>
          <w:szCs w:val="22"/>
        </w:rPr>
        <w:t xml:space="preserve">A empresa _________________________, CNPJ________________ e Inscrição Estadual _____________, situada na ___________________________, neste ato representada pelo seu ____________ Sr. _____________________________, brasileiro, casado, CPF ___________ RG ________________, para fins de participação na </w:t>
      </w:r>
      <w:r>
        <w:rPr>
          <w:rFonts w:ascii="Arial" w:hAnsi="Arial" w:cs="Arial"/>
          <w:b/>
          <w:sz w:val="22"/>
          <w:szCs w:val="22"/>
        </w:rPr>
        <w:t>TOMADA DE PREÇOS Nº</w:t>
      </w:r>
      <w:r>
        <w:rPr>
          <w:rFonts w:ascii="Arial" w:hAnsi="Arial" w:cs="Arial"/>
          <w:b/>
          <w:sz w:val="22"/>
          <w:szCs w:val="22"/>
          <w:lang w:val="pt-BR"/>
        </w:rPr>
        <w:t>005/2023</w:t>
      </w:r>
      <w:r>
        <w:rPr>
          <w:rFonts w:ascii="Arial" w:hAnsi="Arial" w:cs="Arial"/>
          <w:sz w:val="22"/>
          <w:szCs w:val="22"/>
        </w:rPr>
        <w:t xml:space="preserve">, DECLARA, sob as penas da Lei,  que a mesma possui disponibilidade de pessoal e condições para executar o objeto da presente licitação caso seja vencedora. </w:t>
      </w:r>
    </w:p>
    <w:p>
      <w:pPr>
        <w:pStyle w:val="49"/>
        <w:suppressAutoHyphens w:val="0"/>
        <w:spacing w:line="360" w:lineRule="auto"/>
        <w:ind w:left="0" w:firstLine="708"/>
        <w:jc w:val="both"/>
        <w:rPr>
          <w:rFonts w:ascii="Arial" w:hAnsi="Arial" w:cs="Arial"/>
          <w:sz w:val="22"/>
          <w:szCs w:val="22"/>
        </w:rPr>
      </w:pPr>
      <w:r>
        <w:rPr>
          <w:rFonts w:ascii="Arial" w:hAnsi="Arial" w:cs="Arial"/>
          <w:sz w:val="22"/>
          <w:szCs w:val="22"/>
        </w:rPr>
        <w:t xml:space="preserve">Declara ainda, estar ciente das obrigações constantes no edital, na minuta contratual, nas planilhas e memoriais descritivos, sendo que concorda com estas disposições. </w:t>
      </w:r>
    </w:p>
    <w:p>
      <w:pPr>
        <w:pStyle w:val="49"/>
        <w:suppressAutoHyphens w:val="0"/>
        <w:spacing w:line="360" w:lineRule="auto"/>
        <w:ind w:left="0"/>
        <w:jc w:val="both"/>
        <w:rPr>
          <w:rFonts w:ascii="Arial" w:hAnsi="Arial" w:cs="Arial"/>
          <w:sz w:val="22"/>
          <w:szCs w:val="22"/>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 xml:space="preserve">E por ser verdade, firmamos a presente. </w:t>
      </w:r>
    </w:p>
    <w:p>
      <w:pPr>
        <w:pStyle w:val="49"/>
        <w:suppressAutoHyphens w:val="0"/>
        <w:ind w:left="0"/>
        <w:jc w:val="both"/>
        <w:rPr>
          <w:rFonts w:ascii="Arial" w:hAnsi="Arial" w:cs="Arial"/>
          <w:sz w:val="22"/>
          <w:szCs w:val="22"/>
        </w:rPr>
      </w:pPr>
      <w:r>
        <w:rPr>
          <w:rFonts w:ascii="Arial" w:hAnsi="Arial" w:cs="Arial"/>
          <w:sz w:val="22"/>
          <w:szCs w:val="22"/>
        </w:rPr>
        <w:t xml:space="preserve"> </w:t>
      </w:r>
    </w:p>
    <w:p>
      <w:pPr>
        <w:pStyle w:val="49"/>
        <w:suppressAutoHyphens w:val="0"/>
        <w:ind w:left="0"/>
        <w:jc w:val="both"/>
        <w:rPr>
          <w:rFonts w:ascii="Arial" w:hAnsi="Arial" w:cs="Arial"/>
          <w:sz w:val="22"/>
          <w:szCs w:val="22"/>
        </w:rPr>
      </w:pPr>
    </w:p>
    <w:p>
      <w:pPr>
        <w:pStyle w:val="49"/>
        <w:suppressAutoHyphens w:val="0"/>
        <w:ind w:left="0"/>
        <w:jc w:val="both"/>
        <w:rPr>
          <w:rFonts w:ascii="Arial" w:hAnsi="Arial" w:cs="Arial"/>
          <w:sz w:val="22"/>
          <w:szCs w:val="22"/>
        </w:rPr>
      </w:pPr>
      <w:r>
        <w:rPr>
          <w:rFonts w:ascii="Arial" w:hAnsi="Arial" w:cs="Arial"/>
          <w:sz w:val="22"/>
          <w:szCs w:val="22"/>
        </w:rPr>
        <w:t xml:space="preserve">                                            </w:t>
      </w:r>
    </w:p>
    <w:p>
      <w:pPr>
        <w:spacing w:line="276" w:lineRule="auto"/>
        <w:jc w:val="right"/>
        <w:rPr>
          <w:rFonts w:ascii="Arial" w:hAnsi="Arial" w:cs="Arial"/>
          <w:b/>
          <w:sz w:val="22"/>
          <w:szCs w:val="22"/>
        </w:rPr>
      </w:pPr>
      <w:r>
        <w:rPr>
          <w:rFonts w:ascii="Arial" w:hAnsi="Arial" w:cs="Arial"/>
          <w:sz w:val="22"/>
          <w:szCs w:val="22"/>
        </w:rPr>
        <w:t xml:space="preserve">Primavera do Leste/MT, ___ de _________ 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pStyle w:val="49"/>
        <w:suppressAutoHyphens w:val="0"/>
        <w:ind w:left="0"/>
        <w:rPr>
          <w:rFonts w:ascii="Arial" w:hAnsi="Arial" w:cs="Arial"/>
          <w:sz w:val="22"/>
          <w:szCs w:val="22"/>
        </w:rPr>
      </w:pPr>
      <w:r>
        <w:rPr>
          <w:rFonts w:ascii="Arial" w:hAnsi="Arial" w:cs="Arial"/>
          <w:sz w:val="22"/>
          <w:szCs w:val="22"/>
        </w:rPr>
        <w:t xml:space="preserve"> </w:t>
      </w:r>
    </w:p>
    <w:p>
      <w:pPr>
        <w:pStyle w:val="49"/>
        <w:suppressAutoHyphens w:val="0"/>
        <w:ind w:left="0"/>
        <w:rPr>
          <w:rFonts w:ascii="Arial" w:hAnsi="Arial" w:cs="Arial"/>
          <w:sz w:val="22"/>
          <w:szCs w:val="22"/>
        </w:rPr>
      </w:pPr>
      <w:r>
        <w:rPr>
          <w:rFonts w:ascii="Arial" w:hAnsi="Arial" w:cs="Arial"/>
          <w:sz w:val="22"/>
          <w:szCs w:val="22"/>
        </w:rPr>
        <w:t xml:space="preserve"> </w:t>
      </w:r>
    </w:p>
    <w:p>
      <w:pPr>
        <w:pStyle w:val="49"/>
        <w:suppressAutoHyphens w:val="0"/>
        <w:ind w:left="0"/>
        <w:rPr>
          <w:rFonts w:ascii="Arial" w:hAnsi="Arial" w:cs="Arial"/>
          <w:sz w:val="22"/>
          <w:szCs w:val="22"/>
        </w:rPr>
      </w:pPr>
    </w:p>
    <w:p>
      <w:pPr>
        <w:pStyle w:val="49"/>
        <w:suppressAutoHyphens w:val="0"/>
        <w:ind w:left="0"/>
        <w:rPr>
          <w:rFonts w:ascii="Arial" w:hAnsi="Arial" w:cs="Arial"/>
          <w:sz w:val="22"/>
          <w:szCs w:val="22"/>
        </w:rPr>
      </w:pPr>
    </w:p>
    <w:p>
      <w:pPr>
        <w:pStyle w:val="49"/>
        <w:suppressAutoHyphens w:val="0"/>
        <w:ind w:left="0"/>
        <w:jc w:val="center"/>
        <w:rPr>
          <w:rFonts w:ascii="Arial" w:hAnsi="Arial" w:cs="Arial"/>
          <w:sz w:val="22"/>
          <w:szCs w:val="22"/>
        </w:rPr>
      </w:pPr>
      <w:r>
        <w:rPr>
          <w:rFonts w:ascii="Arial" w:hAnsi="Arial" w:cs="Arial"/>
          <w:sz w:val="22"/>
          <w:szCs w:val="22"/>
        </w:rPr>
        <w:t>________________________________________</w:t>
      </w:r>
    </w:p>
    <w:p>
      <w:pPr>
        <w:pStyle w:val="49"/>
        <w:suppressAutoHyphens w:val="0"/>
        <w:ind w:left="0"/>
        <w:jc w:val="center"/>
        <w:rPr>
          <w:rFonts w:ascii="Arial" w:hAnsi="Arial" w:cs="Arial"/>
          <w:sz w:val="22"/>
          <w:szCs w:val="22"/>
        </w:rPr>
      </w:pPr>
      <w:r>
        <w:rPr>
          <w:rFonts w:ascii="Arial" w:hAnsi="Arial" w:cs="Arial"/>
          <w:sz w:val="22"/>
          <w:szCs w:val="22"/>
        </w:rPr>
        <w:t>Assinatura do representante legal da empresa</w:t>
      </w: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b/>
          <w:i/>
          <w:sz w:val="22"/>
          <w:szCs w:val="22"/>
        </w:rPr>
      </w:pPr>
      <w:r>
        <w:rPr>
          <w:rFonts w:ascii="Arial" w:hAnsi="Arial" w:cs="Arial"/>
          <w:b/>
          <w:i/>
          <w:sz w:val="22"/>
          <w:szCs w:val="22"/>
        </w:rPr>
        <w:t>Obs: Esta Declaração deverá ser elaborada e assinada pelo representante legal.</w:t>
      </w:r>
    </w:p>
    <w:p>
      <w:pPr>
        <w:pStyle w:val="49"/>
        <w:suppressAutoHyphens w:val="0"/>
        <w:ind w:left="0"/>
        <w:jc w:val="center"/>
        <w:rPr>
          <w:rFonts w:ascii="Arial" w:hAnsi="Arial" w:cs="Arial"/>
          <w:b/>
          <w:sz w:val="22"/>
          <w:szCs w:val="22"/>
        </w:rPr>
      </w:pPr>
    </w:p>
    <w:p>
      <w:pPr>
        <w:pStyle w:val="49"/>
        <w:suppressAutoHyphens w:val="0"/>
        <w:ind w:left="0"/>
        <w:jc w:val="center"/>
        <w:rPr>
          <w:rFonts w:ascii="Arial" w:hAnsi="Arial" w:cs="Arial"/>
          <w:b/>
          <w:color w:val="FF0000"/>
          <w:sz w:val="22"/>
          <w:szCs w:val="22"/>
          <w:u w:val="single"/>
        </w:rPr>
      </w:pPr>
      <w:r>
        <w:rPr>
          <w:rFonts w:ascii="Arial" w:hAnsi="Arial" w:cs="Arial"/>
          <w:b/>
          <w:color w:val="FF0000"/>
          <w:sz w:val="22"/>
          <w:szCs w:val="22"/>
          <w:u w:val="single"/>
        </w:rPr>
        <w:t>Anexar ao Envelope nº 1 – Documentação</w:t>
      </w:r>
    </w:p>
    <w:p>
      <w:pPr>
        <w:pStyle w:val="49"/>
        <w:suppressAutoHyphens w:val="0"/>
        <w:ind w:left="0"/>
        <w:jc w:val="center"/>
        <w:rPr>
          <w:rFonts w:ascii="Arial" w:hAnsi="Arial" w:cs="Arial"/>
          <w:b/>
          <w:color w:val="FF0000"/>
          <w:sz w:val="22"/>
          <w:szCs w:val="22"/>
          <w:u w:val="single"/>
        </w:rPr>
      </w:pPr>
    </w:p>
    <w:p>
      <w:pPr>
        <w:pStyle w:val="49"/>
        <w:suppressAutoHyphens w:val="0"/>
        <w:ind w:left="0"/>
        <w:jc w:val="center"/>
        <w:rPr>
          <w:rFonts w:ascii="Arial" w:hAnsi="Arial" w:cs="Arial"/>
          <w:b/>
          <w:color w:val="FF0000"/>
          <w:sz w:val="22"/>
          <w:szCs w:val="22"/>
          <w:u w:val="single"/>
        </w:rPr>
      </w:pPr>
    </w:p>
    <w:p>
      <w:pPr>
        <w:tabs>
          <w:tab w:val="left" w:pos="1065"/>
        </w:tabs>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pStyle w:val="198"/>
        <w:rPr>
          <w:rFonts w:hint="default"/>
          <w:lang w:val="pt-BR"/>
        </w:rPr>
      </w:pPr>
      <w:r>
        <w:t>ANEXO XIii – MODELO DE DECLARAÇÃO DE CONHECIMENTO DO CRONOGRAMA FINANCEIRO D</w:t>
      </w:r>
      <w:r>
        <w:rPr>
          <w:rFonts w:hint="default"/>
          <w:lang w:val="pt-BR"/>
        </w:rPr>
        <w:t>o projeto</w:t>
      </w:r>
    </w:p>
    <w:p>
      <w:pPr>
        <w:spacing w:line="276" w:lineRule="auto"/>
        <w:jc w:val="both"/>
        <w:rPr>
          <w:rFonts w:ascii="Arial" w:hAnsi="Arial" w:cs="Arial"/>
          <w:sz w:val="22"/>
          <w:szCs w:val="22"/>
        </w:rPr>
      </w:pPr>
    </w:p>
    <w:p>
      <w:pPr>
        <w:spacing w:line="276" w:lineRule="auto"/>
        <w:jc w:val="both"/>
        <w:rPr>
          <w:rFonts w:hint="default" w:ascii="Arial" w:hAnsi="Arial" w:cs="Arial"/>
          <w:sz w:val="22"/>
          <w:szCs w:val="22"/>
          <w:lang w:val="pt-BR"/>
        </w:rPr>
      </w:pPr>
      <w:r>
        <w:rPr>
          <w:rFonts w:hint="default" w:ascii="Arial" w:hAnsi="Arial" w:cs="Arial"/>
          <w:sz w:val="22"/>
          <w:szCs w:val="22"/>
          <w:lang w:val="pt-BR"/>
        </w:rPr>
        <w:t>À</w:t>
      </w:r>
    </w:p>
    <w:p>
      <w:pPr>
        <w:spacing w:line="276" w:lineRule="auto"/>
        <w:jc w:val="both"/>
        <w:rPr>
          <w:rFonts w:ascii="Arial" w:hAnsi="Arial" w:cs="Arial"/>
          <w:sz w:val="22"/>
          <w:szCs w:val="22"/>
        </w:rPr>
      </w:pPr>
      <w:r>
        <w:rPr>
          <w:rFonts w:hint="default" w:ascii="Arial" w:hAnsi="Arial" w:cs="Arial"/>
          <w:sz w:val="22"/>
          <w:szCs w:val="22"/>
          <w:lang w:val="pt-BR"/>
        </w:rPr>
        <w:t xml:space="preserve">PREFEITURA MUNICIPAL DE PRIMAVERA DO LESTE - MT. </w:t>
      </w:r>
      <w:r>
        <w:rPr>
          <w:rFonts w:ascii="Arial" w:hAnsi="Arial" w:cs="Arial"/>
          <w:sz w:val="22"/>
          <w:szCs w:val="22"/>
        </w:rPr>
        <w:t xml:space="preserve"> </w:t>
      </w:r>
    </w:p>
    <w:p>
      <w:pPr>
        <w:spacing w:line="276" w:lineRule="auto"/>
        <w:jc w:val="both"/>
        <w:rPr>
          <w:rFonts w:ascii="Arial" w:hAnsi="Arial" w:cs="Arial"/>
          <w:sz w:val="22"/>
          <w:szCs w:val="22"/>
        </w:rPr>
      </w:pPr>
      <w:r>
        <w:rPr>
          <w:rFonts w:ascii="Arial" w:hAnsi="Arial" w:cs="Arial"/>
          <w:sz w:val="22"/>
          <w:szCs w:val="22"/>
        </w:rPr>
        <w:t>Ref.: Licitação na modalidade Tomada de Preços nº</w:t>
      </w:r>
      <w:r>
        <w:rPr>
          <w:rFonts w:ascii="Arial" w:hAnsi="Arial" w:cs="Arial"/>
          <w:sz w:val="22"/>
          <w:szCs w:val="22"/>
          <w:lang w:val="pt-BR"/>
        </w:rPr>
        <w:t>005/2023</w:t>
      </w:r>
      <w:r>
        <w:rPr>
          <w:rFonts w:ascii="Arial" w:hAnsi="Arial" w:cs="Arial"/>
          <w:sz w:val="22"/>
          <w:szCs w:val="22"/>
        </w:rPr>
        <w:t>.</w:t>
      </w:r>
    </w:p>
    <w:p>
      <w:pPr>
        <w:spacing w:line="276" w:lineRule="auto"/>
        <w:jc w:val="both"/>
        <w:rPr>
          <w:rFonts w:ascii="Arial" w:hAnsi="Arial" w:cs="Arial"/>
          <w:sz w:val="22"/>
          <w:szCs w:val="22"/>
        </w:rPr>
      </w:pPr>
    </w:p>
    <w:p>
      <w:pPr>
        <w:spacing w:line="276" w:lineRule="auto"/>
        <w:jc w:val="both"/>
        <w:rPr>
          <w:rFonts w:ascii="Arial" w:hAnsi="Arial" w:cs="Arial"/>
          <w:sz w:val="22"/>
          <w:szCs w:val="22"/>
        </w:rPr>
      </w:pPr>
    </w:p>
    <w:p>
      <w:pPr>
        <w:spacing w:line="276" w:lineRule="auto"/>
        <w:jc w:val="both"/>
        <w:rPr>
          <w:rFonts w:ascii="Arial" w:hAnsi="Arial" w:cs="Arial"/>
          <w:sz w:val="22"/>
          <w:szCs w:val="22"/>
        </w:rPr>
      </w:pPr>
    </w:p>
    <w:p>
      <w:pPr>
        <w:spacing w:line="276" w:lineRule="auto"/>
        <w:jc w:val="both"/>
        <w:rPr>
          <w:rFonts w:ascii="Arial" w:hAnsi="Arial" w:cs="Arial"/>
          <w:sz w:val="22"/>
          <w:szCs w:val="22"/>
        </w:rPr>
      </w:pPr>
    </w:p>
    <w:p>
      <w:pPr>
        <w:spacing w:after="120" w:line="360" w:lineRule="auto"/>
        <w:jc w:val="both"/>
        <w:rPr>
          <w:rFonts w:ascii="Arial" w:hAnsi="Arial" w:cs="Arial"/>
          <w:sz w:val="22"/>
          <w:szCs w:val="22"/>
        </w:rPr>
      </w:pPr>
      <w:r>
        <w:rPr>
          <w:rFonts w:ascii="Arial" w:hAnsi="Arial" w:cs="Arial"/>
          <w:sz w:val="22"/>
          <w:szCs w:val="22"/>
        </w:rPr>
        <w:t>(Nome da Empresa) -----------------------------------, CNPJ Nº ------------------------, sediada na Rua --------------------------------------, n. -----------, bairro, -----------------------, CEP---------- Município -------------------------, por seu representante legal abaixo assinado, em cumprimento ao solicitado no Edital da Tomada de Preços nº</w:t>
      </w:r>
      <w:r>
        <w:rPr>
          <w:rFonts w:ascii="Arial" w:hAnsi="Arial" w:cs="Arial"/>
          <w:sz w:val="22"/>
          <w:szCs w:val="22"/>
          <w:lang w:val="pt-BR"/>
        </w:rPr>
        <w:t>005/2023</w:t>
      </w:r>
      <w:r>
        <w:rPr>
          <w:rFonts w:ascii="Arial" w:hAnsi="Arial" w:cs="Arial"/>
          <w:sz w:val="22"/>
          <w:szCs w:val="22"/>
        </w:rPr>
        <w:t xml:space="preserve"> – Prefeitura de Primavera do Leste/MT. DECLARA, sob as penas da lei, que tem pleno conhecimento do Cronograma Financeiro de desembolso conforme medição e do prazo de execução d</w:t>
      </w:r>
      <w:r>
        <w:rPr>
          <w:rFonts w:hint="default" w:ascii="Arial" w:hAnsi="Arial" w:cs="Arial"/>
          <w:sz w:val="22"/>
          <w:szCs w:val="22"/>
          <w:lang w:val="pt-BR"/>
        </w:rPr>
        <w:t>o projeto</w:t>
      </w:r>
      <w:r>
        <w:rPr>
          <w:rFonts w:ascii="Arial" w:hAnsi="Arial" w:cs="Arial"/>
          <w:sz w:val="22"/>
          <w:szCs w:val="22"/>
        </w:rPr>
        <w:t xml:space="preserve"> de </w:t>
      </w:r>
      <w:r>
        <w:rPr>
          <w:rFonts w:hint="default" w:ascii="Arial" w:hAnsi="Arial" w:cs="Arial"/>
          <w:sz w:val="22"/>
          <w:szCs w:val="22"/>
          <w:lang w:val="pt-BR"/>
        </w:rPr>
        <w:t xml:space="preserve">60 (sessenta dias) </w:t>
      </w:r>
      <w:r>
        <w:rPr>
          <w:rFonts w:ascii="Arial" w:hAnsi="Arial" w:cs="Arial"/>
          <w:sz w:val="22"/>
          <w:szCs w:val="22"/>
        </w:rPr>
        <w:t xml:space="preserve">dias.  </w:t>
      </w:r>
    </w:p>
    <w:p>
      <w:pPr>
        <w:spacing w:after="120" w:line="360" w:lineRule="auto"/>
        <w:jc w:val="both"/>
        <w:rPr>
          <w:rFonts w:ascii="Arial" w:hAnsi="Arial" w:cs="Arial"/>
          <w:sz w:val="22"/>
          <w:szCs w:val="22"/>
        </w:rPr>
      </w:pPr>
    </w:p>
    <w:p>
      <w:pPr>
        <w:spacing w:after="120" w:line="360" w:lineRule="auto"/>
        <w:jc w:val="both"/>
        <w:rPr>
          <w:rFonts w:ascii="Arial" w:hAnsi="Arial" w:cs="Arial"/>
          <w:sz w:val="22"/>
          <w:szCs w:val="22"/>
        </w:rPr>
      </w:pPr>
    </w:p>
    <w:p>
      <w:pPr>
        <w:spacing w:after="120" w:line="360" w:lineRule="auto"/>
        <w:jc w:val="both"/>
        <w:rPr>
          <w:rFonts w:ascii="Arial" w:hAnsi="Arial" w:cs="Arial"/>
          <w:sz w:val="22"/>
          <w:szCs w:val="22"/>
        </w:rPr>
      </w:pPr>
    </w:p>
    <w:p>
      <w:pPr>
        <w:spacing w:line="276" w:lineRule="auto"/>
        <w:jc w:val="right"/>
        <w:rPr>
          <w:rFonts w:ascii="Arial" w:hAnsi="Arial" w:cs="Arial"/>
          <w:b/>
          <w:sz w:val="22"/>
          <w:szCs w:val="22"/>
        </w:rPr>
      </w:pPr>
      <w:r>
        <w:rPr>
          <w:rFonts w:ascii="Arial" w:hAnsi="Arial" w:cs="Arial"/>
          <w:sz w:val="22"/>
          <w:szCs w:val="22"/>
        </w:rPr>
        <w:t xml:space="preserve">Primavera do Leste/MT, ___ de _________ de </w:t>
      </w:r>
      <w:r>
        <w:rPr>
          <w:rFonts w:ascii="Arial" w:hAnsi="Arial" w:cs="Arial"/>
          <w:sz w:val="22"/>
          <w:szCs w:val="22"/>
          <w:lang w:val="pt-BR"/>
        </w:rPr>
        <w:t>202</w:t>
      </w:r>
      <w:r>
        <w:rPr>
          <w:rFonts w:hint="default" w:ascii="Arial" w:hAnsi="Arial" w:cs="Arial"/>
          <w:sz w:val="22"/>
          <w:szCs w:val="22"/>
          <w:lang w:val="pt-BR"/>
        </w:rPr>
        <w:t>3</w:t>
      </w:r>
      <w:r>
        <w:rPr>
          <w:rFonts w:ascii="Arial" w:hAnsi="Arial" w:cs="Arial"/>
          <w:sz w:val="22"/>
          <w:szCs w:val="22"/>
        </w:rPr>
        <w:t>.</w:t>
      </w: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p>
    <w:p>
      <w:pPr>
        <w:pStyle w:val="49"/>
        <w:suppressAutoHyphens w:val="0"/>
        <w:ind w:left="0"/>
        <w:jc w:val="center"/>
        <w:rPr>
          <w:rFonts w:ascii="Arial" w:hAnsi="Arial" w:cs="Arial"/>
          <w:sz w:val="22"/>
          <w:szCs w:val="22"/>
        </w:rPr>
      </w:pPr>
      <w:r>
        <w:rPr>
          <w:rFonts w:ascii="Arial" w:hAnsi="Arial" w:cs="Arial"/>
          <w:sz w:val="22"/>
          <w:szCs w:val="22"/>
        </w:rPr>
        <w:t>Nome e Assinatura do</w:t>
      </w:r>
    </w:p>
    <w:p>
      <w:pPr>
        <w:pStyle w:val="49"/>
        <w:suppressAutoHyphens w:val="0"/>
        <w:ind w:left="0"/>
        <w:jc w:val="center"/>
        <w:rPr>
          <w:rFonts w:ascii="Arial" w:hAnsi="Arial" w:cs="Arial"/>
          <w:sz w:val="22"/>
          <w:szCs w:val="22"/>
        </w:rPr>
      </w:pPr>
      <w:r>
        <w:rPr>
          <w:rFonts w:ascii="Arial" w:hAnsi="Arial" w:cs="Arial"/>
          <w:sz w:val="22"/>
          <w:szCs w:val="22"/>
        </w:rPr>
        <w:t>Representante Legal</w:t>
      </w:r>
    </w:p>
    <w:p>
      <w:pPr>
        <w:pStyle w:val="49"/>
        <w:suppressAutoHyphens w:val="0"/>
        <w:spacing w:before="120"/>
        <w:ind w:left="0"/>
        <w:jc w:val="center"/>
        <w:rPr>
          <w:rFonts w:ascii="Arial" w:hAnsi="Arial" w:cs="Arial"/>
          <w:b/>
          <w:sz w:val="22"/>
          <w:szCs w:val="22"/>
        </w:rPr>
      </w:pPr>
    </w:p>
    <w:p>
      <w:pPr>
        <w:pStyle w:val="49"/>
        <w:suppressAutoHyphens w:val="0"/>
        <w:spacing w:before="120"/>
        <w:ind w:left="0"/>
        <w:jc w:val="center"/>
        <w:rPr>
          <w:rFonts w:ascii="Arial" w:hAnsi="Arial" w:cs="Arial"/>
          <w:b/>
          <w:sz w:val="22"/>
          <w:szCs w:val="22"/>
        </w:rPr>
      </w:pPr>
    </w:p>
    <w:p>
      <w:pPr>
        <w:pStyle w:val="49"/>
        <w:suppressAutoHyphens w:val="0"/>
        <w:spacing w:before="120"/>
        <w:ind w:left="0"/>
        <w:jc w:val="center"/>
        <w:rPr>
          <w:rFonts w:ascii="Arial" w:hAnsi="Arial" w:cs="Arial"/>
          <w:b/>
          <w:sz w:val="22"/>
          <w:szCs w:val="22"/>
        </w:rPr>
      </w:pPr>
    </w:p>
    <w:p>
      <w:pPr>
        <w:pStyle w:val="49"/>
        <w:suppressAutoHyphens w:val="0"/>
        <w:spacing w:before="120"/>
        <w:ind w:left="0"/>
        <w:jc w:val="center"/>
        <w:rPr>
          <w:rFonts w:ascii="Arial" w:hAnsi="Arial" w:cs="Arial"/>
          <w:b/>
          <w:sz w:val="22"/>
          <w:szCs w:val="22"/>
        </w:rPr>
      </w:pPr>
    </w:p>
    <w:p>
      <w:pPr>
        <w:pStyle w:val="49"/>
        <w:suppressAutoHyphens w:val="0"/>
        <w:ind w:left="0"/>
        <w:jc w:val="center"/>
        <w:rPr>
          <w:rFonts w:ascii="Arial" w:hAnsi="Arial" w:cs="Arial"/>
          <w:b/>
          <w:sz w:val="22"/>
          <w:szCs w:val="22"/>
          <w:u w:val="single"/>
        </w:rPr>
      </w:pPr>
      <w:r>
        <w:rPr>
          <w:rFonts w:ascii="Arial" w:hAnsi="Arial" w:cs="Arial"/>
          <w:b/>
          <w:color w:val="FF0000"/>
          <w:sz w:val="22"/>
          <w:szCs w:val="22"/>
          <w:u w:val="single"/>
        </w:rPr>
        <w:t>Anexar ao Envelope Nº 01 – Documentos</w:t>
      </w:r>
    </w:p>
    <w:p>
      <w:pPr>
        <w:pStyle w:val="49"/>
        <w:suppressAutoHyphens w:val="0"/>
        <w:spacing w:before="120"/>
        <w:ind w:left="0"/>
        <w:jc w:val="center"/>
        <w:rPr>
          <w:rFonts w:ascii="Arial" w:hAnsi="Arial" w:cs="Arial"/>
          <w:b/>
          <w:sz w:val="22"/>
          <w:szCs w:val="22"/>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autoSpaceDE w:val="0"/>
        <w:autoSpaceDN w:val="0"/>
        <w:adjustRightInd w:val="0"/>
        <w:spacing w:line="276" w:lineRule="auto"/>
        <w:ind w:right="27"/>
        <w:jc w:val="both"/>
        <w:rPr>
          <w:b/>
          <w:bCs/>
        </w:rPr>
      </w:pPr>
    </w:p>
    <w:p>
      <w:pPr>
        <w:pStyle w:val="146"/>
        <w:pBdr>
          <w:top w:val="single" w:color="auto" w:sz="8" w:space="0"/>
          <w:bottom w:val="single" w:color="auto" w:sz="8" w:space="1"/>
        </w:pBdr>
        <w:spacing w:line="276" w:lineRule="auto"/>
        <w:rPr>
          <w:rFonts w:ascii="Arial" w:hAnsi="Arial" w:cs="Arial"/>
          <w:szCs w:val="24"/>
        </w:rPr>
      </w:pPr>
      <w:bookmarkStart w:id="57" w:name="_Toc514666359"/>
      <w:bookmarkStart w:id="58" w:name="_Toc425774617"/>
      <w:r>
        <w:rPr>
          <w:rFonts w:ascii="Arial" w:hAnsi="Arial" w:cs="Arial"/>
          <w:szCs w:val="24"/>
        </w:rPr>
        <w:t>ANEXO XIV – MINUTA DO CONTRATO</w:t>
      </w:r>
      <w:bookmarkEnd w:id="57"/>
      <w:bookmarkEnd w:id="58"/>
    </w:p>
    <w:p>
      <w:pPr>
        <w:autoSpaceDE w:val="0"/>
        <w:autoSpaceDN w:val="0"/>
        <w:adjustRightInd w:val="0"/>
        <w:spacing w:line="276" w:lineRule="auto"/>
        <w:ind w:right="27"/>
        <w:outlineLvl w:val="0"/>
        <w:rPr>
          <w:rFonts w:ascii="Arial" w:hAnsi="Arial" w:cs="Arial"/>
          <w:b/>
          <w:bCs/>
        </w:rPr>
      </w:pPr>
    </w:p>
    <w:p>
      <w:pPr>
        <w:pStyle w:val="32"/>
        <w:spacing w:before="0" w:beforeAutospacing="0" w:after="0" w:afterAutospacing="0" w:line="276" w:lineRule="auto"/>
        <w:ind w:right="0"/>
        <w:rPr>
          <w:rFonts w:hint="default" w:ascii="Arial" w:hAnsi="Arial" w:cs="Arial"/>
          <w:b/>
          <w:bCs/>
          <w:sz w:val="22"/>
          <w:szCs w:val="22"/>
          <w:lang w:val="pt-BR"/>
        </w:rPr>
      </w:pPr>
      <w:r>
        <w:rPr>
          <w:rFonts w:ascii="Arial" w:hAnsi="Arial" w:cs="Arial"/>
          <w:b/>
          <w:bCs/>
          <w:sz w:val="22"/>
          <w:szCs w:val="22"/>
          <w:lang w:val="pt-PT"/>
        </w:rPr>
        <w:t>CONTRATO N° ____/</w:t>
      </w:r>
      <w:r>
        <w:rPr>
          <w:rFonts w:ascii="Arial" w:hAnsi="Arial" w:cs="Arial"/>
          <w:b/>
          <w:bCs/>
          <w:sz w:val="22"/>
          <w:szCs w:val="22"/>
          <w:lang w:val="pt-BR"/>
        </w:rPr>
        <w:t>202</w:t>
      </w:r>
      <w:r>
        <w:rPr>
          <w:rFonts w:hint="default" w:ascii="Arial" w:hAnsi="Arial" w:cs="Arial"/>
          <w:b/>
          <w:bCs/>
          <w:sz w:val="22"/>
          <w:szCs w:val="22"/>
          <w:lang w:val="pt-BR"/>
        </w:rPr>
        <w:t>1</w:t>
      </w:r>
    </w:p>
    <w:p>
      <w:pPr>
        <w:pStyle w:val="32"/>
        <w:spacing w:before="0" w:beforeAutospacing="0" w:after="0" w:afterAutospacing="0" w:line="276" w:lineRule="auto"/>
        <w:ind w:right="0"/>
        <w:rPr>
          <w:rFonts w:hint="default" w:ascii="Arial" w:hAnsi="Arial" w:cs="Arial"/>
          <w:b/>
          <w:bCs/>
          <w:lang w:val="pt-BR"/>
        </w:rPr>
      </w:pPr>
      <w:r>
        <w:rPr>
          <w:rFonts w:ascii="Arial" w:hAnsi="Arial" w:cs="Arial"/>
          <w:b/>
          <w:lang w:val="pt-BR"/>
        </w:rPr>
        <w:t>TOMADA DE PREÇO</w:t>
      </w:r>
      <w:r>
        <w:rPr>
          <w:rFonts w:hint="default" w:ascii="Arial" w:hAnsi="Arial" w:cs="Arial"/>
          <w:b/>
          <w:lang w:val="pt-BR"/>
        </w:rPr>
        <w:t>S</w:t>
      </w:r>
      <w:r>
        <w:rPr>
          <w:rFonts w:ascii="Arial" w:hAnsi="Arial" w:cs="Arial"/>
          <w:b/>
          <w:bCs/>
          <w:lang w:val="pt-PT"/>
        </w:rPr>
        <w:t xml:space="preserve"> Nº</w:t>
      </w:r>
      <w:r>
        <w:rPr>
          <w:rFonts w:ascii="Arial" w:hAnsi="Arial" w:cs="Arial"/>
          <w:b/>
          <w:bCs/>
          <w:lang w:val="pt-BR"/>
        </w:rPr>
        <w:t>005/2023</w:t>
      </w:r>
    </w:p>
    <w:p>
      <w:pPr>
        <w:pStyle w:val="32"/>
        <w:spacing w:before="0" w:beforeAutospacing="0" w:after="0" w:afterAutospacing="0" w:line="276" w:lineRule="auto"/>
        <w:ind w:right="0"/>
        <w:rPr>
          <w:rFonts w:ascii="Arial" w:hAnsi="Arial" w:cs="Arial"/>
          <w:b/>
          <w:lang w:val="pt-PT"/>
        </w:rPr>
      </w:pPr>
      <w:r>
        <w:rPr>
          <w:rFonts w:ascii="Arial" w:hAnsi="Arial" w:cs="Arial"/>
          <w:b/>
          <w:bCs/>
          <w:lang w:val="pt-PT"/>
        </w:rPr>
        <w:t xml:space="preserve">PROCESSO ADMINISTRATIVO N° </w:t>
      </w:r>
      <w:r>
        <w:rPr>
          <w:rFonts w:ascii="Arial" w:hAnsi="Arial" w:cs="Arial"/>
          <w:b/>
          <w:lang w:val="pt-BR"/>
        </w:rPr>
        <w:t>1058/2023</w:t>
      </w:r>
    </w:p>
    <w:p>
      <w:pPr>
        <w:pStyle w:val="32"/>
        <w:spacing w:before="0" w:beforeAutospacing="0" w:after="0" w:afterAutospacing="0" w:line="276" w:lineRule="auto"/>
        <w:ind w:right="0"/>
        <w:rPr>
          <w:rFonts w:ascii="Arial" w:hAnsi="Arial" w:cs="Arial"/>
          <w:lang w:val="pt-PT"/>
        </w:rPr>
      </w:pPr>
    </w:p>
    <w:p>
      <w:pPr>
        <w:pStyle w:val="32"/>
        <w:spacing w:before="0" w:beforeAutospacing="0" w:after="0" w:afterAutospacing="0" w:line="276" w:lineRule="auto"/>
        <w:ind w:right="0"/>
        <w:rPr>
          <w:rFonts w:ascii="Arial" w:hAnsi="Arial" w:cs="Arial"/>
          <w:lang w:val="pt-PT"/>
        </w:rPr>
      </w:pPr>
    </w:p>
    <w:p>
      <w:pPr>
        <w:pStyle w:val="32"/>
        <w:spacing w:before="0" w:beforeAutospacing="0" w:after="0" w:afterAutospacing="0" w:line="276" w:lineRule="auto"/>
        <w:ind w:right="0"/>
        <w:rPr>
          <w:rFonts w:ascii="Arial" w:hAnsi="Arial" w:cs="Arial"/>
          <w:lang w:val="pt-PT"/>
        </w:rPr>
      </w:pPr>
    </w:p>
    <w:p>
      <w:pPr>
        <w:ind w:left="2127"/>
        <w:jc w:val="both"/>
        <w:rPr>
          <w:rFonts w:ascii="Arial" w:hAnsi="Arial" w:cs="Arial"/>
          <w:b/>
          <w:bCs/>
          <w:sz w:val="20"/>
          <w:szCs w:val="20"/>
        </w:rPr>
      </w:pPr>
      <w:r>
        <w:rPr>
          <w:rFonts w:hint="default" w:ascii="Arial" w:hAnsi="Arial" w:cs="Arial"/>
          <w:b/>
          <w:sz w:val="20"/>
          <w:szCs w:val="20"/>
          <w:lang w:val="pt-BR"/>
        </w:rPr>
        <w:t>CONTRATAÇÃO DE PESSOA JURÍDICA ESPECIALIZADA NA ELABORAÇÃO DE PROJETO BÁSICO E EXECUTIVO DE UMA REDE DE DRENAGEM URBANA PARA O TRANSPORTE DE ÁGUAS PLUVIAIS DE UMA ÁREA LOCALIZADA NO CENTRO DO MUNICÍPIO (MAPA 01) PARA O DESTINO FINAL LOCALIZADO NA ÁREA DE MATA APÓS, APROXIMADAMENTE 550 METROS, O PRÉDIO QUE SE ENCONTRA INSTALADO O JORNAL O DIÁRIO (AS MARGENS DA RODOVIA FEDERAL BR 070). O TRECHO DESDE DO INICIO ATÉ O PONTO FINAL POSSUI  APROXIMADAMENTE DE 2.550 METROS DE EXTENSÃO</w:t>
      </w:r>
      <w:r>
        <w:rPr>
          <w:rFonts w:ascii="Arial" w:hAnsi="Arial" w:cs="Arial"/>
          <w:b/>
          <w:sz w:val="20"/>
          <w:szCs w:val="20"/>
        </w:rPr>
        <w:t>,</w:t>
      </w:r>
      <w:r>
        <w:rPr>
          <w:rFonts w:hint="default" w:ascii="Arial" w:hAnsi="Arial" w:cs="Arial"/>
          <w:b/>
          <w:sz w:val="20"/>
          <w:szCs w:val="20"/>
          <w:lang w:val="pt-BR"/>
        </w:rPr>
        <w:t xml:space="preserve"> </w:t>
      </w:r>
      <w:r>
        <w:rPr>
          <w:rFonts w:ascii="Arial" w:hAnsi="Arial" w:cs="Arial"/>
          <w:b/>
          <w:bCs/>
          <w:sz w:val="20"/>
          <w:szCs w:val="20"/>
        </w:rPr>
        <w:t xml:space="preserve">QUE ENTRE SI FAZEM O MUNICIPIO DE PRIMAVERA DO LESTE, ATRAVÉS DA SECRETARIA MUNICIPAL DE </w:t>
      </w:r>
      <w:r>
        <w:rPr>
          <w:rFonts w:hint="default" w:ascii="Arial" w:hAnsi="Arial" w:cs="Arial"/>
          <w:b/>
          <w:bCs/>
          <w:sz w:val="20"/>
          <w:szCs w:val="20"/>
          <w:lang w:val="pt-BR"/>
        </w:rPr>
        <w:t>INFRAESTRUTURA</w:t>
      </w:r>
      <w:r>
        <w:rPr>
          <w:rFonts w:ascii="Arial" w:hAnsi="Arial" w:cs="Arial"/>
          <w:b/>
          <w:bCs/>
          <w:sz w:val="20"/>
          <w:szCs w:val="20"/>
        </w:rPr>
        <w:t xml:space="preserve"> E A EMPRESA__________. </w:t>
      </w:r>
    </w:p>
    <w:p>
      <w:pPr>
        <w:pStyle w:val="32"/>
        <w:spacing w:before="0" w:beforeAutospacing="0" w:after="0" w:afterAutospacing="0" w:line="276" w:lineRule="auto"/>
        <w:ind w:right="0"/>
        <w:rPr>
          <w:b/>
          <w:bCs/>
          <w:sz w:val="22"/>
          <w:szCs w:val="22"/>
          <w:lang w:val="pt-BR"/>
        </w:rPr>
      </w:pPr>
    </w:p>
    <w:p>
      <w:pPr>
        <w:pStyle w:val="32"/>
        <w:spacing w:before="0" w:beforeAutospacing="0" w:after="0" w:afterAutospacing="0" w:line="276" w:lineRule="auto"/>
        <w:ind w:right="0"/>
        <w:rPr>
          <w:b/>
          <w:bCs/>
          <w:lang w:val="pt-BR"/>
        </w:rPr>
      </w:pPr>
    </w:p>
    <w:p>
      <w:pPr>
        <w:spacing w:after="120"/>
        <w:jc w:val="both"/>
        <w:rPr>
          <w:rFonts w:ascii="Arial" w:hAnsi="Arial" w:cs="Arial"/>
          <w:sz w:val="22"/>
          <w:szCs w:val="22"/>
        </w:rPr>
      </w:pPr>
      <w:r>
        <w:rPr>
          <w:rFonts w:ascii="Arial" w:hAnsi="Arial" w:cs="Arial"/>
          <w:sz w:val="22"/>
          <w:szCs w:val="22"/>
        </w:rPr>
        <w:t xml:space="preserve">Pelo presente instrumento particular e na melhor forma de direito, </w:t>
      </w:r>
      <w:r>
        <w:rPr>
          <w:rFonts w:ascii="Arial" w:hAnsi="Arial" w:cs="Arial"/>
          <w:b/>
          <w:sz w:val="22"/>
          <w:szCs w:val="22"/>
        </w:rPr>
        <w:t>O MUNICÍPIO DE PRIMAVERA DO LESTE - MT</w:t>
      </w:r>
      <w:r>
        <w:rPr>
          <w:rFonts w:ascii="Arial" w:hAnsi="Arial" w:cs="Arial"/>
          <w:sz w:val="22"/>
          <w:szCs w:val="22"/>
        </w:rPr>
        <w:t xml:space="preserve">, com sede à Rua Maringá nº 444, Centro, nesta Cidade, inscrita CNPJ/MF nº 01.974.088/0001-05, por intermédio da Secretaria Municipal de </w:t>
      </w:r>
      <w:r>
        <w:rPr>
          <w:rFonts w:hint="default" w:ascii="Arial" w:hAnsi="Arial" w:cs="Arial"/>
          <w:sz w:val="22"/>
          <w:szCs w:val="22"/>
          <w:lang w:val="pt-BR"/>
        </w:rPr>
        <w:t>Infraestrutura</w:t>
      </w:r>
      <w:r>
        <w:rPr>
          <w:rFonts w:ascii="Arial" w:hAnsi="Arial" w:cs="Arial"/>
          <w:sz w:val="22"/>
          <w:szCs w:val="22"/>
        </w:rPr>
        <w:t xml:space="preserve">, representada pelo Prefeito Municipal Sr. ______________, (qualificação), doravante denominado, </w:t>
      </w:r>
      <w:r>
        <w:rPr>
          <w:rFonts w:ascii="Arial" w:hAnsi="Arial" w:cs="Arial"/>
          <w:b/>
          <w:sz w:val="22"/>
          <w:szCs w:val="22"/>
        </w:rPr>
        <w:t>CONTRATANTE</w:t>
      </w:r>
      <w:r>
        <w:rPr>
          <w:rFonts w:ascii="Arial" w:hAnsi="Arial" w:cs="Arial"/>
          <w:sz w:val="22"/>
          <w:szCs w:val="22"/>
        </w:rPr>
        <w:t xml:space="preserve">, e, a empresa </w:t>
      </w:r>
      <w:r>
        <w:rPr>
          <w:rFonts w:ascii="Arial" w:hAnsi="Arial" w:cs="Arial"/>
          <w:b/>
          <w:sz w:val="22"/>
          <w:szCs w:val="22"/>
        </w:rPr>
        <w:t>______________</w:t>
      </w:r>
      <w:r>
        <w:rPr>
          <w:rFonts w:ascii="Arial" w:hAnsi="Arial" w:cs="Arial"/>
          <w:sz w:val="22"/>
          <w:szCs w:val="22"/>
        </w:rPr>
        <w:t xml:space="preserve">, com sede na _____________________, inscrita no CNPJ/MF sob o nº 0000000000000, representada por seu _____________ Sr. </w:t>
      </w:r>
      <w:r>
        <w:rPr>
          <w:rFonts w:ascii="Arial" w:hAnsi="Arial" w:cs="Arial"/>
          <w:b/>
          <w:sz w:val="22"/>
          <w:szCs w:val="22"/>
        </w:rPr>
        <w:t>________________</w:t>
      </w:r>
      <w:r>
        <w:rPr>
          <w:rFonts w:ascii="Arial" w:hAnsi="Arial" w:cs="Arial"/>
          <w:sz w:val="22"/>
          <w:szCs w:val="22"/>
        </w:rPr>
        <w:t xml:space="preserve">, (qualificação), que também subscreve, doravante denominada simplesmente de </w:t>
      </w:r>
      <w:r>
        <w:rPr>
          <w:rFonts w:ascii="Arial" w:hAnsi="Arial" w:cs="Arial"/>
          <w:b/>
          <w:sz w:val="22"/>
          <w:szCs w:val="22"/>
        </w:rPr>
        <w:t>CONTRATADA</w:t>
      </w:r>
      <w:r>
        <w:rPr>
          <w:rFonts w:ascii="Arial" w:hAnsi="Arial" w:cs="Arial"/>
          <w:sz w:val="22"/>
          <w:szCs w:val="22"/>
        </w:rPr>
        <w:t xml:space="preserve">,  tendo em vista o que consta no Processo nº </w:t>
      </w:r>
      <w:r>
        <w:rPr>
          <w:rFonts w:ascii="Arial" w:hAnsi="Arial" w:cs="Arial"/>
          <w:sz w:val="22"/>
          <w:szCs w:val="22"/>
          <w:lang w:val="pt-BR"/>
        </w:rPr>
        <w:t>1058/2023</w:t>
      </w:r>
      <w:r>
        <w:rPr>
          <w:rFonts w:ascii="Arial" w:hAnsi="Arial" w:cs="Arial"/>
          <w:sz w:val="22"/>
          <w:szCs w:val="22"/>
        </w:rPr>
        <w:t xml:space="preserve"> e em observância às disposições da Lei nº 8.666, de 21 de junho de 1993,</w:t>
      </w:r>
      <w:r>
        <w:rPr>
          <w:rFonts w:hint="default" w:ascii="Arial" w:hAnsi="Arial" w:cs="Arial"/>
          <w:sz w:val="22"/>
          <w:szCs w:val="22"/>
          <w:lang w:val="pt-BR"/>
        </w:rPr>
        <w:t xml:space="preserve"> Lei municipal 1.953/2021,</w:t>
      </w:r>
      <w:r>
        <w:rPr>
          <w:rFonts w:ascii="Arial" w:hAnsi="Arial" w:cs="Arial"/>
          <w:sz w:val="22"/>
          <w:szCs w:val="22"/>
        </w:rPr>
        <w:t xml:space="preserve"> resolvem celebrar o presente Termo de Contrato, decorrente da </w:t>
      </w:r>
      <w:r>
        <w:rPr>
          <w:rFonts w:ascii="Arial" w:hAnsi="Arial" w:cs="Arial"/>
          <w:b/>
          <w:sz w:val="22"/>
          <w:szCs w:val="22"/>
        </w:rPr>
        <w:t>Tomada de Preços nº</w:t>
      </w:r>
      <w:r>
        <w:rPr>
          <w:rFonts w:hint="default" w:ascii="Arial" w:hAnsi="Arial" w:cs="Arial"/>
          <w:b/>
          <w:sz w:val="22"/>
          <w:szCs w:val="22"/>
          <w:lang w:val="pt-BR"/>
        </w:rPr>
        <w:t xml:space="preserve"> </w:t>
      </w:r>
      <w:r>
        <w:rPr>
          <w:rFonts w:ascii="Arial" w:hAnsi="Arial" w:cs="Arial"/>
          <w:b/>
          <w:sz w:val="22"/>
          <w:szCs w:val="22"/>
          <w:lang w:val="pt-BR"/>
        </w:rPr>
        <w:t>005/2023</w:t>
      </w:r>
      <w:r>
        <w:rPr>
          <w:rFonts w:ascii="Arial" w:hAnsi="Arial" w:cs="Arial"/>
          <w:sz w:val="22"/>
          <w:szCs w:val="22"/>
        </w:rPr>
        <w:t>,  mediante as cláusulas e condições a seguir enunciadas.</w:t>
      </w:r>
    </w:p>
    <w:p>
      <w:pPr>
        <w:spacing w:after="120"/>
        <w:jc w:val="both"/>
        <w:rPr>
          <w:rFonts w:ascii="Arial" w:hAnsi="Arial" w:cs="Arial"/>
          <w:sz w:val="22"/>
          <w:szCs w:val="22"/>
        </w:rPr>
      </w:pPr>
    </w:p>
    <w:p>
      <w:pPr>
        <w:widowControl w:val="0"/>
        <w:numPr>
          <w:ilvl w:val="0"/>
          <w:numId w:val="34"/>
        </w:numPr>
        <w:tabs>
          <w:tab w:val="left" w:pos="426"/>
        </w:tabs>
        <w:spacing w:after="120"/>
        <w:ind w:right="-15"/>
        <w:jc w:val="both"/>
        <w:rPr>
          <w:rFonts w:ascii="Arial" w:hAnsi="Arial" w:cs="Arial"/>
          <w:sz w:val="22"/>
          <w:szCs w:val="22"/>
        </w:rPr>
      </w:pPr>
      <w:r>
        <w:rPr>
          <w:rFonts w:ascii="Arial" w:hAnsi="Arial" w:cs="Arial"/>
          <w:b/>
          <w:sz w:val="22"/>
          <w:szCs w:val="22"/>
        </w:rPr>
        <w:t xml:space="preserve">  CLÁUSULA PRIMEIRA – OBJETO</w:t>
      </w:r>
    </w:p>
    <w:p>
      <w:pPr>
        <w:widowControl w:val="0"/>
        <w:numPr>
          <w:ilvl w:val="1"/>
          <w:numId w:val="34"/>
        </w:numPr>
        <w:suppressAutoHyphens/>
        <w:spacing w:after="120"/>
        <w:jc w:val="both"/>
        <w:rPr>
          <w:rFonts w:ascii="Arial" w:hAnsi="Arial" w:cs="Arial"/>
          <w:color w:val="FF0000"/>
          <w:sz w:val="22"/>
          <w:szCs w:val="22"/>
        </w:rPr>
      </w:pPr>
      <w:r>
        <w:rPr>
          <w:rFonts w:ascii="Arial" w:hAnsi="Arial" w:cs="Arial"/>
          <w:color w:val="000000"/>
          <w:sz w:val="22"/>
          <w:szCs w:val="22"/>
        </w:rPr>
        <w:t xml:space="preserve">O objeto do presente instrumento é </w:t>
      </w:r>
      <w:r>
        <w:rPr>
          <w:rFonts w:ascii="Arial" w:hAnsi="Arial" w:cs="Arial"/>
          <w:sz w:val="22"/>
          <w:szCs w:val="22"/>
        </w:rPr>
        <w:t xml:space="preserve">à </w:t>
      </w:r>
      <w:r>
        <w:rPr>
          <w:rFonts w:hint="default" w:ascii="Arial" w:hAnsi="Arial" w:cs="Arial"/>
          <w:sz w:val="22"/>
          <w:szCs w:val="22"/>
          <w:lang w:val="pt-BR"/>
        </w:rPr>
        <w:t>CONTRATAÇÃO DE PESSOA JURÍDICA ESPECIALIZADA NA ELABORAÇÃO DE PROJETO BÁSICO E EXECUTIVO DE UMA REDE DE DRENAGEM URBANA PARA O TRANSPORTE DE ÁGUAS PLUVIAIS DE UMA ÁREA LOCALIZADA NO CENTRO DO MUNICÍPIO (MAPA 01) PARA O DESTINO FINAL LOCALIZADO NA ÁREA DE MATA APÓS, APROXIMADAMENTE 550 METROS, O PRÉDIO QUE SE ENCONTRA INSTALADO O JORNAL O DIÁRIO (AS MARGENS DA RODOVIA FEDERAL BR 070). O TRECHO DESDE DO INICIO ATÉ O PONTO FINAL POSSUI  APROXIMADAMENTE DE 2.550 METROS DE EXTENSÃO</w:t>
      </w:r>
      <w:r>
        <w:rPr>
          <w:rFonts w:ascii="Arial" w:hAnsi="Arial" w:cs="Arial"/>
          <w:sz w:val="22"/>
          <w:szCs w:val="22"/>
        </w:rPr>
        <w:t>, mediante o regime empreitada por preço global, conforme segue:</w:t>
      </w:r>
    </w:p>
    <w:tbl>
      <w:tblPr>
        <w:tblStyle w:val="12"/>
        <w:tblW w:w="9639" w:type="dxa"/>
        <w:tblInd w:w="5" w:type="dxa"/>
        <w:tblLayout w:type="fixed"/>
        <w:tblCellMar>
          <w:top w:w="0" w:type="dxa"/>
          <w:left w:w="0" w:type="dxa"/>
          <w:bottom w:w="0" w:type="dxa"/>
          <w:right w:w="0" w:type="dxa"/>
        </w:tblCellMar>
      </w:tblPr>
      <w:tblGrid>
        <w:gridCol w:w="426"/>
        <w:gridCol w:w="425"/>
        <w:gridCol w:w="709"/>
        <w:gridCol w:w="6520"/>
        <w:gridCol w:w="1559"/>
      </w:tblGrid>
      <w:tr>
        <w:tblPrEx>
          <w:tblCellMar>
            <w:top w:w="0" w:type="dxa"/>
            <w:left w:w="0" w:type="dxa"/>
            <w:bottom w:w="0" w:type="dxa"/>
            <w:right w:w="0" w:type="dxa"/>
          </w:tblCellMar>
        </w:tblPrEx>
        <w:trPr>
          <w:trHeight w:val="398" w:hRule="atLeast"/>
        </w:trPr>
        <w:tc>
          <w:tcPr>
            <w:tcW w:w="426"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b/>
                <w:sz w:val="20"/>
                <w:szCs w:val="20"/>
              </w:rPr>
            </w:pPr>
            <w:r>
              <w:rPr>
                <w:rFonts w:ascii="Arial" w:hAnsi="Arial" w:cs="Arial"/>
                <w:b/>
                <w:sz w:val="20"/>
                <w:szCs w:val="20"/>
              </w:rPr>
              <w:t>Item</w:t>
            </w:r>
          </w:p>
        </w:tc>
        <w:tc>
          <w:tcPr>
            <w:tcW w:w="425"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b/>
                <w:sz w:val="20"/>
                <w:szCs w:val="20"/>
              </w:rPr>
            </w:pPr>
            <w:r>
              <w:rPr>
                <w:rFonts w:ascii="Arial" w:hAnsi="Arial" w:cs="Arial"/>
                <w:b/>
                <w:sz w:val="20"/>
                <w:szCs w:val="20"/>
              </w:rPr>
              <w:t>Qtd</w:t>
            </w:r>
          </w:p>
        </w:tc>
        <w:tc>
          <w:tcPr>
            <w:tcW w:w="709"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b/>
                <w:sz w:val="20"/>
                <w:szCs w:val="20"/>
              </w:rPr>
            </w:pPr>
            <w:r>
              <w:rPr>
                <w:rFonts w:ascii="Arial" w:hAnsi="Arial" w:cs="Arial"/>
                <w:b/>
                <w:sz w:val="20"/>
                <w:szCs w:val="20"/>
              </w:rPr>
              <w:t>Und</w:t>
            </w:r>
          </w:p>
        </w:tc>
        <w:tc>
          <w:tcPr>
            <w:tcW w:w="6520"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b/>
                <w:sz w:val="20"/>
                <w:szCs w:val="20"/>
              </w:rPr>
            </w:pPr>
            <w:r>
              <w:rPr>
                <w:rFonts w:ascii="Arial" w:hAnsi="Arial" w:cs="Arial"/>
                <w:b/>
                <w:sz w:val="20"/>
                <w:szCs w:val="20"/>
              </w:rPr>
              <w:t>Descrição Resumida do Objeto</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203"/>
              <w:snapToGrid w:val="0"/>
              <w:spacing w:before="120" w:after="120"/>
              <w:jc w:val="both"/>
              <w:rPr>
                <w:rFonts w:ascii="Arial" w:hAnsi="Arial" w:cs="Arial"/>
                <w:b/>
                <w:sz w:val="20"/>
                <w:szCs w:val="20"/>
              </w:rPr>
            </w:pPr>
            <w:r>
              <w:rPr>
                <w:rFonts w:ascii="Arial" w:hAnsi="Arial" w:cs="Arial"/>
                <w:b/>
                <w:sz w:val="20"/>
                <w:szCs w:val="20"/>
              </w:rPr>
              <w:t>Valor   R$</w:t>
            </w:r>
          </w:p>
        </w:tc>
      </w:tr>
      <w:tr>
        <w:tblPrEx>
          <w:tblCellMar>
            <w:top w:w="0" w:type="dxa"/>
            <w:left w:w="0" w:type="dxa"/>
            <w:bottom w:w="0" w:type="dxa"/>
            <w:right w:w="0" w:type="dxa"/>
          </w:tblCellMar>
        </w:tblPrEx>
        <w:trPr>
          <w:trHeight w:val="866" w:hRule="atLeast"/>
        </w:trPr>
        <w:tc>
          <w:tcPr>
            <w:tcW w:w="426"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sz w:val="22"/>
                <w:szCs w:val="22"/>
              </w:rPr>
            </w:pPr>
            <w:r>
              <w:rPr>
                <w:rFonts w:ascii="Arial" w:hAnsi="Arial" w:cs="Arial"/>
                <w:sz w:val="22"/>
                <w:szCs w:val="22"/>
              </w:rPr>
              <w:t>01</w:t>
            </w:r>
          </w:p>
        </w:tc>
        <w:tc>
          <w:tcPr>
            <w:tcW w:w="425"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ascii="Arial" w:hAnsi="Arial" w:cs="Arial"/>
                <w:sz w:val="22"/>
                <w:szCs w:val="22"/>
              </w:rPr>
            </w:pPr>
            <w:r>
              <w:rPr>
                <w:rFonts w:ascii="Arial" w:hAnsi="Arial" w:cs="Arial"/>
                <w:sz w:val="22"/>
                <w:szCs w:val="22"/>
              </w:rPr>
              <w:t>01</w:t>
            </w:r>
          </w:p>
        </w:tc>
        <w:tc>
          <w:tcPr>
            <w:tcW w:w="709" w:type="dxa"/>
            <w:tcBorders>
              <w:top w:val="single" w:color="000000" w:sz="4" w:space="0"/>
              <w:left w:val="single" w:color="000000" w:sz="4" w:space="0"/>
              <w:bottom w:val="single" w:color="000000" w:sz="4" w:space="0"/>
            </w:tcBorders>
            <w:vAlign w:val="center"/>
          </w:tcPr>
          <w:p>
            <w:pPr>
              <w:pStyle w:val="203"/>
              <w:snapToGrid w:val="0"/>
              <w:spacing w:before="120" w:after="120"/>
              <w:jc w:val="both"/>
              <w:rPr>
                <w:rFonts w:hint="default" w:ascii="Arial" w:hAnsi="Arial" w:cs="Arial"/>
                <w:sz w:val="22"/>
                <w:szCs w:val="22"/>
                <w:lang w:val="pt-BR"/>
              </w:rPr>
            </w:pPr>
            <w:r>
              <w:rPr>
                <w:rFonts w:hint="default" w:ascii="Arial" w:hAnsi="Arial" w:cs="Arial"/>
                <w:sz w:val="22"/>
                <w:szCs w:val="22"/>
                <w:lang w:val="pt-BR"/>
              </w:rPr>
              <w:t>SERV</w:t>
            </w:r>
          </w:p>
        </w:tc>
        <w:tc>
          <w:tcPr>
            <w:tcW w:w="6520" w:type="dxa"/>
            <w:tcBorders>
              <w:top w:val="single" w:color="000000" w:sz="4" w:space="0"/>
              <w:left w:val="single" w:color="000000" w:sz="4" w:space="0"/>
              <w:bottom w:val="single" w:color="000000" w:sz="4" w:space="0"/>
            </w:tcBorders>
            <w:vAlign w:val="center"/>
          </w:tcPr>
          <w:p>
            <w:pPr>
              <w:autoSpaceDE w:val="0"/>
              <w:autoSpaceDN w:val="0"/>
              <w:adjustRightInd w:val="0"/>
              <w:spacing w:before="120" w:after="120"/>
              <w:jc w:val="both"/>
              <w:rPr>
                <w:rFonts w:hint="default" w:ascii="Arial" w:hAnsi="Arial" w:cs="Arial"/>
                <w:sz w:val="18"/>
                <w:szCs w:val="18"/>
                <w:lang w:val="pt-BR"/>
              </w:rPr>
            </w:pPr>
            <w:r>
              <w:rPr>
                <w:rFonts w:hint="default" w:ascii="Arial" w:hAnsi="Arial" w:cs="Arial"/>
                <w:sz w:val="18"/>
                <w:szCs w:val="18"/>
                <w:lang w:val="pt-BR"/>
              </w:rPr>
              <w:t>CONTRATAÇÃO DE PESSOA JURÍDICA ESPECIALIZADA NA ELABORAÇÃO DE PROJETO BÁSICO E EXECUTIVO DE UMA REDE DE DRENAGEM URBANA PARA O TRANSPORTE DE ÁGUAS PLUVIAIS DE UMA ÁREA LOCALIZADA NO CENTRO DO MUNICÍPIO (MAPA 01) PARA O DESTINO FINAL LOCALIZADO NA ÁREA DE MATA APÓS, APROXIMADAMENTE 550 METROS, O PRÉDIO QUE SE ENCONTRA INSTALADO O JORNAL O DIÁRIO (AS MARGENS DA RODOVIA FEDERAL BR 070). O TRECHO DESDE DO INICIO ATÉ O PONTO FINAL POSSUI  APROXIMADAMENTE DE 2.550 METROS DE EXTENSÃO</w:t>
            </w:r>
          </w:p>
        </w:tc>
        <w:tc>
          <w:tcPr>
            <w:tcW w:w="1559" w:type="dxa"/>
            <w:tcBorders>
              <w:top w:val="single" w:color="000000" w:sz="4" w:space="0"/>
              <w:left w:val="single" w:color="000000" w:sz="4" w:space="0"/>
              <w:bottom w:val="single" w:color="000000" w:sz="4" w:space="0"/>
              <w:right w:val="single" w:color="000000" w:sz="4" w:space="0"/>
            </w:tcBorders>
            <w:vAlign w:val="center"/>
          </w:tcPr>
          <w:p>
            <w:pPr>
              <w:pStyle w:val="203"/>
              <w:snapToGrid w:val="0"/>
              <w:spacing w:before="120" w:after="120"/>
              <w:jc w:val="both"/>
              <w:rPr>
                <w:rFonts w:ascii="Arial" w:hAnsi="Arial" w:cs="Arial"/>
                <w:sz w:val="22"/>
                <w:szCs w:val="22"/>
              </w:rPr>
            </w:pPr>
            <w:r>
              <w:rPr>
                <w:rFonts w:ascii="Arial" w:hAnsi="Arial" w:cs="Arial"/>
                <w:sz w:val="22"/>
                <w:szCs w:val="22"/>
              </w:rPr>
              <w:t>xxxxxx</w:t>
            </w:r>
          </w:p>
        </w:tc>
      </w:tr>
    </w:tbl>
    <w:p>
      <w:pPr>
        <w:spacing w:after="120"/>
        <w:jc w:val="both"/>
        <w:rPr>
          <w:rFonts w:ascii="Arial" w:hAnsi="Arial" w:cs="Arial"/>
          <w:sz w:val="22"/>
          <w:szCs w:val="22"/>
        </w:rPr>
      </w:pPr>
      <w:r>
        <w:rPr>
          <w:rFonts w:ascii="Arial" w:hAnsi="Arial" w:cs="Arial"/>
          <w:b/>
          <w:sz w:val="22"/>
          <w:szCs w:val="22"/>
        </w:rPr>
        <w:t>1.2.</w:t>
      </w:r>
      <w:r>
        <w:rPr>
          <w:rFonts w:ascii="Arial" w:hAnsi="Arial" w:cs="Arial"/>
          <w:sz w:val="22"/>
          <w:szCs w:val="22"/>
        </w:rPr>
        <w:t xml:space="preserve"> Caberá à contratada o fornecimento da mão de obra, e equipamentos necessários e adequados para que todos os serviços sejam desenvolvidos com qualidade</w:t>
      </w:r>
      <w:r>
        <w:rPr>
          <w:rFonts w:ascii="Arial" w:hAnsi="Arial" w:cs="Arial"/>
          <w:color w:val="000000"/>
          <w:sz w:val="22"/>
          <w:szCs w:val="22"/>
        </w:rPr>
        <w:t>;</w:t>
      </w:r>
    </w:p>
    <w:p>
      <w:pPr>
        <w:spacing w:after="120"/>
        <w:jc w:val="both"/>
        <w:rPr>
          <w:rFonts w:ascii="Arial" w:hAnsi="Arial" w:cs="Arial"/>
          <w:sz w:val="22"/>
          <w:szCs w:val="22"/>
        </w:rPr>
      </w:pPr>
      <w:r>
        <w:rPr>
          <w:rFonts w:ascii="Arial" w:hAnsi="Arial" w:cs="Arial"/>
          <w:b/>
          <w:sz w:val="22"/>
          <w:szCs w:val="22"/>
        </w:rPr>
        <w:t>1.3.</w:t>
      </w:r>
      <w:r>
        <w:rPr>
          <w:rFonts w:ascii="Arial" w:hAnsi="Arial" w:cs="Arial"/>
          <w:sz w:val="22"/>
          <w:szCs w:val="22"/>
        </w:rPr>
        <w:t xml:space="preserve"> Este Termo de Contrato vincula-se ao Instrumento Convocatório da Tomada de Preços nº </w:t>
      </w:r>
      <w:r>
        <w:rPr>
          <w:rFonts w:ascii="Arial" w:hAnsi="Arial" w:cs="Arial"/>
          <w:sz w:val="22"/>
          <w:szCs w:val="22"/>
          <w:lang w:val="pt-BR"/>
        </w:rPr>
        <w:t>005/2023</w:t>
      </w:r>
      <w:r>
        <w:rPr>
          <w:rFonts w:ascii="Arial" w:hAnsi="Arial" w:cs="Arial"/>
          <w:sz w:val="22"/>
          <w:szCs w:val="22"/>
        </w:rPr>
        <w:t xml:space="preserve"> e seus anexos, identificado no preâmbulo acima, e à proposta vencedora, independentemente de transcrição.</w:t>
      </w:r>
    </w:p>
    <w:p>
      <w:pPr>
        <w:keepNext w:val="0"/>
        <w:keepLines w:val="0"/>
        <w:pageBreakBefore w:val="0"/>
        <w:widowControl/>
        <w:tabs>
          <w:tab w:val="left" w:pos="851"/>
        </w:tabs>
        <w:kinsoku/>
        <w:wordWrap/>
        <w:overflowPunct/>
        <w:topLinePunct w:val="0"/>
        <w:autoSpaceDE/>
        <w:autoSpaceDN/>
        <w:bidi w:val="0"/>
        <w:adjustRightInd/>
        <w:snapToGrid/>
        <w:ind w:left="425"/>
        <w:jc w:val="both"/>
        <w:textAlignment w:val="auto"/>
        <w:rPr>
          <w:rFonts w:ascii="Arial" w:hAnsi="Arial" w:cs="Arial"/>
          <w:sz w:val="22"/>
          <w:szCs w:val="22"/>
        </w:rPr>
      </w:pPr>
    </w:p>
    <w:p>
      <w:pPr>
        <w:widowControl w:val="0"/>
        <w:numPr>
          <w:ilvl w:val="0"/>
          <w:numId w:val="34"/>
        </w:numPr>
        <w:spacing w:after="120"/>
        <w:jc w:val="both"/>
        <w:rPr>
          <w:rFonts w:ascii="Arial" w:hAnsi="Arial" w:cs="Arial"/>
          <w:bCs/>
          <w:iCs/>
          <w:sz w:val="22"/>
          <w:szCs w:val="22"/>
        </w:rPr>
      </w:pPr>
      <w:r>
        <w:rPr>
          <w:rFonts w:ascii="Arial" w:hAnsi="Arial" w:cs="Arial"/>
          <w:b/>
          <w:sz w:val="22"/>
          <w:szCs w:val="22"/>
        </w:rPr>
        <w:t>CLÁUSULA SEGUNDA – VIGÊNCIA</w:t>
      </w:r>
    </w:p>
    <w:p>
      <w:pPr>
        <w:widowControl w:val="0"/>
        <w:numPr>
          <w:ilvl w:val="1"/>
          <w:numId w:val="34"/>
        </w:numPr>
        <w:spacing w:after="120"/>
        <w:jc w:val="both"/>
        <w:rPr>
          <w:rFonts w:ascii="Arial" w:hAnsi="Arial" w:cs="Arial"/>
          <w:sz w:val="22"/>
          <w:szCs w:val="22"/>
        </w:rPr>
      </w:pPr>
      <w:r>
        <w:rPr>
          <w:rFonts w:ascii="Arial" w:hAnsi="Arial" w:cs="Arial"/>
          <w:sz w:val="22"/>
          <w:szCs w:val="22"/>
        </w:rPr>
        <w:t xml:space="preserve">O objeto deste Contrato deverá ser executado no prazo máximo </w:t>
      </w:r>
      <w:r>
        <w:rPr>
          <w:rFonts w:hint="default" w:ascii="Arial" w:hAnsi="Arial"/>
          <w:sz w:val="22"/>
          <w:szCs w:val="22"/>
          <w:lang w:val="pt-BR"/>
        </w:rPr>
        <w:t xml:space="preserve">60 (sessenta) </w:t>
      </w:r>
      <w:r>
        <w:rPr>
          <w:rFonts w:ascii="Arial" w:hAnsi="Arial" w:cs="Arial"/>
          <w:sz w:val="22"/>
          <w:szCs w:val="22"/>
        </w:rPr>
        <w:t xml:space="preserve"> dias,</w:t>
      </w:r>
      <w:r>
        <w:rPr>
          <w:rFonts w:ascii="Arial" w:hAnsi="Arial" w:cs="Arial"/>
          <w:color w:val="FF0000"/>
          <w:sz w:val="22"/>
          <w:szCs w:val="22"/>
        </w:rPr>
        <w:t xml:space="preserve"> </w:t>
      </w:r>
      <w:r>
        <w:rPr>
          <w:rFonts w:ascii="Arial" w:hAnsi="Arial" w:cs="Arial"/>
          <w:sz w:val="22"/>
          <w:szCs w:val="22"/>
        </w:rPr>
        <w:t>iniciando a contagem na data da expedição da Ordem Inicial de Serviços e de acordo com a proposta da CONTRATADA.</w:t>
      </w:r>
    </w:p>
    <w:p>
      <w:pPr>
        <w:spacing w:after="120"/>
        <w:ind w:left="425"/>
        <w:jc w:val="both"/>
        <w:rPr>
          <w:rFonts w:ascii="Arial" w:hAnsi="Arial" w:cs="Arial"/>
          <w:sz w:val="22"/>
          <w:szCs w:val="22"/>
        </w:rPr>
      </w:pPr>
      <w:r>
        <w:rPr>
          <w:rFonts w:ascii="Arial" w:hAnsi="Arial" w:cs="Arial"/>
          <w:b/>
          <w:sz w:val="22"/>
          <w:szCs w:val="22"/>
        </w:rPr>
        <w:t>2.1.1.</w:t>
      </w:r>
      <w:r>
        <w:rPr>
          <w:rFonts w:ascii="Arial" w:hAnsi="Arial" w:cs="Arial"/>
          <w:sz w:val="22"/>
          <w:szCs w:val="22"/>
        </w:rPr>
        <w:t xml:space="preserve"> O prazo acima estabelecido poderá ser prorrogado nos termos do art. 57, §§ 1º e 2º da Lei nº 8.666/93.</w:t>
      </w:r>
    </w:p>
    <w:p>
      <w:pPr>
        <w:widowControl w:val="0"/>
        <w:numPr>
          <w:ilvl w:val="1"/>
          <w:numId w:val="34"/>
        </w:numPr>
        <w:spacing w:after="120"/>
        <w:jc w:val="both"/>
        <w:rPr>
          <w:rFonts w:ascii="Arial" w:hAnsi="Arial" w:cs="Arial"/>
          <w:sz w:val="22"/>
          <w:szCs w:val="22"/>
        </w:rPr>
      </w:pPr>
      <w:r>
        <w:rPr>
          <w:rFonts w:ascii="Arial" w:hAnsi="Arial" w:cs="Arial"/>
          <w:sz w:val="22"/>
          <w:szCs w:val="22"/>
        </w:rPr>
        <w:t xml:space="preserve"> A inobservância do prazo estipulado neste Contrato ocasionará a aplicação das penalidades previstas neste instrumento.</w:t>
      </w:r>
    </w:p>
    <w:p>
      <w:pPr>
        <w:widowControl w:val="0"/>
        <w:numPr>
          <w:ilvl w:val="1"/>
          <w:numId w:val="34"/>
        </w:numPr>
        <w:spacing w:after="120"/>
        <w:jc w:val="both"/>
        <w:rPr>
          <w:rFonts w:ascii="Arial" w:hAnsi="Arial" w:cs="Arial"/>
          <w:sz w:val="22"/>
          <w:szCs w:val="22"/>
        </w:rPr>
      </w:pPr>
      <w:r>
        <w:rPr>
          <w:rFonts w:ascii="Arial" w:hAnsi="Arial" w:cs="Arial"/>
          <w:sz w:val="22"/>
          <w:szCs w:val="22"/>
        </w:rPr>
        <w:t xml:space="preserve">O presente contrato terá vigência pelo prazo de </w:t>
      </w:r>
      <w:r>
        <w:rPr>
          <w:rFonts w:hint="default" w:ascii="Arial" w:hAnsi="Arial" w:cs="Arial"/>
          <w:sz w:val="22"/>
          <w:szCs w:val="22"/>
          <w:lang w:val="pt-BR"/>
        </w:rPr>
        <w:t xml:space="preserve">150 </w:t>
      </w:r>
      <w:r>
        <w:rPr>
          <w:rFonts w:ascii="Arial" w:hAnsi="Arial" w:cs="Arial"/>
          <w:sz w:val="22"/>
          <w:szCs w:val="22"/>
        </w:rPr>
        <w:t>(</w:t>
      </w:r>
      <w:r>
        <w:rPr>
          <w:rFonts w:hint="default" w:ascii="Arial" w:hAnsi="Arial" w:cs="Arial"/>
          <w:sz w:val="22"/>
          <w:szCs w:val="22"/>
          <w:lang w:val="pt-BR"/>
        </w:rPr>
        <w:t>cento e cinquenta</w:t>
      </w:r>
      <w:r>
        <w:rPr>
          <w:rFonts w:ascii="Arial" w:hAnsi="Arial" w:cs="Arial"/>
          <w:sz w:val="22"/>
          <w:szCs w:val="22"/>
        </w:rPr>
        <w:t>) dias, podendo ser rescindido a qualquer momento, caso ocorram ofensas a Legislação em vigor, ou por conveniência da Administração.</w:t>
      </w:r>
    </w:p>
    <w:p>
      <w:pPr>
        <w:widowControl w:val="0"/>
        <w:numPr>
          <w:ilvl w:val="1"/>
          <w:numId w:val="34"/>
        </w:numPr>
        <w:spacing w:after="120"/>
        <w:jc w:val="both"/>
        <w:rPr>
          <w:rFonts w:ascii="Arial" w:hAnsi="Arial" w:cs="Arial"/>
          <w:sz w:val="22"/>
          <w:szCs w:val="22"/>
        </w:rPr>
      </w:pPr>
      <w:r>
        <w:rPr>
          <w:rFonts w:ascii="Arial" w:hAnsi="Arial" w:cs="Arial"/>
          <w:sz w:val="22"/>
          <w:szCs w:val="22"/>
        </w:rPr>
        <w:t>A prorrogação dos prazos de execução e vigência do contrato será precedida da correspondente adequação do cronograma financeiro, bem como de justificativa e autorização da autoridade competente para a celebração do ajuste, devendo ser formalizada nos autos do processo administrativo.</w:t>
      </w:r>
    </w:p>
    <w:p>
      <w:pPr>
        <w:keepNext w:val="0"/>
        <w:keepLines w:val="0"/>
        <w:pageBreakBefore w:val="0"/>
        <w:widowControl/>
        <w:kinsoku/>
        <w:wordWrap/>
        <w:overflowPunct/>
        <w:topLinePunct w:val="0"/>
        <w:autoSpaceDE/>
        <w:autoSpaceDN/>
        <w:bidi w:val="0"/>
        <w:adjustRightInd/>
        <w:snapToGrid/>
        <w:ind w:left="425"/>
        <w:jc w:val="both"/>
        <w:textAlignment w:val="auto"/>
        <w:rPr>
          <w:rFonts w:ascii="Arial" w:hAnsi="Arial" w:cs="Arial"/>
          <w:sz w:val="22"/>
          <w:szCs w:val="22"/>
        </w:rPr>
      </w:pPr>
    </w:p>
    <w:p>
      <w:pPr>
        <w:widowControl w:val="0"/>
        <w:numPr>
          <w:ilvl w:val="0"/>
          <w:numId w:val="34"/>
        </w:numPr>
        <w:spacing w:after="120"/>
        <w:jc w:val="both"/>
        <w:rPr>
          <w:rFonts w:ascii="Arial" w:hAnsi="Arial" w:cs="Arial"/>
          <w:b/>
          <w:bCs/>
          <w:sz w:val="22"/>
          <w:szCs w:val="22"/>
        </w:rPr>
      </w:pPr>
      <w:r>
        <w:rPr>
          <w:rFonts w:ascii="Arial" w:hAnsi="Arial" w:cs="Arial"/>
          <w:b/>
          <w:sz w:val="22"/>
          <w:szCs w:val="22"/>
        </w:rPr>
        <w:t>CLÁUSULA TERCEIRA – DO VALOR DO CONTRATO</w:t>
      </w:r>
    </w:p>
    <w:p>
      <w:pPr>
        <w:widowControl w:val="0"/>
        <w:numPr>
          <w:ilvl w:val="1"/>
          <w:numId w:val="34"/>
        </w:numPr>
        <w:spacing w:after="120"/>
        <w:jc w:val="both"/>
        <w:rPr>
          <w:rFonts w:ascii="Arial" w:hAnsi="Arial" w:cs="Arial"/>
          <w:sz w:val="22"/>
          <w:szCs w:val="22"/>
        </w:rPr>
      </w:pPr>
      <w:r>
        <w:rPr>
          <w:rFonts w:ascii="Arial" w:hAnsi="Arial" w:cs="Arial"/>
          <w:sz w:val="22"/>
          <w:szCs w:val="22"/>
        </w:rPr>
        <w:t>O valor total da contratação é de R$ .......... (.....)</w:t>
      </w:r>
    </w:p>
    <w:p>
      <w:pPr>
        <w:widowControl w:val="0"/>
        <w:numPr>
          <w:ilvl w:val="1"/>
          <w:numId w:val="34"/>
        </w:numPr>
        <w:spacing w:after="120"/>
        <w:jc w:val="both"/>
        <w:rPr>
          <w:rFonts w:ascii="Arial" w:hAnsi="Arial" w:cs="Arial"/>
          <w:sz w:val="22"/>
          <w:szCs w:val="22"/>
        </w:rPr>
      </w:pPr>
      <w:r>
        <w:rPr>
          <w:rFonts w:ascii="Arial" w:hAnsi="Arial" w:cs="Arial"/>
          <w:sz w:val="22"/>
          <w:szCs w:val="22"/>
        </w:rPr>
        <w:t>No valor acima estão incluídas todas as despesas ordinárias diretas e indiretas decorrentes da execução do objeto, inclusive tributos e/ou impostos, encargos sociais, trabalhistas, previdenciários, fiscais e comerciais incidentes, bem como taxas de licenciamento, administração, frete, seguro e outros necessários ao cumprimento integral do objeto da contratação.</w:t>
      </w:r>
    </w:p>
    <w:p>
      <w:pPr>
        <w:pStyle w:val="24"/>
        <w:keepNext w:val="0"/>
        <w:keepLines w:val="0"/>
        <w:pageBreakBefore w:val="0"/>
        <w:widowControl w:val="0"/>
        <w:numPr>
          <w:ilvl w:val="1"/>
          <w:numId w:val="34"/>
        </w:numPr>
        <w:tabs>
          <w:tab w:val="left" w:pos="567"/>
        </w:tabs>
        <w:kinsoku/>
        <w:wordWrap/>
        <w:overflowPunct/>
        <w:topLinePunct w:val="0"/>
        <w:autoSpaceDE/>
        <w:autoSpaceDN/>
        <w:bidi w:val="0"/>
        <w:adjustRightInd/>
        <w:snapToGrid/>
        <w:spacing w:beforeAutospacing="0" w:after="0" w:afterAutospacing="0"/>
        <w:jc w:val="both"/>
        <w:textAlignment w:val="auto"/>
        <w:rPr>
          <w:rFonts w:ascii="Arial" w:hAnsi="Arial" w:cs="Arial"/>
          <w:sz w:val="22"/>
          <w:szCs w:val="22"/>
        </w:rPr>
      </w:pPr>
      <w:r>
        <w:rPr>
          <w:rFonts w:ascii="Arial" w:hAnsi="Arial" w:cs="Arial"/>
          <w:sz w:val="22"/>
          <w:szCs w:val="22"/>
        </w:rPr>
        <w:t>O valor do contrato será fixo e irreajustável, porém poderá ser corrigido anualmente mediante requerimento da contratada, após o interregno mínimo de um ano, contado a partir da data limite para a apresentação da proposta, pela variação do índice INCC (Índice Nacional de Custos da Construção), ou outro que vier a substituí-lo, e afetará exclusivamente as etapas/parcelas do empreendimento cujo atraso não decorra de culpa da contratada. Em caso de culpa, a correção será vedada, obrigando o particular contratado a arcar com os ônus decorrentes do atraso.</w:t>
      </w:r>
    </w:p>
    <w:p>
      <w:pPr>
        <w:pStyle w:val="24"/>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p>
    <w:p>
      <w:pPr>
        <w:widowControl w:val="0"/>
        <w:numPr>
          <w:ilvl w:val="0"/>
          <w:numId w:val="34"/>
        </w:numPr>
        <w:spacing w:after="120"/>
        <w:jc w:val="both"/>
      </w:pPr>
      <w:r>
        <w:rPr>
          <w:rFonts w:ascii="Arial" w:hAnsi="Arial" w:cs="Arial"/>
          <w:b/>
          <w:sz w:val="22"/>
          <w:szCs w:val="22"/>
        </w:rPr>
        <w:t>CLÁUSULA QUARTA – DOTAÇÃO ORÇAMENTÁRIA</w:t>
      </w:r>
    </w:p>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hint="default"/>
          <w:highlight w:val="none"/>
          <w:lang w:val="pt-BR"/>
        </w:rPr>
      </w:pPr>
      <w:r>
        <w:rPr>
          <w:highlight w:val="none"/>
        </w:rPr>
        <w:t xml:space="preserve">As despesas decorrentes da contratação, objeto desta Licitação, correrão no orçamento da Prefeitura Municipal de Primavera do Leste, na dotação da SECRETARIA MUNICIPAL DE </w:t>
      </w:r>
      <w:r>
        <w:rPr>
          <w:rFonts w:hint="default"/>
          <w:highlight w:val="none"/>
          <w:lang w:val="pt-BR"/>
        </w:rPr>
        <w:t>INFRAESTRUTURA</w:t>
      </w:r>
      <w:r>
        <w:rPr>
          <w:highlight w:val="none"/>
        </w:rPr>
        <w:t>,</w:t>
      </w:r>
      <w:r>
        <w:rPr>
          <w:rFonts w:hint="default"/>
          <w:highlight w:val="none"/>
          <w:lang w:val="pt-BR"/>
        </w:rPr>
        <w:t xml:space="preserve"> a seguir:</w:t>
      </w:r>
    </w:p>
    <w:p>
      <w:pPr>
        <w:pStyle w:val="203"/>
        <w:keepNext w:val="0"/>
        <w:keepLines w:val="0"/>
        <w:pageBreakBefore w:val="0"/>
        <w:kinsoku/>
        <w:wordWrap/>
        <w:overflowPunct/>
        <w:topLinePunct w:val="0"/>
        <w:autoSpaceDE/>
        <w:bidi w:val="0"/>
        <w:adjustRightInd/>
        <w:snapToGrid/>
        <w:spacing w:line="360" w:lineRule="auto"/>
        <w:jc w:val="both"/>
        <w:rPr>
          <w:rFonts w:hint="default" w:ascii="Arial" w:hAnsi="Arial"/>
          <w:b/>
          <w:color w:val="auto"/>
          <w:sz w:val="24"/>
          <w:szCs w:val="24"/>
        </w:rPr>
      </w:pPr>
      <w:r>
        <w:rPr>
          <w:rFonts w:hint="default" w:ascii="Arial" w:hAnsi="Arial"/>
          <w:b/>
          <w:color w:val="auto"/>
          <w:sz w:val="24"/>
          <w:szCs w:val="24"/>
        </w:rPr>
        <w:t xml:space="preserve">Secretaria de Municipal de Infraestrutura: </w:t>
      </w:r>
    </w:p>
    <w:tbl>
      <w:tblPr>
        <w:tblStyle w:val="12"/>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70"/>
        <w:gridCol w:w="2155"/>
        <w:gridCol w:w="43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4"/>
              </w:rPr>
            </w:pPr>
            <w:r>
              <w:rPr>
                <w:rFonts w:hint="default" w:ascii="Arial" w:hAnsi="Arial"/>
                <w:b/>
                <w:color w:val="auto"/>
                <w:sz w:val="18"/>
                <w:szCs w:val="24"/>
              </w:rPr>
              <w:t>Und. Orçamentária</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r>
              <w:rPr>
                <w:rFonts w:hint="default" w:ascii="Arial" w:hAnsi="Arial"/>
                <w:color w:val="auto"/>
                <w:sz w:val="18"/>
                <w:szCs w:val="24"/>
              </w:rPr>
              <w:t>09003</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r>
              <w:rPr>
                <w:rFonts w:hint="default" w:ascii="Arial" w:hAnsi="Arial"/>
                <w:color w:val="auto"/>
                <w:sz w:val="18"/>
                <w:szCs w:val="24"/>
              </w:rPr>
              <w:t>Coordenadoria de Estradas de Rodagem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4"/>
              </w:rPr>
            </w:pPr>
            <w:r>
              <w:rPr>
                <w:rFonts w:hint="default" w:ascii="Arial" w:hAnsi="Arial"/>
                <w:b/>
                <w:color w:val="auto"/>
                <w:sz w:val="18"/>
                <w:szCs w:val="24"/>
              </w:rPr>
              <w:t>Unidade executora</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r>
              <w:rPr>
                <w:rFonts w:hint="default" w:ascii="Arial" w:hAnsi="Arial"/>
                <w:color w:val="auto"/>
                <w:sz w:val="18"/>
                <w:szCs w:val="24"/>
              </w:rPr>
              <w:t>09003</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r>
              <w:rPr>
                <w:rFonts w:hint="default" w:ascii="Arial" w:hAnsi="Arial"/>
                <w:color w:val="auto"/>
                <w:sz w:val="18"/>
                <w:szCs w:val="24"/>
              </w:rPr>
              <w:t>Coordenadoria de Estradas de Rodagem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trPr>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4"/>
              </w:rPr>
            </w:pPr>
            <w:r>
              <w:rPr>
                <w:rFonts w:hint="default" w:ascii="Arial" w:hAnsi="Arial"/>
                <w:b/>
                <w:color w:val="auto"/>
                <w:sz w:val="18"/>
                <w:szCs w:val="24"/>
              </w:rPr>
              <w:t xml:space="preserve">Despesa/fonte </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22"/>
                <w:szCs w:val="24"/>
              </w:rPr>
            </w:pPr>
            <w:r>
              <w:rPr>
                <w:rFonts w:hint="default" w:ascii="Arial" w:hAnsi="Arial"/>
                <w:color w:val="auto"/>
                <w:sz w:val="16"/>
                <w:szCs w:val="24"/>
                <w:lang w:val="pt-BR"/>
              </w:rPr>
              <w:t>33</w:t>
            </w:r>
            <w:r>
              <w:rPr>
                <w:rFonts w:hint="default" w:ascii="Arial" w:hAnsi="Arial"/>
                <w:color w:val="auto"/>
                <w:sz w:val="16"/>
                <w:szCs w:val="24"/>
              </w:rPr>
              <w:t>.90.</w:t>
            </w:r>
            <w:r>
              <w:rPr>
                <w:rFonts w:hint="default" w:ascii="Arial" w:hAnsi="Arial"/>
                <w:color w:val="auto"/>
                <w:sz w:val="16"/>
                <w:szCs w:val="24"/>
                <w:lang w:val="pt-BR"/>
              </w:rPr>
              <w:t>39</w:t>
            </w:r>
            <w:r>
              <w:rPr>
                <w:rFonts w:hint="default" w:ascii="Arial" w:hAnsi="Arial"/>
                <w:color w:val="auto"/>
                <w:sz w:val="16"/>
                <w:szCs w:val="24"/>
              </w:rPr>
              <w:t xml:space="preserve">.00 - </w:t>
            </w:r>
            <w:r>
              <w:rPr>
                <w:rFonts w:hint="default" w:ascii="Arial" w:hAnsi="Arial"/>
                <w:color w:val="auto"/>
                <w:sz w:val="16"/>
                <w:szCs w:val="24"/>
                <w:lang w:val="pt-BR"/>
              </w:rPr>
              <w:t>15</w:t>
            </w:r>
            <w:r>
              <w:rPr>
                <w:rFonts w:hint="default" w:ascii="Arial" w:hAnsi="Arial"/>
                <w:color w:val="auto"/>
                <w:sz w:val="16"/>
                <w:szCs w:val="24"/>
              </w:rPr>
              <w:t>00</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r>
              <w:rPr>
                <w:rFonts w:hint="default" w:ascii="Arial" w:hAnsi="Arial"/>
                <w:color w:val="auto"/>
                <w:sz w:val="18"/>
                <w:szCs w:val="24"/>
              </w:rPr>
              <w:t>Outros Serviços de Terceiros – Pessoa Jurídica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4"/>
              </w:rPr>
            </w:pPr>
            <w:r>
              <w:rPr>
                <w:rFonts w:hint="default" w:ascii="Arial" w:hAnsi="Arial"/>
                <w:b/>
                <w:color w:val="auto"/>
                <w:sz w:val="18"/>
                <w:szCs w:val="24"/>
              </w:rPr>
              <w:t xml:space="preserve">Solicitação </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lang w:val="pt-BR"/>
              </w:rPr>
            </w:pPr>
            <w:r>
              <w:rPr>
                <w:rFonts w:hint="default" w:ascii="Arial" w:hAnsi="Arial"/>
                <w:color w:val="auto"/>
                <w:sz w:val="18"/>
                <w:szCs w:val="24"/>
                <w:lang w:val="pt-BR"/>
              </w:rPr>
              <w:t>22/2023</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0" w:hRule="atLeast"/>
        </w:trPr>
        <w:tc>
          <w:tcPr>
            <w:tcW w:w="247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b/>
                <w:color w:val="auto"/>
                <w:sz w:val="18"/>
                <w:szCs w:val="24"/>
                <w:lang w:val="pt-BR"/>
              </w:rPr>
            </w:pPr>
            <w:r>
              <w:rPr>
                <w:rFonts w:hint="default" w:ascii="Arial" w:hAnsi="Arial"/>
                <w:b/>
                <w:color w:val="auto"/>
                <w:sz w:val="18"/>
                <w:szCs w:val="24"/>
                <w:lang w:val="pt-BR"/>
              </w:rPr>
              <w:t xml:space="preserve">Ficha </w:t>
            </w:r>
          </w:p>
        </w:tc>
        <w:tc>
          <w:tcPr>
            <w:tcW w:w="2155"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lang w:val="pt-BR"/>
              </w:rPr>
            </w:pPr>
            <w:r>
              <w:rPr>
                <w:rFonts w:hint="default" w:ascii="Arial" w:hAnsi="Arial"/>
                <w:color w:val="auto"/>
                <w:sz w:val="18"/>
                <w:szCs w:val="24"/>
                <w:lang w:val="pt-BR"/>
              </w:rPr>
              <w:t>854</w:t>
            </w:r>
          </w:p>
        </w:tc>
        <w:tc>
          <w:tcPr>
            <w:tcW w:w="4390" w:type="dxa"/>
            <w:tcBorders>
              <w:top w:val="single" w:color="000000" w:sz="4" w:space="0"/>
              <w:left w:val="single" w:color="000000" w:sz="4" w:space="0"/>
              <w:bottom w:val="single" w:color="000000" w:sz="4" w:space="0"/>
              <w:right w:val="single" w:color="000000" w:sz="4" w:space="0"/>
              <w:tl2br w:val="nil"/>
              <w:tr2bl w:val="nil"/>
            </w:tcBorders>
            <w:noWrap w:val="0"/>
            <w:vAlign w:val="top"/>
          </w:tcPr>
          <w:p>
            <w:pPr>
              <w:keepNext w:val="0"/>
              <w:keepLines w:val="0"/>
              <w:pageBreakBefore w:val="0"/>
              <w:kinsoku/>
              <w:wordWrap/>
              <w:overflowPunct/>
              <w:topLinePunct w:val="0"/>
              <w:autoSpaceDE/>
              <w:bidi w:val="0"/>
              <w:adjustRightInd/>
              <w:snapToGrid/>
              <w:spacing w:after="0" w:line="360" w:lineRule="auto"/>
              <w:jc w:val="both"/>
              <w:rPr>
                <w:rFonts w:hint="default" w:ascii="Arial" w:hAnsi="Arial"/>
                <w:color w:val="auto"/>
                <w:sz w:val="18"/>
                <w:szCs w:val="24"/>
              </w:rPr>
            </w:pPr>
          </w:p>
        </w:tc>
      </w:tr>
    </w:tbl>
    <w:p>
      <w:pPr>
        <w:pStyle w:val="348"/>
        <w:keepNext w:val="0"/>
        <w:keepLines w:val="0"/>
        <w:pageBreakBefore w:val="0"/>
        <w:widowControl/>
        <w:kinsoku/>
        <w:wordWrap/>
        <w:overflowPunct/>
        <w:topLinePunct w:val="0"/>
        <w:autoSpaceDE/>
        <w:autoSpaceDN/>
        <w:bidi w:val="0"/>
        <w:adjustRightInd/>
        <w:snapToGrid/>
        <w:spacing w:before="0" w:beforeAutospacing="0" w:after="120" w:afterAutospacing="0"/>
        <w:textAlignment w:val="auto"/>
        <w:rPr>
          <w:rFonts w:hint="default"/>
          <w:highlight w:val="none"/>
          <w:lang w:val="pt-BR"/>
        </w:rPr>
      </w:pPr>
    </w:p>
    <w:p>
      <w:pPr>
        <w:pStyle w:val="32"/>
        <w:widowControl w:val="0"/>
        <w:numPr>
          <w:ilvl w:val="0"/>
          <w:numId w:val="34"/>
        </w:numPr>
        <w:spacing w:before="0" w:beforeAutospacing="0" w:after="120" w:afterAutospacing="0"/>
        <w:ind w:right="0"/>
        <w:rPr>
          <w:rFonts w:ascii="Arial" w:hAnsi="Arial" w:cs="Arial"/>
          <w:sz w:val="22"/>
          <w:szCs w:val="22"/>
        </w:rPr>
      </w:pPr>
      <w:r>
        <w:rPr>
          <w:rFonts w:ascii="Arial" w:hAnsi="Arial" w:cs="Arial"/>
          <w:b/>
          <w:bCs/>
          <w:sz w:val="22"/>
          <w:szCs w:val="22"/>
        </w:rPr>
        <w:t xml:space="preserve"> CLÁUSULA QUINTA – DO PAGAMENTO</w:t>
      </w:r>
    </w:p>
    <w:p>
      <w:pPr>
        <w:pStyle w:val="32"/>
        <w:widowControl w:val="0"/>
        <w:tabs>
          <w:tab w:val="left" w:pos="851"/>
        </w:tabs>
        <w:spacing w:before="0" w:beforeAutospacing="0" w:after="120" w:afterAutospacing="0"/>
        <w:ind w:right="49"/>
        <w:rPr>
          <w:rFonts w:ascii="Arial" w:hAnsi="Arial" w:cs="Arial"/>
          <w:sz w:val="22"/>
          <w:szCs w:val="22"/>
          <w:highlight w:val="yellow"/>
          <w:lang w:val="pt-BR"/>
        </w:rPr>
      </w:pPr>
      <w:r>
        <w:rPr>
          <w:rFonts w:ascii="Arial" w:hAnsi="Arial" w:cs="Arial"/>
          <w:b/>
          <w:sz w:val="22"/>
          <w:szCs w:val="22"/>
          <w:lang w:val="pt-BR"/>
        </w:rPr>
        <w:t>5.1</w:t>
      </w:r>
      <w:r>
        <w:rPr>
          <w:rFonts w:ascii="Arial" w:hAnsi="Arial" w:cs="Arial"/>
          <w:sz w:val="22"/>
          <w:szCs w:val="22"/>
          <w:lang w:val="pt-BR"/>
        </w:rPr>
        <w:t>.O pagamento será efetuado pela Contratante no prazo de 30 (trinta) dias, contados da apresentação da Nota Fiscal/Fatura, através de ordem bancária, para crédito em banco, agência e conta-corrente indicados pelo contratado</w:t>
      </w:r>
      <w:r>
        <w:rPr>
          <w:rFonts w:ascii="Arial" w:hAnsi="Arial" w:cs="Arial"/>
          <w:b/>
          <w:sz w:val="22"/>
          <w:szCs w:val="22"/>
          <w:lang w:val="pt-BR"/>
        </w:rPr>
        <w:t xml:space="preserve">, </w:t>
      </w:r>
      <w:r>
        <w:rPr>
          <w:rFonts w:ascii="Arial" w:hAnsi="Arial" w:cs="Arial"/>
          <w:sz w:val="22"/>
          <w:szCs w:val="22"/>
          <w:lang w:val="pt-BR"/>
        </w:rPr>
        <w:t>conforme descrito no Cronograma Financeiro, anexo ao edital Tomada de Preço</w:t>
      </w:r>
      <w:r>
        <w:rPr>
          <w:rFonts w:hint="default" w:ascii="Arial" w:hAnsi="Arial" w:cs="Arial"/>
          <w:sz w:val="22"/>
          <w:szCs w:val="22"/>
          <w:lang w:val="pt-BR"/>
        </w:rPr>
        <w:t>s</w:t>
      </w:r>
      <w:r>
        <w:rPr>
          <w:rFonts w:ascii="Arial" w:hAnsi="Arial" w:cs="Arial"/>
          <w:sz w:val="22"/>
          <w:szCs w:val="22"/>
          <w:lang w:val="pt-BR"/>
        </w:rPr>
        <w:t xml:space="preserve"> 005/2023.</w:t>
      </w:r>
    </w:p>
    <w:p>
      <w:pPr>
        <w:pStyle w:val="32"/>
        <w:widowControl w:val="0"/>
        <w:numPr>
          <w:ilvl w:val="1"/>
          <w:numId w:val="34"/>
        </w:numPr>
        <w:tabs>
          <w:tab w:val="left" w:pos="851"/>
        </w:tabs>
        <w:spacing w:before="0" w:beforeAutospacing="0" w:after="120" w:afterAutospacing="0"/>
        <w:ind w:right="49"/>
        <w:rPr>
          <w:rFonts w:ascii="Arial" w:hAnsi="Arial" w:cs="Arial"/>
          <w:sz w:val="22"/>
          <w:szCs w:val="22"/>
          <w:lang w:val="pt-BR"/>
        </w:rPr>
      </w:pPr>
      <w:r>
        <w:rPr>
          <w:rFonts w:ascii="Arial" w:hAnsi="Arial" w:cs="Arial"/>
          <w:color w:val="000000"/>
          <w:sz w:val="22"/>
          <w:szCs w:val="22"/>
          <w:lang w:val="pt-BR"/>
        </w:rPr>
        <w:t>Os pagamentos decorrentes de despesas cujos valores não ultrapassem o limite de que trata o inciso II do art. 24 da Lei 8.666, de 1993, deverão ser efetuados no prazo de até 5 (cinco) dias úteis, contados da data da apresentação da Nota Fiscal/Fatura, nos termos do art. 5º, § 3º, da Lei nº 8.666, de 1993.</w:t>
      </w:r>
    </w:p>
    <w:p>
      <w:pPr>
        <w:pStyle w:val="32"/>
        <w:widowControl w:val="0"/>
        <w:numPr>
          <w:ilvl w:val="1"/>
          <w:numId w:val="34"/>
        </w:numPr>
        <w:tabs>
          <w:tab w:val="left" w:pos="851"/>
        </w:tabs>
        <w:spacing w:before="0" w:beforeAutospacing="0" w:after="120" w:afterAutospacing="0" w:line="360" w:lineRule="auto"/>
        <w:ind w:right="49"/>
        <w:rPr>
          <w:rFonts w:ascii="Arial" w:hAnsi="Arial" w:cs="Arial"/>
          <w:sz w:val="22"/>
          <w:szCs w:val="22"/>
          <w:lang w:val="pt-BR"/>
        </w:rPr>
      </w:pPr>
      <w:r>
        <w:rPr>
          <w:rFonts w:ascii="Arial" w:hAnsi="Arial" w:cs="Arial"/>
          <w:color w:val="000000"/>
          <w:sz w:val="22"/>
          <w:szCs w:val="22"/>
          <w:lang w:val="pt-BR"/>
        </w:rPr>
        <w:t xml:space="preserve">A apresentação da Nota Fiscal/Fatura deverá ocorrer no prazo </w:t>
      </w:r>
      <w:r>
        <w:rPr>
          <w:rFonts w:ascii="Arial" w:hAnsi="Arial" w:cs="Arial"/>
          <w:sz w:val="22"/>
          <w:szCs w:val="22"/>
          <w:lang w:val="pt-BR"/>
        </w:rPr>
        <w:t>de 10 (dez) dias</w:t>
      </w:r>
      <w:r>
        <w:rPr>
          <w:rFonts w:ascii="Arial" w:hAnsi="Arial" w:cs="Arial"/>
          <w:color w:val="000000"/>
          <w:sz w:val="22"/>
          <w:szCs w:val="22"/>
          <w:lang w:val="pt-BR"/>
        </w:rPr>
        <w:t>, contado da data final do período de adimplemento da parcela da contratação a que aquela se referir.</w:t>
      </w:r>
    </w:p>
    <w:p>
      <w:pPr>
        <w:pStyle w:val="86"/>
        <w:widowControl w:val="0"/>
        <w:numPr>
          <w:ilvl w:val="1"/>
          <w:numId w:val="34"/>
        </w:numPr>
        <w:tabs>
          <w:tab w:val="left" w:pos="567"/>
          <w:tab w:val="left" w:pos="851"/>
          <w:tab w:val="left" w:pos="1134"/>
          <w:tab w:val="left" w:pos="1701"/>
          <w:tab w:val="left" w:pos="2268"/>
          <w:tab w:val="left" w:pos="2835"/>
        </w:tabs>
        <w:spacing w:after="120"/>
        <w:ind w:right="49"/>
        <w:jc w:val="both"/>
        <w:rPr>
          <w:rFonts w:ascii="Arial" w:hAnsi="Arial" w:cs="Arial"/>
          <w:sz w:val="22"/>
          <w:szCs w:val="22"/>
        </w:rPr>
      </w:pPr>
      <w:r>
        <w:rPr>
          <w:rFonts w:ascii="Arial" w:hAnsi="Arial" w:cs="Arial"/>
          <w:sz w:val="22"/>
          <w:szCs w:val="22"/>
        </w:rPr>
        <w:t>A Nota Fiscal/Fatura será emitida pela Contratada de acordo com os seguintes procedimentos:</w:t>
      </w:r>
    </w:p>
    <w:p>
      <w:pPr>
        <w:pStyle w:val="86"/>
        <w:widowControl w:val="0"/>
        <w:numPr>
          <w:ilvl w:val="3"/>
          <w:numId w:val="34"/>
        </w:numPr>
        <w:tabs>
          <w:tab w:val="left" w:pos="567"/>
          <w:tab w:val="left" w:pos="1276"/>
          <w:tab w:val="left" w:pos="1701"/>
          <w:tab w:val="left" w:pos="2268"/>
          <w:tab w:val="left" w:pos="2835"/>
        </w:tabs>
        <w:spacing w:after="120"/>
        <w:ind w:left="567" w:right="49"/>
        <w:jc w:val="both"/>
        <w:rPr>
          <w:rFonts w:ascii="Arial" w:hAnsi="Arial" w:cs="Arial"/>
          <w:sz w:val="22"/>
          <w:szCs w:val="22"/>
        </w:rPr>
      </w:pPr>
      <w:r>
        <w:rPr>
          <w:rFonts w:ascii="Arial" w:hAnsi="Arial" w:cs="Arial"/>
          <w:sz w:val="22"/>
          <w:szCs w:val="22"/>
        </w:rPr>
        <w:t>Ao final de cada etapa da execução contratual, conforme previsto no Cronograma Físico-Financeiro, a Contratada apresentará a medição prévia das atividades executadas no período, através de planilha e memória de cálculo detalhada.</w:t>
      </w:r>
    </w:p>
    <w:p>
      <w:pPr>
        <w:pStyle w:val="86"/>
        <w:widowControl w:val="0"/>
        <w:numPr>
          <w:ilvl w:val="3"/>
          <w:numId w:val="34"/>
        </w:numPr>
        <w:tabs>
          <w:tab w:val="left" w:pos="567"/>
          <w:tab w:val="left" w:pos="1276"/>
          <w:tab w:val="left" w:pos="1701"/>
          <w:tab w:val="left" w:pos="2268"/>
          <w:tab w:val="left" w:pos="2835"/>
        </w:tabs>
        <w:spacing w:after="120"/>
        <w:ind w:left="567" w:right="49"/>
        <w:jc w:val="both"/>
        <w:rPr>
          <w:rFonts w:ascii="Arial" w:hAnsi="Arial" w:cs="Arial"/>
          <w:sz w:val="22"/>
          <w:szCs w:val="22"/>
        </w:rPr>
      </w:pPr>
      <w:r>
        <w:rPr>
          <w:rFonts w:ascii="Arial" w:hAnsi="Arial" w:cs="Arial"/>
          <w:sz w:val="22"/>
          <w:szCs w:val="22"/>
        </w:rPr>
        <w:t>Uma etapa será considerada efetivamente concluída quando as atividades previstas para aquela etapa, no Cronograma Físico-Financeiro, estiverem executadas em sua totalidade.</w:t>
      </w:r>
    </w:p>
    <w:p>
      <w:pPr>
        <w:pStyle w:val="86"/>
        <w:widowControl w:val="0"/>
        <w:numPr>
          <w:ilvl w:val="3"/>
          <w:numId w:val="34"/>
        </w:numPr>
        <w:tabs>
          <w:tab w:val="left" w:pos="567"/>
          <w:tab w:val="left" w:pos="1276"/>
          <w:tab w:val="left" w:pos="1701"/>
          <w:tab w:val="left" w:pos="2268"/>
          <w:tab w:val="left" w:pos="2835"/>
        </w:tabs>
        <w:spacing w:after="120"/>
        <w:ind w:left="567"/>
        <w:jc w:val="both"/>
        <w:rPr>
          <w:rFonts w:ascii="Arial" w:hAnsi="Arial" w:cs="Arial"/>
          <w:sz w:val="22"/>
          <w:szCs w:val="22"/>
        </w:rPr>
      </w:pPr>
      <w:r>
        <w:rPr>
          <w:rFonts w:ascii="Arial" w:hAnsi="Arial" w:cs="Arial"/>
          <w:sz w:val="22"/>
          <w:szCs w:val="22"/>
        </w:rPr>
        <w:t>A Contratada também apresentará, a cada medição, os documentos comprobatórios da procedência legal dos produtos e subprodutos florestais utilizados naquela etapa da execução contratual, quando for o caso.</w:t>
      </w:r>
    </w:p>
    <w:p>
      <w:pPr>
        <w:pStyle w:val="86"/>
        <w:widowControl w:val="0"/>
        <w:numPr>
          <w:ilvl w:val="1"/>
          <w:numId w:val="34"/>
        </w:numPr>
        <w:tabs>
          <w:tab w:val="left" w:pos="567"/>
          <w:tab w:val="left" w:pos="1134"/>
          <w:tab w:val="left" w:pos="1701"/>
          <w:tab w:val="left" w:pos="2268"/>
          <w:tab w:val="left" w:pos="2835"/>
        </w:tabs>
        <w:spacing w:after="120"/>
        <w:jc w:val="both"/>
        <w:rPr>
          <w:rFonts w:ascii="Arial" w:hAnsi="Arial" w:cs="Arial"/>
          <w:sz w:val="22"/>
          <w:szCs w:val="22"/>
        </w:rPr>
      </w:pPr>
      <w:r>
        <w:rPr>
          <w:rFonts w:ascii="Arial" w:hAnsi="Arial" w:cs="Arial"/>
          <w:sz w:val="22"/>
          <w:szCs w:val="22"/>
        </w:rPr>
        <w:t>A Contratante terá o prazo de 05 (cinco) dias úteis, contados a partir da data da apresentação da medição, para aprovar ou rejeitar, no todo ou em parte, a medição prévia relatada pela Contratada, bem como para avaliar a conformidade das atividades executadas, inclusive quanto à obrigação de utilização de produtos e subprodutos florestais de comprovada procedência legal.</w:t>
      </w:r>
    </w:p>
    <w:p>
      <w:pPr>
        <w:pStyle w:val="86"/>
        <w:widowControl w:val="0"/>
        <w:numPr>
          <w:ilvl w:val="1"/>
          <w:numId w:val="34"/>
        </w:numPr>
        <w:tabs>
          <w:tab w:val="left" w:pos="567"/>
          <w:tab w:val="left" w:pos="1134"/>
          <w:tab w:val="left" w:pos="1701"/>
          <w:tab w:val="left" w:pos="2268"/>
          <w:tab w:val="left" w:pos="2835"/>
        </w:tabs>
        <w:spacing w:after="120"/>
        <w:jc w:val="both"/>
        <w:rPr>
          <w:rFonts w:ascii="Arial" w:hAnsi="Arial" w:cs="Arial"/>
          <w:sz w:val="22"/>
          <w:szCs w:val="22"/>
        </w:rPr>
      </w:pPr>
      <w:r>
        <w:rPr>
          <w:rFonts w:ascii="Arial" w:hAnsi="Arial" w:cs="Arial"/>
          <w:sz w:val="22"/>
          <w:szCs w:val="22"/>
        </w:rPr>
        <w:t>A aprovação da medição prévia apresentada pela Contratada não a exime de qualquer das responsabilidades contratuais, nem implica aceitação definitiva das atividades executadas.</w:t>
      </w:r>
    </w:p>
    <w:p>
      <w:pPr>
        <w:pStyle w:val="86"/>
        <w:widowControl w:val="0"/>
        <w:numPr>
          <w:ilvl w:val="1"/>
          <w:numId w:val="34"/>
        </w:numPr>
        <w:tabs>
          <w:tab w:val="left" w:pos="567"/>
          <w:tab w:val="left" w:pos="1134"/>
          <w:tab w:val="left" w:pos="1701"/>
          <w:tab w:val="left" w:pos="2268"/>
          <w:tab w:val="left" w:pos="2835"/>
        </w:tabs>
        <w:spacing w:after="120"/>
        <w:jc w:val="both"/>
        <w:rPr>
          <w:rFonts w:ascii="Arial" w:hAnsi="Arial" w:cs="Arial"/>
          <w:sz w:val="22"/>
          <w:szCs w:val="22"/>
        </w:rPr>
      </w:pPr>
      <w:r>
        <w:rPr>
          <w:rFonts w:ascii="Arial" w:hAnsi="Arial" w:cs="Arial"/>
          <w:sz w:val="22"/>
          <w:szCs w:val="22"/>
        </w:rPr>
        <w:t>Após a aprovação, a Contratada emitirá Nota Fiscal/Fatura no valor da medição definitiva aprovada, acompanhada da planilha de medição de serviços e de memória de cálculo detalhada.</w:t>
      </w:r>
    </w:p>
    <w:p>
      <w:pPr>
        <w:pStyle w:val="86"/>
        <w:widowControl w:val="0"/>
        <w:numPr>
          <w:ilvl w:val="1"/>
          <w:numId w:val="34"/>
        </w:numPr>
        <w:tabs>
          <w:tab w:val="left" w:pos="567"/>
          <w:tab w:val="left" w:pos="1134"/>
          <w:tab w:val="left" w:pos="1701"/>
          <w:tab w:val="left" w:pos="2268"/>
          <w:tab w:val="left" w:pos="2835"/>
        </w:tabs>
        <w:spacing w:after="120"/>
        <w:jc w:val="both"/>
        <w:rPr>
          <w:rFonts w:ascii="Arial" w:hAnsi="Arial" w:cs="Arial"/>
          <w:sz w:val="22"/>
          <w:szCs w:val="22"/>
        </w:rPr>
      </w:pPr>
      <w:r>
        <w:rPr>
          <w:rFonts w:ascii="Arial" w:hAnsi="Arial" w:cs="Arial"/>
          <w:sz w:val="22"/>
          <w:szCs w:val="22"/>
        </w:rPr>
        <w:t>O pagamento somente será efetuado após o “atesto”, pelo servidor competente, da Nota Fiscal/Fatura apresentada pela Contratada, acompanhada dos demais documentos exigidos neste instrumento contratual.</w:t>
      </w:r>
    </w:p>
    <w:p>
      <w:pPr>
        <w:pStyle w:val="86"/>
        <w:widowControl w:val="0"/>
        <w:numPr>
          <w:ilvl w:val="1"/>
          <w:numId w:val="34"/>
        </w:numPr>
        <w:tabs>
          <w:tab w:val="left" w:pos="567"/>
          <w:tab w:val="left" w:pos="1134"/>
          <w:tab w:val="left" w:pos="1701"/>
          <w:tab w:val="left" w:pos="2268"/>
          <w:tab w:val="left" w:pos="2835"/>
        </w:tabs>
        <w:spacing w:after="120"/>
        <w:jc w:val="both"/>
        <w:rPr>
          <w:rFonts w:ascii="Arial" w:hAnsi="Arial" w:cs="Arial"/>
          <w:sz w:val="22"/>
          <w:szCs w:val="22"/>
        </w:rPr>
      </w:pPr>
      <w:r>
        <w:rPr>
          <w:rFonts w:ascii="Arial" w:hAnsi="Arial" w:cs="Arial"/>
          <w:sz w:val="22"/>
          <w:szCs w:val="22"/>
        </w:rPr>
        <w:t>O “atesto” da Nota Fiscal/Fatura fica condicionado à verificação da conformidade da Nota Fiscal/Fatura apresentada pela Contratada com as atividades efetivamente executadas, bem como às seguintes comprovações, que deverão obrigatoriamente acompanhá-la:</w:t>
      </w:r>
    </w:p>
    <w:p>
      <w:pPr>
        <w:pStyle w:val="86"/>
        <w:widowControl w:val="0"/>
        <w:numPr>
          <w:ilvl w:val="3"/>
          <w:numId w:val="34"/>
        </w:numPr>
        <w:tabs>
          <w:tab w:val="left" w:pos="567"/>
          <w:tab w:val="left" w:pos="1701"/>
          <w:tab w:val="left" w:pos="2268"/>
          <w:tab w:val="left" w:pos="2835"/>
        </w:tabs>
        <w:spacing w:after="120"/>
        <w:ind w:left="567"/>
        <w:jc w:val="both"/>
        <w:rPr>
          <w:rFonts w:ascii="Arial" w:hAnsi="Arial" w:cs="Arial"/>
          <w:sz w:val="22"/>
          <w:szCs w:val="22"/>
        </w:rPr>
      </w:pPr>
      <w:r>
        <w:rPr>
          <w:rFonts w:ascii="Arial" w:hAnsi="Arial" w:cs="Arial"/>
          <w:sz w:val="22"/>
          <w:szCs w:val="22"/>
        </w:rPr>
        <w:t>Do pagamento das contribuições sociais (Fundo de Garantia do Tempo de Serviço e Previdência Social) e da regularidade trabalhista, correspondentes ao mês da última nota fiscal ou fatura vencida, quanto aos empregados diretamente vinculados à execução contratual;</w:t>
      </w:r>
    </w:p>
    <w:p>
      <w:pPr>
        <w:pStyle w:val="86"/>
        <w:widowControl w:val="0"/>
        <w:numPr>
          <w:ilvl w:val="3"/>
          <w:numId w:val="34"/>
        </w:numPr>
        <w:tabs>
          <w:tab w:val="left" w:pos="567"/>
          <w:tab w:val="left" w:pos="1701"/>
          <w:tab w:val="left" w:pos="2268"/>
          <w:tab w:val="left" w:pos="2835"/>
        </w:tabs>
        <w:spacing w:after="120"/>
        <w:ind w:left="567"/>
        <w:jc w:val="both"/>
        <w:rPr>
          <w:rFonts w:ascii="Arial" w:hAnsi="Arial" w:cs="Arial"/>
          <w:sz w:val="22"/>
          <w:szCs w:val="22"/>
        </w:rPr>
      </w:pPr>
      <w:r>
        <w:rPr>
          <w:rFonts w:ascii="Arial" w:hAnsi="Arial" w:cs="Arial"/>
          <w:sz w:val="22"/>
          <w:szCs w:val="22"/>
        </w:rPr>
        <w:t>Da regularidade fiscal, constatada através de consulta aos sítios eletrônicos oficiais ou à documentação mencionada no artigo 29 da Lei n° 8.666, de 1993;</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O pagamento somente será autorizado depois de efetuado o “atesto” pelo servidor competente, condicionado este ato à verificação da conformidade da Nota Fiscal/Fatura apresentada em relação às atividades efetivamente prestadas e aos materiais empregados.</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Havendo erro na apresentação da Nota Fiscal/Fatura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Nos termos do artigo 36, § 6°, da Instrução Normativa SLTI/MPOG n° 02, de 2008, será efetuada a retenção ou glosa no pagamento, proporcional à irregularidade verificada, sem prejuízo das sanções cabíveis, caso se constate que a Contratada:</w:t>
      </w:r>
    </w:p>
    <w:p>
      <w:pPr>
        <w:pStyle w:val="32"/>
        <w:widowControl w:val="0"/>
        <w:numPr>
          <w:ilvl w:val="3"/>
          <w:numId w:val="34"/>
        </w:numPr>
        <w:spacing w:before="0" w:beforeAutospacing="0" w:after="120" w:afterAutospacing="0"/>
        <w:ind w:left="567" w:right="0"/>
        <w:rPr>
          <w:rFonts w:ascii="Arial" w:hAnsi="Arial" w:cs="Arial"/>
          <w:sz w:val="22"/>
          <w:szCs w:val="22"/>
          <w:lang w:val="pt-BR"/>
        </w:rPr>
      </w:pPr>
      <w:r>
        <w:rPr>
          <w:rFonts w:ascii="Arial" w:hAnsi="Arial" w:cs="Arial"/>
          <w:color w:val="000000"/>
          <w:sz w:val="22"/>
          <w:szCs w:val="22"/>
          <w:lang w:val="pt-BR"/>
        </w:rPr>
        <w:t>não produziu os resultados acordados;</w:t>
      </w:r>
    </w:p>
    <w:p>
      <w:pPr>
        <w:pStyle w:val="32"/>
        <w:widowControl w:val="0"/>
        <w:numPr>
          <w:ilvl w:val="3"/>
          <w:numId w:val="34"/>
        </w:numPr>
        <w:spacing w:before="0" w:beforeAutospacing="0" w:after="120" w:afterAutospacing="0"/>
        <w:ind w:left="567" w:right="0"/>
        <w:rPr>
          <w:rFonts w:ascii="Arial" w:hAnsi="Arial" w:cs="Arial"/>
          <w:sz w:val="22"/>
          <w:szCs w:val="22"/>
          <w:lang w:val="pt-BR"/>
        </w:rPr>
      </w:pPr>
      <w:r>
        <w:rPr>
          <w:rFonts w:ascii="Arial" w:hAnsi="Arial" w:cs="Arial"/>
          <w:color w:val="000000"/>
          <w:sz w:val="22"/>
          <w:szCs w:val="22"/>
          <w:lang w:val="pt-BR"/>
        </w:rPr>
        <w:t>deixou de executar as atividades contratadas, ou não as executou com a qualidade mínima exigida;</w:t>
      </w:r>
    </w:p>
    <w:p>
      <w:pPr>
        <w:pStyle w:val="32"/>
        <w:widowControl w:val="0"/>
        <w:numPr>
          <w:ilvl w:val="3"/>
          <w:numId w:val="34"/>
        </w:numPr>
        <w:spacing w:before="0" w:beforeAutospacing="0" w:after="120" w:afterAutospacing="0"/>
        <w:ind w:left="567" w:right="0"/>
        <w:rPr>
          <w:rFonts w:ascii="Arial" w:hAnsi="Arial" w:cs="Arial"/>
          <w:sz w:val="22"/>
          <w:szCs w:val="22"/>
          <w:lang w:val="pt-BR"/>
        </w:rPr>
      </w:pPr>
      <w:r>
        <w:rPr>
          <w:rFonts w:ascii="Arial" w:hAnsi="Arial" w:cs="Arial"/>
          <w:color w:val="000000"/>
          <w:sz w:val="22"/>
          <w:szCs w:val="22"/>
          <w:lang w:val="pt-BR"/>
        </w:rPr>
        <w:t>deixou de utilizar os materiais e recursos humanos exigidos para a execução do serviço, ou utilizou-os com qualidade ou quantidade inferior à demandada.</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Será considerada data do pagamento o dia em que constar como emitida a ordem bancária para pagamento.</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 xml:space="preserve">Antes de cada pagamento à contratada, será realizada consulta </w:t>
      </w:r>
      <w:r>
        <w:rPr>
          <w:rFonts w:ascii="Arial" w:hAnsi="Arial" w:cs="Arial"/>
          <w:sz w:val="22"/>
          <w:szCs w:val="22"/>
          <w:lang w:val="pt-BR"/>
        </w:rPr>
        <w:t xml:space="preserve">aos sítios eletrônicos oficiais </w:t>
      </w:r>
      <w:r>
        <w:rPr>
          <w:rFonts w:ascii="Arial" w:hAnsi="Arial" w:cs="Arial"/>
          <w:color w:val="000000"/>
          <w:sz w:val="22"/>
          <w:szCs w:val="22"/>
          <w:lang w:val="pt-BR"/>
        </w:rPr>
        <w:t>para verificar a manutenção das condições de habilitação exigidas no edital.</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 xml:space="preserve">Constatando-se, junto </w:t>
      </w:r>
      <w:r>
        <w:rPr>
          <w:rFonts w:ascii="Arial" w:hAnsi="Arial" w:cs="Arial"/>
          <w:sz w:val="22"/>
          <w:szCs w:val="22"/>
          <w:lang w:val="pt-BR"/>
        </w:rPr>
        <w:t>aos sítios eletrônicos oficiais</w:t>
      </w:r>
      <w:r>
        <w:rPr>
          <w:rFonts w:ascii="Arial" w:hAnsi="Arial" w:cs="Arial"/>
          <w:color w:val="000000"/>
          <w:sz w:val="22"/>
          <w:szCs w:val="22"/>
          <w:lang w:val="pt-BR"/>
        </w:rPr>
        <w:t>, a situação de irregularidade da contratada, será providenciada sua advertência, por escrito, para que, no prazo de 5 (cinco) dias, regularize sua situação ou, no mesmo prazo, apresente sua defesa. O prazo poderá ser prorrogado uma vez, por igual período, a critério da contratante.</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Persistindo a irregularidade, a contratante deverá adotar as medidas necessárias à rescisão contratual nos autos do processo administrativo correspondente, assegurada à contratada a ampla defesa.</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 xml:space="preserve">Havendo a efetiva execução do objeto, os pagamentos serão realizados normalmente, até que se decida pela rescisão do contrato, caso a contratada não regularize sua situação junto ao Cadastro de Fornecedores. </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 xml:space="preserve">Somente por motivo de economicidade, segurança nacional ou outro interesse público de alta relevância, devidamente justificado, em qualquer caso, pela máxima autoridade da contratante, não será rescindido o contrato em execução com a contratada inadimplente </w:t>
      </w:r>
      <w:r>
        <w:rPr>
          <w:rFonts w:hint="default" w:ascii="Arial" w:hAnsi="Arial" w:cs="Arial"/>
          <w:color w:val="000000"/>
          <w:sz w:val="22"/>
          <w:szCs w:val="22"/>
          <w:lang w:val="pt-BR"/>
        </w:rPr>
        <w:t>no Certificado de Registro Cadastral</w:t>
      </w:r>
      <w:r>
        <w:rPr>
          <w:rFonts w:ascii="Arial" w:hAnsi="Arial" w:cs="Arial"/>
          <w:color w:val="000000"/>
          <w:sz w:val="22"/>
          <w:szCs w:val="22"/>
          <w:lang w:val="pt-BR"/>
        </w:rPr>
        <w:t>.</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Quando do pagamento, será efetuada a retenção tributária prevista na legislação aplicável, em especial a prevista no artigo 31 da Lei n. 8.212, de 1993.</w:t>
      </w:r>
    </w:p>
    <w:p>
      <w:pPr>
        <w:pStyle w:val="32"/>
        <w:widowControl w:val="0"/>
        <w:numPr>
          <w:ilvl w:val="3"/>
          <w:numId w:val="34"/>
        </w:numPr>
        <w:spacing w:before="0" w:beforeAutospacing="0" w:after="120" w:afterAutospacing="0"/>
        <w:ind w:left="567" w:right="0"/>
        <w:rPr>
          <w:rFonts w:ascii="Arial" w:hAnsi="Arial" w:cs="Arial"/>
          <w:sz w:val="22"/>
          <w:szCs w:val="22"/>
          <w:lang w:val="pt-BR"/>
        </w:rPr>
      </w:pPr>
      <w:r>
        <w:rPr>
          <w:rFonts w:ascii="Arial" w:hAnsi="Arial" w:cs="Arial"/>
          <w:color w:val="000000"/>
          <w:sz w:val="22"/>
          <w:szCs w:val="22"/>
          <w:lang w:val="pt-BR"/>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Lei Complementar nº 123, de 2006.</w:t>
      </w:r>
    </w:p>
    <w:p>
      <w:pPr>
        <w:pStyle w:val="32"/>
        <w:widowControl w:val="0"/>
        <w:numPr>
          <w:ilvl w:val="3"/>
          <w:numId w:val="34"/>
        </w:numPr>
        <w:spacing w:before="0" w:beforeAutospacing="0" w:after="120" w:afterAutospacing="0"/>
        <w:ind w:left="567" w:right="0"/>
        <w:rPr>
          <w:rFonts w:ascii="Arial" w:hAnsi="Arial" w:cs="Arial"/>
          <w:sz w:val="22"/>
          <w:szCs w:val="22"/>
          <w:lang w:val="pt-BR"/>
        </w:rPr>
      </w:pPr>
      <w:r>
        <w:rPr>
          <w:rFonts w:ascii="Arial" w:hAnsi="Arial" w:cs="Arial"/>
          <w:color w:val="000000"/>
          <w:sz w:val="22"/>
          <w:szCs w:val="22"/>
          <w:lang w:val="pt-BR"/>
        </w:rPr>
        <w:t>Quanto ao Imposto sobre Serviços de Qualquer Natureza (ISSQN), será observado o disposto na Lei Complementar nº 116, de 2003, e legislação municipal aplicável.</w:t>
      </w:r>
    </w:p>
    <w:p>
      <w:pPr>
        <w:pStyle w:val="32"/>
        <w:widowControl w:val="0"/>
        <w:numPr>
          <w:ilvl w:val="1"/>
          <w:numId w:val="34"/>
        </w:numPr>
        <w:spacing w:before="0" w:beforeAutospacing="0" w:after="120" w:afterAutospacing="0"/>
        <w:ind w:right="0"/>
        <w:rPr>
          <w:rFonts w:ascii="Arial" w:hAnsi="Arial" w:cs="Arial"/>
          <w:sz w:val="22"/>
          <w:szCs w:val="22"/>
          <w:lang w:val="pt-BR"/>
        </w:rPr>
      </w:pPr>
      <w:r>
        <w:rPr>
          <w:rFonts w:ascii="Arial" w:hAnsi="Arial" w:cs="Arial"/>
          <w:color w:val="000000"/>
          <w:sz w:val="22"/>
          <w:szCs w:val="22"/>
          <w:lang w:val="pt-BR"/>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pPr>
        <w:pStyle w:val="32"/>
        <w:widowControl w:val="0"/>
        <w:spacing w:before="0" w:beforeAutospacing="0" w:after="120" w:afterAutospacing="0"/>
        <w:rPr>
          <w:rFonts w:ascii="Arial" w:hAnsi="Arial" w:cs="Arial"/>
          <w:sz w:val="22"/>
          <w:szCs w:val="22"/>
          <w:lang w:val="pt-BR"/>
        </w:rPr>
      </w:pPr>
    </w:p>
    <w:p>
      <w:pPr>
        <w:pStyle w:val="32"/>
        <w:widowControl w:val="0"/>
        <w:spacing w:before="0" w:beforeAutospacing="0" w:after="0" w:afterAutospacing="0"/>
        <w:jc w:val="center"/>
        <w:rPr>
          <w:rFonts w:ascii="Arial" w:hAnsi="Arial" w:cs="Arial"/>
          <w:sz w:val="22"/>
          <w:szCs w:val="22"/>
          <w:lang w:val="pt-BR"/>
        </w:rPr>
      </w:pPr>
      <w:r>
        <w:rPr>
          <w:rFonts w:ascii="Arial" w:hAnsi="Arial" w:cs="Arial"/>
          <w:color w:val="000000"/>
          <w:sz w:val="22"/>
          <w:szCs w:val="22"/>
          <w:lang w:val="pt-BR"/>
        </w:rPr>
        <w:t>EM = I x N x VP, sendo:</w:t>
      </w:r>
    </w:p>
    <w:p>
      <w:pPr>
        <w:pStyle w:val="32"/>
        <w:widowControl w:val="0"/>
        <w:spacing w:before="0" w:beforeAutospacing="0" w:after="0" w:afterAutospacing="0"/>
        <w:jc w:val="center"/>
        <w:rPr>
          <w:rFonts w:ascii="Arial" w:hAnsi="Arial" w:cs="Arial"/>
          <w:sz w:val="22"/>
          <w:szCs w:val="22"/>
          <w:lang w:val="pt-BR"/>
        </w:rPr>
      </w:pPr>
      <w:r>
        <w:rPr>
          <w:rFonts w:ascii="Arial" w:hAnsi="Arial" w:cs="Arial"/>
          <w:color w:val="000000"/>
          <w:sz w:val="22"/>
          <w:szCs w:val="22"/>
          <w:lang w:val="pt-BR"/>
        </w:rPr>
        <w:t>EM = Encargos moratórios;</w:t>
      </w:r>
    </w:p>
    <w:p>
      <w:pPr>
        <w:pStyle w:val="32"/>
        <w:widowControl w:val="0"/>
        <w:spacing w:before="0" w:beforeAutospacing="0" w:after="0" w:afterAutospacing="0"/>
        <w:jc w:val="center"/>
        <w:rPr>
          <w:rFonts w:ascii="Arial" w:hAnsi="Arial" w:cs="Arial"/>
          <w:sz w:val="22"/>
          <w:szCs w:val="22"/>
          <w:lang w:val="pt-BR"/>
        </w:rPr>
      </w:pPr>
      <w:r>
        <w:rPr>
          <w:rFonts w:ascii="Arial" w:hAnsi="Arial" w:cs="Arial"/>
          <w:color w:val="000000"/>
          <w:sz w:val="22"/>
          <w:szCs w:val="22"/>
          <w:lang w:val="pt-BR"/>
        </w:rPr>
        <w:t>N = Número de dias entre a data prevista para o pagamento e a do efetivo pagamento;</w:t>
      </w:r>
    </w:p>
    <w:p>
      <w:pPr>
        <w:pStyle w:val="32"/>
        <w:widowControl w:val="0"/>
        <w:spacing w:before="0" w:beforeAutospacing="0" w:after="0" w:afterAutospacing="0"/>
        <w:jc w:val="center"/>
        <w:rPr>
          <w:rFonts w:ascii="Arial" w:hAnsi="Arial" w:cs="Arial"/>
          <w:sz w:val="22"/>
          <w:szCs w:val="22"/>
          <w:lang w:val="pt-BR"/>
        </w:rPr>
      </w:pPr>
      <w:r>
        <w:rPr>
          <w:rFonts w:ascii="Arial" w:hAnsi="Arial" w:cs="Arial"/>
          <w:color w:val="000000"/>
          <w:sz w:val="22"/>
          <w:szCs w:val="22"/>
          <w:lang w:val="pt-BR"/>
        </w:rPr>
        <w:t>VP = Valor da parcela a ser paga.</w:t>
      </w:r>
    </w:p>
    <w:p>
      <w:pPr>
        <w:pStyle w:val="32"/>
        <w:widowControl w:val="0"/>
        <w:spacing w:before="0" w:beforeAutospacing="0" w:after="0" w:afterAutospacing="0"/>
        <w:jc w:val="center"/>
        <w:rPr>
          <w:rFonts w:ascii="Arial" w:hAnsi="Arial" w:cs="Arial"/>
          <w:sz w:val="22"/>
          <w:szCs w:val="22"/>
          <w:lang w:val="pt-BR"/>
        </w:rPr>
      </w:pPr>
      <w:r>
        <w:rPr>
          <w:rFonts w:ascii="Arial" w:hAnsi="Arial" w:cs="Arial"/>
          <w:color w:val="000000"/>
          <w:sz w:val="22"/>
          <w:szCs w:val="22"/>
          <w:lang w:val="pt-BR"/>
        </w:rPr>
        <w:t>I = Índice de compensação financeira = 0,00016438, assim apurado:</w:t>
      </w:r>
    </w:p>
    <w:tbl>
      <w:tblPr>
        <w:tblStyle w:val="12"/>
        <w:tblW w:w="9214" w:type="dxa"/>
        <w:tblCellSpacing w:w="0" w:type="dxa"/>
        <w:tblInd w:w="0" w:type="dxa"/>
        <w:tblLayout w:type="fixed"/>
        <w:tblCellMar>
          <w:top w:w="108" w:type="dxa"/>
          <w:left w:w="108" w:type="dxa"/>
          <w:bottom w:w="108" w:type="dxa"/>
          <w:right w:w="108" w:type="dxa"/>
        </w:tblCellMar>
      </w:tblPr>
      <w:tblGrid>
        <w:gridCol w:w="1699"/>
        <w:gridCol w:w="2979"/>
        <w:gridCol w:w="4536"/>
      </w:tblGrid>
      <w:tr>
        <w:tblPrEx>
          <w:tblCellMar>
            <w:top w:w="108" w:type="dxa"/>
            <w:left w:w="108" w:type="dxa"/>
            <w:bottom w:w="108" w:type="dxa"/>
            <w:right w:w="108" w:type="dxa"/>
          </w:tblCellMar>
        </w:tblPrEx>
        <w:trPr>
          <w:tblCellSpacing w:w="0" w:type="dxa"/>
        </w:trPr>
        <w:tc>
          <w:tcPr>
            <w:tcW w:w="1699" w:type="dxa"/>
            <w:tcBorders>
              <w:top w:val="nil"/>
              <w:left w:val="nil"/>
              <w:bottom w:val="nil"/>
              <w:right w:val="nil"/>
            </w:tcBorders>
            <w:shd w:val="clear" w:color="auto" w:fill="FFFFFF"/>
            <w:tcMar>
              <w:top w:w="0" w:type="dxa"/>
              <w:left w:w="0" w:type="dxa"/>
              <w:bottom w:w="0" w:type="dxa"/>
              <w:right w:w="0" w:type="dxa"/>
            </w:tcMar>
          </w:tcPr>
          <w:p>
            <w:pPr>
              <w:jc w:val="center"/>
              <w:rPr>
                <w:rFonts w:ascii="Arial" w:hAnsi="Arial" w:cs="Arial"/>
                <w:color w:val="00000A"/>
                <w:sz w:val="22"/>
                <w:szCs w:val="22"/>
              </w:rPr>
            </w:pPr>
            <w:r>
              <w:rPr>
                <w:rFonts w:ascii="Arial" w:hAnsi="Arial" w:cs="Arial"/>
                <w:color w:val="000000"/>
                <w:sz w:val="22"/>
                <w:szCs w:val="22"/>
                <w:lang w:val="en-US"/>
              </w:rPr>
              <w:t>I = (TX)</w:t>
            </w:r>
          </w:p>
          <w:p>
            <w:pPr>
              <w:jc w:val="center"/>
              <w:rPr>
                <w:rFonts w:ascii="Arial" w:hAnsi="Arial" w:cs="Arial"/>
                <w:color w:val="00000A"/>
                <w:sz w:val="22"/>
                <w:szCs w:val="22"/>
              </w:rPr>
            </w:pPr>
          </w:p>
        </w:tc>
        <w:tc>
          <w:tcPr>
            <w:tcW w:w="2979" w:type="dxa"/>
            <w:tcBorders>
              <w:top w:val="nil"/>
              <w:left w:val="nil"/>
              <w:bottom w:val="nil"/>
              <w:right w:val="nil"/>
            </w:tcBorders>
            <w:shd w:val="clear" w:color="auto" w:fill="FFFFFF"/>
            <w:tcMar>
              <w:top w:w="0" w:type="dxa"/>
              <w:left w:w="0" w:type="dxa"/>
              <w:bottom w:w="0" w:type="dxa"/>
              <w:right w:w="0" w:type="dxa"/>
            </w:tcMar>
          </w:tcPr>
          <w:p>
            <w:pPr>
              <w:jc w:val="center"/>
              <w:rPr>
                <w:rFonts w:ascii="Arial" w:hAnsi="Arial" w:cs="Arial"/>
                <w:color w:val="00000A"/>
                <w:sz w:val="22"/>
                <w:szCs w:val="22"/>
              </w:rPr>
            </w:pPr>
            <w:r>
              <w:rPr>
                <w:rFonts w:ascii="Arial" w:hAnsi="Arial" w:cs="Arial"/>
                <w:color w:val="000000"/>
                <w:sz w:val="22"/>
                <w:szCs w:val="22"/>
                <w:lang w:val="en-US"/>
              </w:rPr>
              <w:t>I = (6/100) / 365</w:t>
            </w:r>
          </w:p>
          <w:p>
            <w:pPr>
              <w:jc w:val="center"/>
              <w:rPr>
                <w:rFonts w:ascii="Arial" w:hAnsi="Arial" w:cs="Arial"/>
                <w:color w:val="00000A"/>
                <w:sz w:val="22"/>
                <w:szCs w:val="22"/>
              </w:rPr>
            </w:pPr>
          </w:p>
          <w:p>
            <w:pPr>
              <w:jc w:val="center"/>
              <w:rPr>
                <w:rFonts w:ascii="Arial" w:hAnsi="Arial" w:cs="Arial"/>
                <w:color w:val="00000A"/>
                <w:sz w:val="22"/>
                <w:szCs w:val="22"/>
              </w:rPr>
            </w:pPr>
          </w:p>
        </w:tc>
        <w:tc>
          <w:tcPr>
            <w:tcW w:w="4536" w:type="dxa"/>
            <w:tcBorders>
              <w:top w:val="nil"/>
              <w:left w:val="nil"/>
              <w:bottom w:val="nil"/>
              <w:right w:val="nil"/>
            </w:tcBorders>
            <w:shd w:val="clear" w:color="auto" w:fill="FFFFFF"/>
            <w:tcMar>
              <w:top w:w="0" w:type="dxa"/>
              <w:left w:w="0" w:type="dxa"/>
              <w:bottom w:w="0" w:type="dxa"/>
              <w:right w:w="0" w:type="dxa"/>
            </w:tcMar>
          </w:tcPr>
          <w:p>
            <w:pPr>
              <w:jc w:val="center"/>
              <w:rPr>
                <w:rFonts w:ascii="Arial" w:hAnsi="Arial" w:cs="Arial"/>
                <w:color w:val="00000A"/>
                <w:sz w:val="22"/>
                <w:szCs w:val="22"/>
              </w:rPr>
            </w:pPr>
            <w:r>
              <w:rPr>
                <w:rFonts w:ascii="Arial" w:hAnsi="Arial" w:cs="Arial"/>
                <w:color w:val="000000"/>
                <w:sz w:val="22"/>
                <w:szCs w:val="22"/>
              </w:rPr>
              <w:t>I = 0,00016438</w:t>
            </w:r>
          </w:p>
          <w:p>
            <w:pPr>
              <w:jc w:val="center"/>
              <w:rPr>
                <w:rFonts w:ascii="Arial" w:hAnsi="Arial" w:cs="Arial"/>
                <w:color w:val="00000A"/>
                <w:sz w:val="22"/>
                <w:szCs w:val="22"/>
              </w:rPr>
            </w:pPr>
            <w:r>
              <w:rPr>
                <w:rFonts w:ascii="Arial" w:hAnsi="Arial" w:cs="Arial"/>
                <w:color w:val="000000"/>
                <w:sz w:val="22"/>
                <w:szCs w:val="22"/>
              </w:rPr>
              <w:t>TX = Percentual da taxa anual = 6%.</w:t>
            </w:r>
          </w:p>
          <w:p>
            <w:pPr>
              <w:jc w:val="center"/>
              <w:rPr>
                <w:rFonts w:ascii="Arial" w:hAnsi="Arial" w:cs="Arial"/>
                <w:color w:val="00000A"/>
                <w:sz w:val="22"/>
                <w:szCs w:val="22"/>
              </w:rPr>
            </w:pPr>
          </w:p>
        </w:tc>
      </w:tr>
    </w:tbl>
    <w:p>
      <w:pPr>
        <w:widowControl w:val="0"/>
        <w:numPr>
          <w:ilvl w:val="0"/>
          <w:numId w:val="34"/>
        </w:numPr>
        <w:spacing w:after="120"/>
        <w:ind w:right="-15"/>
        <w:jc w:val="both"/>
        <w:rPr>
          <w:rFonts w:ascii="Arial" w:hAnsi="Arial" w:cs="Arial"/>
          <w:sz w:val="22"/>
          <w:szCs w:val="22"/>
        </w:rPr>
      </w:pPr>
      <w:r>
        <w:rPr>
          <w:rFonts w:ascii="Arial" w:hAnsi="Arial" w:cs="Arial"/>
          <w:b/>
          <w:bCs/>
          <w:iCs/>
          <w:sz w:val="22"/>
          <w:szCs w:val="22"/>
        </w:rPr>
        <w:t>CLÁUSULA SEXTA – GARANTIA</w:t>
      </w:r>
      <w:r>
        <w:rPr>
          <w:rFonts w:ascii="Arial" w:hAnsi="Arial" w:cs="Arial"/>
          <w:sz w:val="22"/>
          <w:szCs w:val="22"/>
        </w:rPr>
        <w:t xml:space="preserve"> </w:t>
      </w:r>
      <w:r>
        <w:rPr>
          <w:rFonts w:ascii="Arial" w:hAnsi="Arial" w:cs="Arial"/>
          <w:b/>
          <w:sz w:val="22"/>
          <w:szCs w:val="22"/>
        </w:rPr>
        <w:t>DE EXECUÇÃO</w:t>
      </w:r>
    </w:p>
    <w:p>
      <w:pPr>
        <w:widowControl w:val="0"/>
        <w:numPr>
          <w:ilvl w:val="1"/>
          <w:numId w:val="34"/>
        </w:numPr>
        <w:spacing w:after="120"/>
        <w:jc w:val="both"/>
        <w:rPr>
          <w:rFonts w:ascii="Arial" w:hAnsi="Arial" w:cs="Arial"/>
          <w:sz w:val="22"/>
          <w:szCs w:val="22"/>
        </w:rPr>
      </w:pPr>
      <w:r>
        <w:rPr>
          <w:rFonts w:ascii="Arial" w:hAnsi="Arial" w:cs="Arial"/>
          <w:sz w:val="22"/>
          <w:szCs w:val="22"/>
        </w:rPr>
        <w:t xml:space="preserve">  A CONTRATADA prestará garantia no valor de R$ ............... (.......................), na modalidade de .............................., correspondente a 5% (cinco por cento) de seu valor total, no prazo de 10 (dez) dias úteis da assinatura deste contrato, observadas as condições previstas no </w:t>
      </w:r>
      <w:r>
        <w:rPr>
          <w:rFonts w:ascii="Arial" w:hAnsi="Arial" w:cs="Arial"/>
          <w:i/>
          <w:sz w:val="22"/>
          <w:szCs w:val="22"/>
        </w:rPr>
        <w:t>“Capítulo 16”</w:t>
      </w:r>
      <w:r>
        <w:rPr>
          <w:rFonts w:ascii="Arial" w:hAnsi="Arial" w:cs="Arial"/>
          <w:sz w:val="22"/>
          <w:szCs w:val="22"/>
        </w:rPr>
        <w:t xml:space="preserve"> do Edital.</w:t>
      </w:r>
    </w:p>
    <w:p>
      <w:pPr>
        <w:widowControl w:val="0"/>
        <w:numPr>
          <w:ilvl w:val="1"/>
          <w:numId w:val="34"/>
        </w:numPr>
        <w:spacing w:after="120"/>
        <w:jc w:val="both"/>
        <w:rPr>
          <w:rFonts w:ascii="Arial" w:hAnsi="Arial" w:cs="Arial"/>
          <w:sz w:val="22"/>
          <w:szCs w:val="22"/>
        </w:rPr>
      </w:pPr>
      <w:r>
        <w:rPr>
          <w:rFonts w:ascii="Arial" w:hAnsi="Arial" w:cs="Arial"/>
          <w:bCs/>
          <w:iCs/>
          <w:sz w:val="22"/>
          <w:szCs w:val="22"/>
        </w:rPr>
        <w:t>O regime jurídico da garantia é aquele previsto no instrumento convocatório.</w:t>
      </w:r>
    </w:p>
    <w:p>
      <w:pPr>
        <w:keepNext w:val="0"/>
        <w:keepLines w:val="0"/>
        <w:pageBreakBefore w:val="0"/>
        <w:widowControl/>
        <w:kinsoku/>
        <w:wordWrap/>
        <w:overflowPunct/>
        <w:topLinePunct w:val="0"/>
        <w:autoSpaceDE/>
        <w:autoSpaceDN/>
        <w:bidi w:val="0"/>
        <w:adjustRightInd/>
        <w:snapToGrid/>
        <w:jc w:val="both"/>
        <w:textAlignment w:val="auto"/>
        <w:rPr>
          <w:rFonts w:ascii="Arial" w:hAnsi="Arial" w:cs="Arial"/>
          <w:sz w:val="22"/>
          <w:szCs w:val="22"/>
        </w:rPr>
      </w:pPr>
    </w:p>
    <w:p>
      <w:pPr>
        <w:pStyle w:val="86"/>
        <w:widowControl w:val="0"/>
        <w:numPr>
          <w:ilvl w:val="0"/>
          <w:numId w:val="34"/>
        </w:numPr>
        <w:spacing w:after="120"/>
        <w:ind w:left="0" w:right="-17"/>
        <w:jc w:val="both"/>
        <w:rPr>
          <w:rFonts w:ascii="Arial" w:hAnsi="Arial" w:cs="Arial"/>
          <w:b/>
          <w:sz w:val="22"/>
          <w:szCs w:val="22"/>
        </w:rPr>
      </w:pPr>
      <w:r>
        <w:rPr>
          <w:rFonts w:ascii="Arial" w:hAnsi="Arial" w:cs="Arial"/>
          <w:b/>
          <w:color w:val="000000"/>
          <w:sz w:val="22"/>
          <w:szCs w:val="22"/>
        </w:rPr>
        <w:t>CLÁUSULA SÉTIMA – CONTROLE E FISCALIZAÇÃO DA EXECUÇÃO</w:t>
      </w:r>
    </w:p>
    <w:p>
      <w:pPr>
        <w:pStyle w:val="348"/>
        <w:numPr>
          <w:ilvl w:val="1"/>
          <w:numId w:val="34"/>
        </w:numPr>
        <w:rPr>
          <w:b/>
        </w:rPr>
      </w:pPr>
      <w:r>
        <w:t>O Município de Primavera do Leste designará como Fiscais de Contrato, a serem intitulados por meio de Portaria, sendo responsáveis por acompanhar, fiscalizar e conferir o recebimento do material ou a execução do serviço,</w:t>
      </w:r>
      <w:r>
        <w:rPr>
          <w:rFonts w:eastAsia="Calibri"/>
        </w:rPr>
        <w:t xml:space="preserve"> </w:t>
      </w:r>
      <w:r>
        <w:t>procedendo ao registro das ocorrências, falhas e/ou defeitos detectados e adotando as providências necessárias ao seu fiel cumprimento, e comunicar por escrito a autoridade superior todas as ocorrências de quaisquer fatos que, a seu critério, exijam medidas corretivas por parte da Contratada, os seguintes:</w:t>
      </w:r>
    </w:p>
    <w:tbl>
      <w:tblPr>
        <w:tblStyle w:val="58"/>
        <w:tblW w:w="9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7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vAlign w:val="center"/>
          </w:tcPr>
          <w:p>
            <w:pPr>
              <w:pStyle w:val="86"/>
              <w:autoSpaceDE w:val="0"/>
              <w:autoSpaceDN w:val="0"/>
              <w:adjustRightInd w:val="0"/>
              <w:spacing w:after="120"/>
              <w:ind w:left="0"/>
              <w:jc w:val="both"/>
              <w:rPr>
                <w:rFonts w:hint="default" w:ascii="Arial" w:hAnsi="Arial" w:cs="Arial"/>
                <w:sz w:val="22"/>
                <w:szCs w:val="22"/>
                <w:lang w:val="pt-BR"/>
              </w:rPr>
            </w:pPr>
            <w:r>
              <w:rPr>
                <w:rFonts w:ascii="Arial" w:hAnsi="Arial" w:cs="Arial"/>
                <w:sz w:val="22"/>
                <w:szCs w:val="22"/>
              </w:rPr>
              <w:t xml:space="preserve">Fiscal de </w:t>
            </w:r>
            <w:r>
              <w:rPr>
                <w:rFonts w:hint="default" w:ascii="Arial" w:hAnsi="Arial" w:cs="Arial"/>
                <w:sz w:val="22"/>
                <w:szCs w:val="22"/>
                <w:lang w:val="pt-BR"/>
              </w:rPr>
              <w:t>Projeto</w:t>
            </w:r>
          </w:p>
        </w:tc>
        <w:tc>
          <w:tcPr>
            <w:tcW w:w="7433" w:type="dxa"/>
          </w:tcPr>
          <w:p>
            <w:pPr>
              <w:spacing w:after="120"/>
              <w:ind w:right="215"/>
              <w:jc w:val="both"/>
              <w:rPr>
                <w:rFonts w:hint="default" w:ascii="Arial" w:hAnsi="Arial" w:cs="Arial"/>
                <w:sz w:val="22"/>
                <w:szCs w:val="22"/>
                <w:lang w:val="pt-BR"/>
              </w:rPr>
            </w:pPr>
            <w:r>
              <w:rPr>
                <w:rFonts w:hint="default" w:ascii="Arial" w:hAnsi="Arial" w:cs="Arial"/>
                <w:sz w:val="22"/>
                <w:szCs w:val="22"/>
                <w:lang w:val="pt-BR"/>
              </w:rPr>
              <w:t>Gabriel Alexandre</w:t>
            </w:r>
            <w:r>
              <w:rPr>
                <w:rFonts w:ascii="Arial" w:hAnsi="Arial" w:cs="Arial"/>
                <w:sz w:val="22"/>
                <w:szCs w:val="22"/>
              </w:rPr>
              <w:t xml:space="preserve"> - Engenheiro </w:t>
            </w:r>
            <w:r>
              <w:rPr>
                <w:rFonts w:hint="default" w:ascii="Arial" w:hAnsi="Arial" w:cs="Arial"/>
                <w:sz w:val="22"/>
                <w:szCs w:val="22"/>
                <w:lang w:val="pt-BR"/>
              </w:rPr>
              <w:t xml:space="preserve">Civil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vAlign w:val="center"/>
          </w:tcPr>
          <w:p>
            <w:pPr>
              <w:pStyle w:val="86"/>
              <w:autoSpaceDE w:val="0"/>
              <w:autoSpaceDN w:val="0"/>
              <w:adjustRightInd w:val="0"/>
              <w:spacing w:after="120"/>
              <w:ind w:left="0"/>
              <w:jc w:val="center"/>
              <w:rPr>
                <w:rFonts w:ascii="Arial" w:hAnsi="Arial" w:cs="Arial"/>
                <w:sz w:val="22"/>
                <w:szCs w:val="22"/>
              </w:rPr>
            </w:pPr>
            <w:r>
              <w:rPr>
                <w:rFonts w:ascii="Arial" w:hAnsi="Arial" w:cs="Arial"/>
                <w:sz w:val="22"/>
                <w:szCs w:val="22"/>
              </w:rPr>
              <w:t>Fiscal do Contrato</w:t>
            </w:r>
          </w:p>
        </w:tc>
        <w:tc>
          <w:tcPr>
            <w:tcW w:w="7433" w:type="dxa"/>
          </w:tcPr>
          <w:p>
            <w:pPr>
              <w:spacing w:after="120"/>
              <w:ind w:right="215"/>
              <w:rPr>
                <w:rFonts w:hint="default" w:ascii="Arial" w:hAnsi="Arial" w:cs="Arial"/>
                <w:sz w:val="22"/>
                <w:szCs w:val="22"/>
                <w:lang w:val="pt-BR"/>
              </w:rPr>
            </w:pPr>
            <w:r>
              <w:rPr>
                <w:rFonts w:hint="default" w:ascii="Arial" w:hAnsi="Arial" w:cs="Arial"/>
                <w:sz w:val="22"/>
                <w:szCs w:val="22"/>
                <w:lang w:val="pt-BR"/>
              </w:rPr>
              <w:t>Paulo Coimbra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4" w:type="dxa"/>
            <w:vAlign w:val="center"/>
          </w:tcPr>
          <w:p>
            <w:pPr>
              <w:pStyle w:val="86"/>
              <w:autoSpaceDE w:val="0"/>
              <w:autoSpaceDN w:val="0"/>
              <w:adjustRightInd w:val="0"/>
              <w:spacing w:after="120"/>
              <w:ind w:left="0"/>
              <w:jc w:val="center"/>
              <w:rPr>
                <w:rFonts w:ascii="Arial" w:hAnsi="Arial" w:cs="Arial"/>
                <w:sz w:val="22"/>
                <w:szCs w:val="22"/>
              </w:rPr>
            </w:pPr>
            <w:r>
              <w:rPr>
                <w:rFonts w:ascii="Arial" w:hAnsi="Arial" w:cs="Arial"/>
                <w:sz w:val="22"/>
                <w:szCs w:val="22"/>
              </w:rPr>
              <w:t>Suplente do Fiscal</w:t>
            </w:r>
          </w:p>
        </w:tc>
        <w:tc>
          <w:tcPr>
            <w:tcW w:w="7433" w:type="dxa"/>
          </w:tcPr>
          <w:p>
            <w:pPr>
              <w:spacing w:after="120"/>
              <w:ind w:right="215"/>
              <w:rPr>
                <w:rFonts w:hint="default" w:ascii="Arial" w:hAnsi="Arial" w:cs="Arial"/>
                <w:sz w:val="22"/>
                <w:szCs w:val="22"/>
                <w:lang w:val="pt-BR"/>
              </w:rPr>
            </w:pPr>
            <w:r>
              <w:rPr>
                <w:rFonts w:hint="default" w:ascii="Arial" w:hAnsi="Arial" w:cs="Arial"/>
                <w:sz w:val="22"/>
                <w:szCs w:val="22"/>
                <w:lang w:val="pt-BR"/>
              </w:rPr>
              <w:t>Edson Márcio da Silva Xavier</w:t>
            </w:r>
          </w:p>
        </w:tc>
      </w:tr>
    </w:tbl>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pPr>
      <w:r>
        <w:rPr>
          <w:b/>
        </w:rPr>
        <w:t>7.2.</w:t>
      </w:r>
      <w:r>
        <w:t xml:space="preserve"> Eventuais alterações dos integrantes da Equipe de Fiscalização deverá ser realizada por meio de Portaria a ser publicada no Diário Oficial, dispensado o apostilamento.</w:t>
      </w:r>
    </w:p>
    <w:p>
      <w:pPr>
        <w:pStyle w:val="348"/>
        <w:keepNext w:val="0"/>
        <w:keepLines w:val="0"/>
        <w:pageBreakBefore w:val="0"/>
        <w:kinsoku/>
        <w:wordWrap/>
        <w:overflowPunct/>
        <w:topLinePunct w:val="0"/>
        <w:autoSpaceDE/>
        <w:autoSpaceDN/>
        <w:bidi w:val="0"/>
        <w:adjustRightInd/>
        <w:snapToGrid/>
        <w:spacing w:before="0" w:beforeAutospacing="0" w:after="120" w:afterAutospacing="0"/>
        <w:textAlignment w:val="auto"/>
        <w:rPr>
          <w:b/>
        </w:rPr>
      </w:pPr>
      <w:r>
        <w:rPr>
          <w:b/>
        </w:rPr>
        <w:t>7.3.</w:t>
      </w:r>
      <w:r>
        <w:t xml:space="preserve"> Caberá ao Fiscal, além das que perfazem na legislação vigente, Lei Nº 8.666/93 e a IN SCL nº 006/2014, conferir e atestar a Nota Fiscal emitida pela empresa contratada caso seja considerada em ordem para ser providenciado a liquidação. </w:t>
      </w:r>
    </w:p>
    <w:p>
      <w:pPr>
        <w:keepNext w:val="0"/>
        <w:keepLines w:val="0"/>
        <w:pageBreakBefore w:val="0"/>
        <w:widowControl w:val="0"/>
        <w:kinsoku/>
        <w:wordWrap/>
        <w:overflowPunct/>
        <w:topLinePunct w:val="0"/>
        <w:autoSpaceDE/>
        <w:autoSpaceDN/>
        <w:bidi w:val="0"/>
        <w:adjustRightInd/>
        <w:snapToGrid/>
        <w:spacing w:beforeAutospacing="0" w:after="120" w:afterAutospacing="0"/>
        <w:ind w:left="-6"/>
        <w:jc w:val="both"/>
        <w:textAlignment w:val="auto"/>
        <w:rPr>
          <w:rFonts w:ascii="Arial" w:hAnsi="Arial" w:cs="Arial"/>
          <w:color w:val="000000"/>
          <w:sz w:val="22"/>
          <w:szCs w:val="22"/>
        </w:rPr>
      </w:pPr>
      <w:r>
        <w:rPr>
          <w:rFonts w:ascii="Arial" w:hAnsi="Arial" w:cs="Arial"/>
          <w:b/>
          <w:color w:val="000000"/>
          <w:sz w:val="22"/>
          <w:szCs w:val="22"/>
        </w:rPr>
        <w:t>7.4.</w:t>
      </w:r>
      <w:r>
        <w:rPr>
          <w:rFonts w:ascii="Arial" w:hAnsi="Arial" w:cs="Arial"/>
          <w:color w:val="000000"/>
          <w:sz w:val="22"/>
          <w:szCs w:val="22"/>
        </w:rPr>
        <w:t xml:space="preserve"> O acompanhamento e a fiscalização da execução do contrato consistem na verificação da conformidade da prestação dos serviços, dos materiais, técnicas e equipamentos empregados, de forma a assegurar o perfeito cumprimento do ajuste, </w:t>
      </w:r>
      <w:r>
        <w:rPr>
          <w:rFonts w:ascii="Arial" w:hAnsi="Arial" w:cs="Arial"/>
          <w:sz w:val="22"/>
          <w:szCs w:val="22"/>
        </w:rPr>
        <w:t>que serão exercidos</w:t>
      </w:r>
      <w:r>
        <w:rPr>
          <w:rFonts w:ascii="Arial" w:hAnsi="Arial" w:cs="Arial"/>
          <w:color w:val="000000"/>
          <w:sz w:val="22"/>
          <w:szCs w:val="22"/>
        </w:rPr>
        <w:t xml:space="preserve"> por um ou mais representantes da Contratante, especialmente designados, na forma dos arts. 67 e 73 da Lei nº 8.666, de 1993;</w:t>
      </w:r>
    </w:p>
    <w:p>
      <w:pPr>
        <w:keepNext w:val="0"/>
        <w:keepLines w:val="0"/>
        <w:pageBreakBefore w:val="0"/>
        <w:widowControl w:val="0"/>
        <w:kinsoku/>
        <w:wordWrap/>
        <w:overflowPunct/>
        <w:topLinePunct w:val="0"/>
        <w:autoSpaceDE/>
        <w:autoSpaceDN/>
        <w:bidi w:val="0"/>
        <w:adjustRightInd/>
        <w:snapToGrid/>
        <w:spacing w:beforeAutospacing="0" w:after="120" w:afterAutospacing="0"/>
        <w:ind w:left="-6"/>
        <w:jc w:val="both"/>
        <w:textAlignment w:val="auto"/>
        <w:rPr>
          <w:rFonts w:ascii="Arial" w:hAnsi="Arial" w:cs="Arial"/>
          <w:color w:val="000000"/>
          <w:sz w:val="22"/>
          <w:szCs w:val="22"/>
        </w:rPr>
      </w:pPr>
      <w:r>
        <w:rPr>
          <w:rFonts w:ascii="Arial" w:hAnsi="Arial" w:cs="Arial"/>
          <w:b/>
          <w:color w:val="000000"/>
          <w:sz w:val="22"/>
          <w:szCs w:val="22"/>
        </w:rPr>
        <w:t>7.5.</w:t>
      </w:r>
      <w:r>
        <w:rPr>
          <w:rFonts w:ascii="Arial" w:hAnsi="Arial" w:cs="Arial"/>
          <w:color w:val="000000"/>
          <w:sz w:val="22"/>
          <w:szCs w:val="22"/>
        </w:rPr>
        <w:t xml:space="preserve"> O representante da Contratante deverá ter a </w:t>
      </w:r>
      <w:r>
        <w:rPr>
          <w:rFonts w:ascii="Arial" w:hAnsi="Arial" w:cs="Arial"/>
          <w:sz w:val="22"/>
          <w:szCs w:val="22"/>
        </w:rPr>
        <w:t xml:space="preserve">qualificação </w:t>
      </w:r>
      <w:r>
        <w:rPr>
          <w:rFonts w:ascii="Arial" w:hAnsi="Arial" w:cs="Arial"/>
          <w:color w:val="000000"/>
          <w:sz w:val="22"/>
          <w:szCs w:val="22"/>
        </w:rPr>
        <w:t>necessária para o acompanhamento e controle da execução dos serviços e do contrato.</w:t>
      </w:r>
    </w:p>
    <w:p>
      <w:pPr>
        <w:keepNext w:val="0"/>
        <w:keepLines w:val="0"/>
        <w:pageBreakBefore w:val="0"/>
        <w:widowControl w:val="0"/>
        <w:kinsoku/>
        <w:wordWrap/>
        <w:overflowPunct/>
        <w:topLinePunct w:val="0"/>
        <w:autoSpaceDE/>
        <w:autoSpaceDN/>
        <w:bidi w:val="0"/>
        <w:adjustRightInd/>
        <w:snapToGrid/>
        <w:spacing w:beforeAutospacing="0" w:after="120" w:afterAutospacing="0"/>
        <w:ind w:left="-6"/>
        <w:jc w:val="both"/>
        <w:textAlignment w:val="auto"/>
        <w:rPr>
          <w:rFonts w:ascii="Arial" w:hAnsi="Arial" w:cs="Arial"/>
          <w:color w:val="000000"/>
          <w:sz w:val="22"/>
          <w:szCs w:val="22"/>
        </w:rPr>
      </w:pPr>
      <w:r>
        <w:rPr>
          <w:rFonts w:ascii="Arial" w:hAnsi="Arial" w:cs="Arial"/>
          <w:b/>
          <w:color w:val="000000"/>
          <w:sz w:val="22"/>
          <w:szCs w:val="22"/>
        </w:rPr>
        <w:t>7.6.</w:t>
      </w:r>
      <w:r>
        <w:rPr>
          <w:rFonts w:ascii="Arial" w:hAnsi="Arial" w:cs="Arial"/>
          <w:color w:val="000000"/>
          <w:sz w:val="22"/>
          <w:szCs w:val="22"/>
        </w:rPr>
        <w:t xml:space="preserve"> A verificação da adequação da prestação contratada deverá ser realizada com base nos critérios previstos nos projetos e demais documentos técnicos anexos ao instrumento convocatório a que se vincula este contrato;</w:t>
      </w:r>
    </w:p>
    <w:p>
      <w:pPr>
        <w:keepNext w:val="0"/>
        <w:keepLines w:val="0"/>
        <w:pageBreakBefore w:val="0"/>
        <w:widowControl w:val="0"/>
        <w:kinsoku/>
        <w:wordWrap/>
        <w:overflowPunct/>
        <w:topLinePunct w:val="0"/>
        <w:autoSpaceDE/>
        <w:autoSpaceDN/>
        <w:bidi w:val="0"/>
        <w:adjustRightInd/>
        <w:snapToGrid/>
        <w:spacing w:beforeAutospacing="0" w:after="120" w:afterAutospacing="0"/>
        <w:ind w:left="-6"/>
        <w:jc w:val="both"/>
        <w:textAlignment w:val="auto"/>
        <w:rPr>
          <w:rFonts w:ascii="Arial" w:hAnsi="Arial" w:cs="Arial"/>
          <w:color w:val="000000"/>
          <w:sz w:val="22"/>
          <w:szCs w:val="22"/>
        </w:rPr>
      </w:pPr>
      <w:r>
        <w:rPr>
          <w:rFonts w:ascii="Arial" w:hAnsi="Arial" w:cs="Arial"/>
          <w:b/>
          <w:color w:val="000000"/>
          <w:sz w:val="22"/>
          <w:szCs w:val="22"/>
        </w:rPr>
        <w:t>7.7.</w:t>
      </w:r>
      <w:r>
        <w:rPr>
          <w:rFonts w:ascii="Arial" w:hAnsi="Arial" w:cs="Arial"/>
          <w:color w:val="000000"/>
          <w:sz w:val="22"/>
          <w:szCs w:val="22"/>
        </w:rPr>
        <w:t xml:space="preserve"> A fiscalização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pPr>
        <w:keepNext w:val="0"/>
        <w:keepLines w:val="0"/>
        <w:pageBreakBefore w:val="0"/>
        <w:widowControl w:val="0"/>
        <w:kinsoku/>
        <w:wordWrap/>
        <w:overflowPunct/>
        <w:topLinePunct w:val="0"/>
        <w:autoSpaceDE/>
        <w:autoSpaceDN/>
        <w:bidi w:val="0"/>
        <w:adjustRightInd/>
        <w:snapToGrid/>
        <w:spacing w:beforeAutospacing="0" w:after="120" w:afterAutospacing="0"/>
        <w:ind w:left="-6"/>
        <w:jc w:val="both"/>
        <w:textAlignment w:val="auto"/>
        <w:rPr>
          <w:rFonts w:ascii="Arial" w:hAnsi="Arial" w:cs="Arial"/>
          <w:color w:val="000000"/>
          <w:sz w:val="22"/>
          <w:szCs w:val="22"/>
        </w:rPr>
      </w:pPr>
      <w:r>
        <w:rPr>
          <w:rFonts w:ascii="Arial" w:hAnsi="Arial" w:cs="Arial"/>
          <w:b/>
          <w:color w:val="000000"/>
          <w:sz w:val="22"/>
          <w:szCs w:val="22"/>
        </w:rPr>
        <w:t>7.8.</w:t>
      </w:r>
      <w:r>
        <w:rPr>
          <w:rFonts w:ascii="Arial" w:hAnsi="Arial" w:cs="Arial"/>
          <w:color w:val="000000"/>
          <w:sz w:val="22"/>
          <w:szCs w:val="22"/>
        </w:rPr>
        <w:t xml:space="preserve"> A conformidade do material/técnica/equipamento a ser utilizado na execução dos serviços deverá ser verificada juntamente com o documento da Contratada que contenha a relação detalhada dos mesmos, de acordo com o estabelecido nos projetos e demais documentos técnicos anexos ao instrumento convocatório a que se vincula este contrato, informando as respectivas quantidades e especificações técnicas, tais como: marca, qualidade e forma de uso;</w:t>
      </w:r>
    </w:p>
    <w:p>
      <w:pPr>
        <w:keepNext w:val="0"/>
        <w:keepLines w:val="0"/>
        <w:pageBreakBefore w:val="0"/>
        <w:widowControl w:val="0"/>
        <w:kinsoku/>
        <w:wordWrap/>
        <w:overflowPunct/>
        <w:topLinePunct w:val="0"/>
        <w:autoSpaceDE/>
        <w:autoSpaceDN/>
        <w:bidi w:val="0"/>
        <w:adjustRightInd/>
        <w:snapToGrid/>
        <w:spacing w:beforeAutospacing="0" w:after="120" w:afterAutospacing="0"/>
        <w:ind w:left="-6"/>
        <w:jc w:val="both"/>
        <w:textAlignment w:val="auto"/>
        <w:rPr>
          <w:rFonts w:ascii="Arial" w:hAnsi="Arial" w:cs="Arial"/>
          <w:color w:val="000000"/>
          <w:sz w:val="22"/>
          <w:szCs w:val="22"/>
        </w:rPr>
      </w:pPr>
      <w:r>
        <w:rPr>
          <w:rFonts w:ascii="Arial" w:hAnsi="Arial" w:cs="Arial"/>
          <w:b/>
          <w:color w:val="000000"/>
          <w:sz w:val="22"/>
          <w:szCs w:val="22"/>
        </w:rPr>
        <w:t>7.9.</w:t>
      </w:r>
      <w:r>
        <w:rPr>
          <w:rFonts w:ascii="Arial" w:hAnsi="Arial" w:cs="Arial"/>
          <w:color w:val="000000"/>
          <w:sz w:val="22"/>
          <w:szCs w:val="22"/>
        </w:rPr>
        <w:t xml:space="preserve">  O representante da Contratante deverá promover o registro das ocorrências verificadas, adotando as providências necessárias ao fiel cumprimento das cláusulas contratuais, conforme o disposto nos §§ 1º e 2º do art. 67 da Lei nº 8.666, de 1993;</w:t>
      </w:r>
    </w:p>
    <w:p>
      <w:pPr>
        <w:keepNext w:val="0"/>
        <w:keepLines w:val="0"/>
        <w:pageBreakBefore w:val="0"/>
        <w:widowControl w:val="0"/>
        <w:kinsoku/>
        <w:wordWrap/>
        <w:overflowPunct/>
        <w:topLinePunct w:val="0"/>
        <w:autoSpaceDE/>
        <w:autoSpaceDN/>
        <w:bidi w:val="0"/>
        <w:adjustRightInd/>
        <w:snapToGrid/>
        <w:spacing w:beforeAutospacing="0" w:after="120" w:afterAutospacing="0"/>
        <w:ind w:left="-6"/>
        <w:jc w:val="both"/>
        <w:textAlignment w:val="auto"/>
        <w:rPr>
          <w:rFonts w:ascii="Arial" w:hAnsi="Arial" w:cs="Arial"/>
          <w:color w:val="000000"/>
          <w:sz w:val="22"/>
          <w:szCs w:val="22"/>
        </w:rPr>
      </w:pPr>
      <w:r>
        <w:rPr>
          <w:rFonts w:ascii="Arial" w:hAnsi="Arial" w:cs="Arial"/>
          <w:b/>
          <w:color w:val="000000"/>
          <w:sz w:val="22"/>
          <w:szCs w:val="22"/>
        </w:rPr>
        <w:t>7.10.</w:t>
      </w:r>
      <w:r>
        <w:rPr>
          <w:rFonts w:ascii="Arial" w:hAnsi="Arial" w:cs="Arial"/>
          <w:color w:val="000000"/>
          <w:sz w:val="22"/>
          <w:szCs w:val="22"/>
        </w:rPr>
        <w:t xml:space="preserve"> O descumprimento total ou parcial das obrigações e responsabilidades assumidas pela Contratada, sobretudo quanto às obrigações e encargos sociais e trabalhistas, ensejará a aplicação de sanções administrativas, previstas neste Termo de Contrato e na legislação vigente, podendo culminar em rescisão contratual, conforme disposto nos artigos 77 e 78 da Lei nº 8.666, de 1993;</w:t>
      </w:r>
    </w:p>
    <w:p>
      <w:pPr>
        <w:keepNext w:val="0"/>
        <w:keepLines w:val="0"/>
        <w:pageBreakBefore w:val="0"/>
        <w:widowControl w:val="0"/>
        <w:kinsoku/>
        <w:wordWrap/>
        <w:overflowPunct/>
        <w:topLinePunct w:val="0"/>
        <w:autoSpaceDE/>
        <w:autoSpaceDN/>
        <w:bidi w:val="0"/>
        <w:adjustRightInd/>
        <w:snapToGrid/>
        <w:spacing w:beforeAutospacing="0" w:after="120" w:afterAutospacing="0"/>
        <w:jc w:val="both"/>
        <w:textAlignment w:val="auto"/>
        <w:rPr>
          <w:rFonts w:ascii="Arial" w:hAnsi="Arial" w:cs="Arial"/>
          <w:b/>
          <w:iCs/>
          <w:sz w:val="22"/>
          <w:szCs w:val="22"/>
        </w:rPr>
      </w:pPr>
      <w:r>
        <w:rPr>
          <w:rFonts w:ascii="Arial" w:hAnsi="Arial" w:cs="Arial"/>
          <w:b/>
          <w:color w:val="000000"/>
          <w:sz w:val="22"/>
          <w:szCs w:val="22"/>
        </w:rPr>
        <w:t>7.11.</w:t>
      </w:r>
      <w:r>
        <w:rPr>
          <w:rFonts w:ascii="Arial" w:hAnsi="Arial" w:cs="Arial"/>
          <w:color w:val="000000"/>
          <w:sz w:val="22"/>
          <w:szCs w:val="22"/>
        </w:rPr>
        <w:t xml:space="preserve">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corresponsabilidade da Contratante ou de seus agentes e prepostos, de conformidade com o art. 70 da Lei nº 8.666, de 1993.</w:t>
      </w:r>
    </w:p>
    <w:p>
      <w:pPr>
        <w:keepNext w:val="0"/>
        <w:keepLines w:val="0"/>
        <w:pageBreakBefore w:val="0"/>
        <w:widowControl/>
        <w:kinsoku/>
        <w:wordWrap/>
        <w:overflowPunct/>
        <w:topLinePunct w:val="0"/>
        <w:autoSpaceDE/>
        <w:autoSpaceDN/>
        <w:bidi w:val="0"/>
        <w:adjustRightInd/>
        <w:snapToGrid/>
        <w:ind w:left="425"/>
        <w:textAlignment w:val="auto"/>
        <w:rPr>
          <w:rFonts w:ascii="Arial" w:hAnsi="Arial" w:cs="Arial"/>
          <w:b/>
          <w:iCs/>
          <w:sz w:val="22"/>
          <w:szCs w:val="22"/>
        </w:rPr>
      </w:pPr>
    </w:p>
    <w:p>
      <w:pPr>
        <w:pStyle w:val="86"/>
        <w:keepNext w:val="0"/>
        <w:keepLines w:val="0"/>
        <w:pageBreakBefore w:val="0"/>
        <w:widowControl w:val="0"/>
        <w:numPr>
          <w:ilvl w:val="0"/>
          <w:numId w:val="34"/>
        </w:numPr>
        <w:kinsoku/>
        <w:wordWrap/>
        <w:overflowPunct/>
        <w:topLinePunct w:val="0"/>
        <w:autoSpaceDE/>
        <w:autoSpaceDN/>
        <w:bidi w:val="0"/>
        <w:adjustRightInd/>
        <w:snapToGrid/>
        <w:spacing w:after="120"/>
        <w:ind w:left="0"/>
        <w:jc w:val="both"/>
        <w:textAlignment w:val="auto"/>
        <w:rPr>
          <w:rFonts w:ascii="Arial" w:hAnsi="Arial" w:cs="Arial"/>
          <w:b/>
          <w:sz w:val="22"/>
          <w:szCs w:val="22"/>
        </w:rPr>
      </w:pPr>
      <w:r>
        <w:rPr>
          <w:rFonts w:ascii="Arial" w:hAnsi="Arial" w:cs="Arial"/>
          <w:b/>
          <w:bCs/>
          <w:color w:val="000000"/>
          <w:sz w:val="22"/>
          <w:szCs w:val="22"/>
        </w:rPr>
        <w:t>CLÁUSULA OITAVA – OBRIGAÇÕES DA CONTRATANTE</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ascii="Arial" w:hAnsi="Arial" w:cs="Arial"/>
          <w:color w:val="000000"/>
          <w:sz w:val="22"/>
          <w:szCs w:val="22"/>
        </w:rPr>
      </w:pPr>
      <w:r>
        <w:rPr>
          <w:rFonts w:ascii="Arial" w:hAnsi="Arial" w:cs="Arial"/>
          <w:color w:val="000000"/>
          <w:sz w:val="22"/>
          <w:szCs w:val="22"/>
        </w:rPr>
        <w:t>Exigir o cumprimento de todas as obrigações assumidas pela Contratada, de acordo com as cláusulas contratuais e os termos de sua proposta;</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ascii="Arial" w:hAnsi="Arial" w:cs="Arial"/>
          <w:color w:val="000000"/>
          <w:sz w:val="22"/>
          <w:szCs w:val="22"/>
        </w:rPr>
      </w:pPr>
      <w:r>
        <w:rPr>
          <w:rFonts w:ascii="Arial" w:hAnsi="Arial" w:cs="Arial"/>
          <w:color w:val="000000"/>
          <w:sz w:val="22"/>
          <w:szCs w:val="22"/>
        </w:rPr>
        <w:t xml:space="preserve">Exercer o acompanhamento e a fiscalização dos serviços, por servidor ou </w:t>
      </w:r>
      <w:r>
        <w:rPr>
          <w:rFonts w:ascii="Arial" w:hAnsi="Arial" w:cs="Arial"/>
          <w:sz w:val="22"/>
          <w:szCs w:val="22"/>
        </w:rPr>
        <w:t>comissão especialmente designada,</w:t>
      </w:r>
      <w:r>
        <w:rPr>
          <w:rFonts w:ascii="Arial" w:hAnsi="Arial" w:cs="Arial"/>
          <w:color w:val="000000"/>
          <w:sz w:val="22"/>
          <w:szCs w:val="22"/>
        </w:rPr>
        <w:t xml:space="preserve"> anotando em registro próprio as falhas detectadas, indicando dia, mês e ano, bem como o nome dos empregados eventualmente envolvidos, encaminhando os apontamentos à autoridade competente para as providências cabíveis;</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ascii="Arial" w:hAnsi="Arial" w:cs="Arial"/>
          <w:color w:val="000000"/>
          <w:sz w:val="22"/>
          <w:szCs w:val="22"/>
        </w:rPr>
      </w:pPr>
      <w:r>
        <w:rPr>
          <w:rFonts w:ascii="Arial" w:hAnsi="Arial" w:cs="Arial"/>
          <w:color w:val="000000"/>
          <w:sz w:val="22"/>
          <w:szCs w:val="22"/>
        </w:rPr>
        <w:t xml:space="preserve">Notificar a Contratada por escrito da ocorrência de eventuais imperfeições, falhas ou irregularidades constatadas no curso da execução dos serviços, fixando prazo para a sua correção, </w:t>
      </w:r>
      <w:r>
        <w:rPr>
          <w:rFonts w:ascii="Arial" w:hAnsi="Arial" w:cs="Arial"/>
          <w:sz w:val="22"/>
          <w:szCs w:val="22"/>
        </w:rPr>
        <w:t>certificando-se de que as soluções por ela propostas sejam as mais adequadas;</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ascii="Arial" w:hAnsi="Arial" w:cs="Arial"/>
          <w:color w:val="000000"/>
          <w:sz w:val="22"/>
          <w:szCs w:val="22"/>
        </w:rPr>
      </w:pPr>
      <w:r>
        <w:rPr>
          <w:rFonts w:ascii="Arial" w:hAnsi="Arial" w:cs="Arial"/>
          <w:color w:val="000000"/>
          <w:sz w:val="22"/>
          <w:szCs w:val="22"/>
        </w:rPr>
        <w:t>Pagar à Contratada o valor resultante da prestação contratual, conforme cronograma físico-financeiro;</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ascii="Arial" w:hAnsi="Arial" w:cs="Arial"/>
          <w:sz w:val="22"/>
          <w:szCs w:val="22"/>
        </w:rPr>
      </w:pPr>
      <w:r>
        <w:rPr>
          <w:rFonts w:ascii="Arial" w:hAnsi="Arial" w:cs="Arial"/>
          <w:color w:val="000000"/>
          <w:sz w:val="22"/>
          <w:szCs w:val="22"/>
        </w:rPr>
        <w:t>Efetuar as retenções tributárias devidas sobre o valor da fatura de serviços da Contratada, em conformidade com o art. 36, §8º da IN SLTI/MPOG n. 02/2008;</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ascii="Arial" w:hAnsi="Arial" w:cs="Arial"/>
          <w:sz w:val="22"/>
          <w:szCs w:val="22"/>
        </w:rPr>
      </w:pPr>
      <w:r>
        <w:rPr>
          <w:rFonts w:ascii="Arial" w:hAnsi="Arial" w:cs="Arial"/>
          <w:sz w:val="22"/>
          <w:szCs w:val="22"/>
        </w:rPr>
        <w:t>Fornecer por escrito as informações necessárias para o desenvolvimento dos serviços objeto do contrato;</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ascii="Arial" w:hAnsi="Arial" w:cs="Arial"/>
          <w:sz w:val="22"/>
          <w:szCs w:val="22"/>
        </w:rPr>
      </w:pPr>
      <w:r>
        <w:rPr>
          <w:rFonts w:ascii="Arial" w:hAnsi="Arial" w:cs="Arial"/>
          <w:sz w:val="22"/>
          <w:szCs w:val="22"/>
        </w:rPr>
        <w:t>Realizar avaliações periódicas da qualidade dos serviços, após seu recebimento;</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ascii="Arial" w:hAnsi="Arial" w:cs="Arial"/>
          <w:sz w:val="22"/>
          <w:szCs w:val="22"/>
        </w:rPr>
      </w:pPr>
      <w:r>
        <w:rPr>
          <w:rFonts w:ascii="Arial" w:hAnsi="Arial" w:cs="Arial"/>
          <w:sz w:val="22"/>
          <w:szCs w:val="22"/>
        </w:rPr>
        <w:t xml:space="preserve">Cientificar o órgão de representação judicial do Município para adoção das medidas cabíveis quando do descumprimento das obrigações pela Contratada; </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ascii="Arial" w:hAnsi="Arial" w:cs="Arial"/>
          <w:sz w:val="22"/>
          <w:szCs w:val="22"/>
        </w:rPr>
      </w:pPr>
      <w:r>
        <w:rPr>
          <w:rFonts w:ascii="Arial" w:hAnsi="Arial" w:cs="Arial"/>
          <w:sz w:val="22"/>
          <w:szCs w:val="22"/>
        </w:rPr>
        <w:t>Arquivamento, entre outros documentos, de projetos, “as built”, especificações técnicas, orçamentos, termos de recebimento, contratos e aditamentos, relatórios de inspeções técnicas após o recebimento do serviço e notificações expedidas;</w:t>
      </w:r>
    </w:p>
    <w:p>
      <w:pPr>
        <w:pStyle w:val="86"/>
        <w:keepNext w:val="0"/>
        <w:keepLines w:val="0"/>
        <w:pageBreakBefore w:val="0"/>
        <w:widowControl w:val="0"/>
        <w:numPr>
          <w:ilvl w:val="0"/>
          <w:numId w:val="34"/>
        </w:numPr>
        <w:tabs>
          <w:tab w:val="left" w:pos="2268"/>
        </w:tabs>
        <w:kinsoku/>
        <w:wordWrap/>
        <w:overflowPunct/>
        <w:topLinePunct w:val="0"/>
        <w:autoSpaceDE/>
        <w:autoSpaceDN/>
        <w:bidi w:val="0"/>
        <w:adjustRightInd/>
        <w:snapToGrid/>
        <w:spacing w:after="120"/>
        <w:ind w:left="0"/>
        <w:jc w:val="both"/>
        <w:textAlignment w:val="auto"/>
        <w:rPr>
          <w:rFonts w:ascii="Arial" w:hAnsi="Arial" w:cs="Arial"/>
          <w:b/>
          <w:sz w:val="22"/>
          <w:szCs w:val="22"/>
          <w:shd w:val="clear" w:color="auto" w:fill="FF00FF"/>
        </w:rPr>
      </w:pPr>
      <w:r>
        <w:rPr>
          <w:rFonts w:ascii="Arial" w:hAnsi="Arial" w:cs="Arial"/>
          <w:b/>
          <w:sz w:val="22"/>
          <w:szCs w:val="22"/>
        </w:rPr>
        <w:t xml:space="preserve">  CLÁUSULA NONA – DAS OBRIGAÇÕES DA CONTRATADA</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Todos os Projetos deverão ser desenvolvidos em conformidade com as DIRETRIZES BÁSICAS PARA ELABORAÇÃO DE ESTUDOS E PROJETOS RODOVIÁRIOS ESCOPOS BÁSICOS/INSTRUÇÕES DE SERVIÇO – DNIT e com este Termo de Referência, prevalecendo, no caso de eventuais divergências, as disposições estabelecidas pelo Contratante</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O desenvolvimento de todas as etapas do Projeto é de responsabilidade da Contratada, desde a consulta preliminar à aprovação final</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Os trabalhos deverão ser rigorosamente realizados em obediência às etapas de Projeto estabelecidas no item “Etapas do Projeto”, de modo a evoluírem gradual e continuamente em direção aos objetivos estabelecidos pelo Contratante e reduzirem-se os riscos de perdas e refazimentos dos serviços</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A Contratada deverá providenciar junto ao CREA/CAU as Anotações de Responsabilidade Técnica (ART/RRT) referentes a todos os Projetos e atividades técnicas objeto deste Termo de Referência, inclusive da Planilha orçamentária</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A Contratada deverá entregar, ao Contratante, uma via das Anotações de Responsabilidade Técnica (ART/RRT) relativas a cada um dos Projetos específicos, devidamente quitadas</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A Contratada deverá efetuar o pagamento de todos os impostos, taxas e demais obrigações fiscais incidentes ou que vierem a incidir sobre o objeto do contrato, até o recebimento definitivo dos serviços</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A Contratada deverá possuir ou providenciar os equipamentos, os materiais, os insumos, a mão-de-obra, os meios de transporte, e demais itens necessários ao desenvolvimento de todas as etapas do Projeto</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Toda e qualquer dúvida deverá ser esclarecida previamente com o Contratante antes da execução dos serviços correspondentes</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Os documentos técnicos produzidos em cada etapa de elaboração do Projeto devem ser submetidos à avaliação do Contratante</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rPr>
      </w:pPr>
      <w:r>
        <w:rPr>
          <w:rFonts w:hint="default" w:ascii="Arial" w:hAnsi="Arial" w:cs="Arial"/>
          <w:sz w:val="22"/>
          <w:szCs w:val="22"/>
        </w:rPr>
        <w:t>Serão de responsabilidade dos autores dos Projetos a introdução das modificações necessárias à sua aprovação</w:t>
      </w:r>
      <w:r>
        <w:rPr>
          <w:rFonts w:hint="default" w:ascii="Arial" w:hAnsi="Arial" w:cs="Arial"/>
          <w:sz w:val="22"/>
          <w:szCs w:val="22"/>
          <w:lang w:val="pt-BR"/>
        </w:rPr>
        <w:t>;</w:t>
      </w:r>
      <w:r>
        <w:rPr>
          <w:rFonts w:hint="default" w:ascii="Arial" w:hAnsi="Arial" w:cs="Arial"/>
          <w:sz w:val="22"/>
          <w:szCs w:val="22"/>
        </w:rPr>
        <w:t xml:space="preserve"> </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rPr>
      </w:pPr>
      <w:r>
        <w:rPr>
          <w:rFonts w:hint="default" w:ascii="Arial" w:hAnsi="Arial" w:cs="Arial"/>
          <w:sz w:val="22"/>
          <w:szCs w:val="22"/>
        </w:rPr>
        <w:t>Os documentos técnicos que forem rejeitados, parciais ou totalmente, devem ser revistos ou alterados apenas pelo seu autor e submetidos à nova avaliação</w:t>
      </w:r>
      <w:r>
        <w:rPr>
          <w:rFonts w:hint="default" w:ascii="Arial" w:hAnsi="Arial" w:cs="Arial"/>
          <w:sz w:val="22"/>
          <w:szCs w:val="22"/>
          <w:lang w:val="pt-BR"/>
        </w:rPr>
        <w:t>;</w:t>
      </w:r>
      <w:r>
        <w:rPr>
          <w:rFonts w:hint="default" w:ascii="Arial" w:hAnsi="Arial" w:cs="Arial"/>
          <w:sz w:val="22"/>
          <w:szCs w:val="22"/>
        </w:rPr>
        <w:t xml:space="preserve"> </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Os trâmites para a aprovação dos Projetos junto aos órgãos oficiais e às concessionárias de serviços serão de responsabilidade da Contratada, através dos autores dos Projetos</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As impropriedades apontadas pelo Contratante e pelos órgãos de aprovação, fiscalização e controle serão corrigidas pela Contratada sem custo adicional para o Contratante</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A aprovação do Projeto não eximirá os autores dos Projetos das responsabilidades estabelecidas pelas normas, regulamentos e legislação pertinentes às atividades profissionais</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lang w:val="pt-BR"/>
        </w:rPr>
      </w:pPr>
      <w:r>
        <w:rPr>
          <w:rFonts w:hint="default" w:ascii="Arial" w:hAnsi="Arial" w:cs="Arial"/>
          <w:sz w:val="22"/>
          <w:szCs w:val="22"/>
        </w:rPr>
        <w:t>A Contratada deverá encaminhar ao Contratante, cópia dos Projetos com os carimbos de aprovação e chancela dos órgãos competentes</w:t>
      </w:r>
      <w:r>
        <w:rPr>
          <w:rFonts w:hint="default" w:ascii="Arial" w:hAnsi="Arial" w:cs="Arial"/>
          <w:sz w:val="22"/>
          <w:szCs w:val="22"/>
          <w:lang w:val="pt-BR"/>
        </w:rPr>
        <w:t>;</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rPr>
      </w:pPr>
      <w:r>
        <w:rPr>
          <w:rFonts w:hint="default" w:ascii="Arial" w:hAnsi="Arial" w:cs="Arial"/>
          <w:sz w:val="22"/>
          <w:szCs w:val="22"/>
        </w:rPr>
        <w:t>O Contratante deterá o direito de propriedade intelectual dos Projetos desenvolvidos assim como de toda a documentação produzida na execução do contrato, ficando proibida a sua utilização sem que exista autorização expressa do Contratante</w:t>
      </w:r>
      <w:r>
        <w:rPr>
          <w:rFonts w:hint="default" w:ascii="Arial" w:hAnsi="Arial" w:cs="Arial"/>
          <w:sz w:val="22"/>
          <w:szCs w:val="22"/>
          <w:lang w:val="pt-BR"/>
        </w:rPr>
        <w:t>;</w:t>
      </w:r>
      <w:r>
        <w:rPr>
          <w:rFonts w:hint="default" w:ascii="Arial" w:hAnsi="Arial" w:cs="Arial"/>
          <w:sz w:val="22"/>
          <w:szCs w:val="22"/>
        </w:rPr>
        <w:t xml:space="preserve"> </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hint="default" w:ascii="Arial" w:hAnsi="Arial" w:cs="Arial"/>
          <w:sz w:val="22"/>
          <w:szCs w:val="22"/>
        </w:rPr>
      </w:pPr>
      <w:r>
        <w:rPr>
          <w:rFonts w:hint="default" w:ascii="Arial" w:hAnsi="Arial" w:cs="Arial"/>
          <w:sz w:val="22"/>
          <w:szCs w:val="22"/>
        </w:rPr>
        <w:t xml:space="preserve">Visando atender eventual necessidade da contratante, em decorrência de caso fortuito, força maior, licitação fracassada ou deserta, na qual se faça a necessária a atualização da planilha de composição de custos, a contratada ficará responsável a realizá-la por um período de até 24 meses a partir da entrega do projeto. </w:t>
      </w:r>
    </w:p>
    <w:p>
      <w:pPr>
        <w:pStyle w:val="86"/>
        <w:keepNext w:val="0"/>
        <w:keepLines w:val="0"/>
        <w:pageBreakBefore w:val="0"/>
        <w:widowControl w:val="0"/>
        <w:numPr>
          <w:ilvl w:val="0"/>
          <w:numId w:val="34"/>
        </w:numPr>
        <w:kinsoku/>
        <w:wordWrap/>
        <w:overflowPunct/>
        <w:topLinePunct w:val="0"/>
        <w:autoSpaceDE/>
        <w:autoSpaceDN/>
        <w:bidi w:val="0"/>
        <w:adjustRightInd/>
        <w:snapToGrid/>
        <w:spacing w:after="120"/>
        <w:ind w:left="0"/>
        <w:jc w:val="both"/>
        <w:textAlignment w:val="auto"/>
        <w:rPr>
          <w:rFonts w:ascii="Arial" w:hAnsi="Arial" w:cs="Arial"/>
          <w:b/>
          <w:sz w:val="22"/>
          <w:szCs w:val="22"/>
        </w:rPr>
      </w:pPr>
      <w:r>
        <w:rPr>
          <w:rFonts w:ascii="Arial" w:hAnsi="Arial" w:cs="Arial"/>
          <w:b/>
          <w:sz w:val="22"/>
          <w:szCs w:val="22"/>
        </w:rPr>
        <w:t>CLÁUSULA DÉCIMA – DA SUBCONTRATAÇÃO</w:t>
      </w:r>
    </w:p>
    <w:p>
      <w:pPr>
        <w:keepNext w:val="0"/>
        <w:keepLines w:val="0"/>
        <w:pageBreakBefore w:val="0"/>
        <w:widowControl w:val="0"/>
        <w:numPr>
          <w:ilvl w:val="1"/>
          <w:numId w:val="34"/>
        </w:numPr>
        <w:kinsoku/>
        <w:wordWrap/>
        <w:overflowPunct/>
        <w:topLinePunct w:val="0"/>
        <w:autoSpaceDE/>
        <w:autoSpaceDN/>
        <w:bidi w:val="0"/>
        <w:adjustRightInd/>
        <w:snapToGrid/>
        <w:spacing w:after="120"/>
        <w:jc w:val="both"/>
        <w:textAlignment w:val="auto"/>
        <w:rPr>
          <w:rFonts w:ascii="Arial" w:hAnsi="Arial" w:cs="Arial"/>
          <w:sz w:val="22"/>
          <w:szCs w:val="22"/>
        </w:rPr>
      </w:pPr>
      <w:r>
        <w:rPr>
          <w:rFonts w:ascii="Arial" w:hAnsi="Arial" w:cs="Arial"/>
          <w:sz w:val="22"/>
          <w:szCs w:val="22"/>
        </w:rPr>
        <w:t>Não será admitida a subcontratação do objeto licitatório.</w:t>
      </w:r>
    </w:p>
    <w:p>
      <w:pPr>
        <w:keepNext w:val="0"/>
        <w:keepLines w:val="0"/>
        <w:pageBreakBefore w:val="0"/>
        <w:kinsoku/>
        <w:wordWrap/>
        <w:overflowPunct/>
        <w:topLinePunct w:val="0"/>
        <w:autoSpaceDE/>
        <w:autoSpaceDN/>
        <w:bidi w:val="0"/>
        <w:adjustRightInd/>
        <w:snapToGrid/>
        <w:spacing w:after="120"/>
        <w:textAlignment w:val="auto"/>
        <w:rPr>
          <w:rFonts w:ascii="Arial" w:hAnsi="Arial" w:cs="Arial"/>
          <w:sz w:val="22"/>
          <w:szCs w:val="22"/>
        </w:rPr>
      </w:pPr>
    </w:p>
    <w:p>
      <w:pPr>
        <w:pStyle w:val="374"/>
        <w:keepNext w:val="0"/>
        <w:keepLines w:val="0"/>
        <w:pageBreakBefore w:val="0"/>
        <w:widowControl w:val="0"/>
        <w:numPr>
          <w:ilvl w:val="0"/>
          <w:numId w:val="35"/>
        </w:numPr>
        <w:kinsoku/>
        <w:wordWrap/>
        <w:overflowPunct/>
        <w:topLinePunct w:val="0"/>
        <w:autoSpaceDE/>
        <w:autoSpaceDN/>
        <w:bidi w:val="0"/>
        <w:adjustRightInd/>
        <w:snapToGrid/>
        <w:spacing w:before="0" w:line="240" w:lineRule="auto"/>
        <w:ind w:left="0" w:firstLine="0"/>
        <w:textAlignment w:val="auto"/>
        <w:rPr>
          <w:rFonts w:ascii="Arial" w:hAnsi="Arial" w:cs="Arial"/>
          <w:sz w:val="22"/>
          <w:szCs w:val="22"/>
        </w:rPr>
      </w:pPr>
      <w:r>
        <w:rPr>
          <w:rFonts w:ascii="Arial" w:hAnsi="Arial" w:cs="Arial"/>
          <w:sz w:val="22"/>
          <w:szCs w:val="22"/>
        </w:rPr>
        <w:t>CLÁUSULA DÉCIMA PRIMEIRA – DAS SANÇÕES ADMINISTRATIVAS</w:t>
      </w: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.1.</w:t>
      </w:r>
      <w:r>
        <w:rPr>
          <w:rFonts w:hint="default" w:ascii="Arial" w:hAnsi="Arial" w:eastAsia="Calibri"/>
          <w:color w:val="000000"/>
          <w:sz w:val="22"/>
          <w:szCs w:val="22"/>
        </w:rPr>
        <w:t xml:space="preserve"> A licitante vencedora que descumprir quaisquer das condições deste instrumento ficará sujeita às penalidades previstas na Lei nos art. 86 e 87 da Lei 8.666/93, quais sejam:</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.1.1.</w:t>
      </w:r>
      <w:r>
        <w:rPr>
          <w:rFonts w:hint="default" w:ascii="Arial" w:hAnsi="Arial" w:eastAsia="Calibri"/>
          <w:color w:val="000000"/>
          <w:sz w:val="22"/>
          <w:szCs w:val="22"/>
        </w:rPr>
        <w:t xml:space="preserve"> Por atraso injustificado na execução do objeto:</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.1.1.1</w:t>
      </w:r>
      <w:r>
        <w:rPr>
          <w:rFonts w:hint="default" w:ascii="Arial" w:hAnsi="Arial" w:eastAsia="Calibri"/>
          <w:color w:val="000000"/>
          <w:sz w:val="22"/>
          <w:szCs w:val="22"/>
        </w:rPr>
        <w:t>. Atraso em até de 50% além do tempo previsto para entrega ou execução, multa diária de até 0,25% (vinte e cinco centésimos por cento) sobre o valor homologado;</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.1.1.2.</w:t>
      </w:r>
      <w:r>
        <w:rPr>
          <w:rFonts w:hint="default" w:ascii="Arial" w:hAnsi="Arial" w:eastAsia="Calibri"/>
          <w:color w:val="000000"/>
          <w:sz w:val="22"/>
          <w:szCs w:val="22"/>
        </w:rPr>
        <w:t xml:space="preserve"> Atraso superior a 50%, multa diária de até 0,50% (cinquenta centésimos por cento) sobre o valor homologado do total dos dias em atraso, sem prejuízo das demais cominações legais;</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.1.1.3.</w:t>
      </w:r>
      <w:r>
        <w:rPr>
          <w:rFonts w:hint="default" w:ascii="Arial" w:hAnsi="Arial" w:eastAsia="Calibri"/>
          <w:color w:val="000000"/>
          <w:sz w:val="22"/>
          <w:szCs w:val="22"/>
        </w:rPr>
        <w:t xml:space="preserve"> No caso de atraso no recolhimento da multa aplicada, incidirá nova multa sobre o valor devido, equivalente até 0,20% (vinte centésimos por cento) sobre o valor homologado, até 10 (dez) dias de atraso e 0,40% (quarenta centésimos por cento) sobre o valor homologado acima desse prazo, calculado sobre o total dos dias em atraso;</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.1.2.</w:t>
      </w:r>
      <w:r>
        <w:rPr>
          <w:rFonts w:hint="default" w:ascii="Arial" w:hAnsi="Arial" w:eastAsia="Calibri"/>
          <w:color w:val="000000"/>
          <w:sz w:val="22"/>
          <w:szCs w:val="22"/>
        </w:rPr>
        <w:t xml:space="preserve"> Pela inexecução parcial ou total das condições estabelecidas neste ato convocatório, a Prefeitura poderá garantida a prévia defesa, aplicar, também, as seguintes sanções:</w:t>
      </w:r>
    </w:p>
    <w:p>
      <w:pPr>
        <w:widowControl w:val="0"/>
        <w:tabs>
          <w:tab w:val="left" w:pos="-6237"/>
          <w:tab w:val="left" w:pos="993"/>
        </w:tabs>
        <w:autoSpaceDE w:val="0"/>
        <w:autoSpaceDN w:val="0"/>
        <w:adjustRightInd w:val="0"/>
        <w:spacing w:after="120"/>
        <w:ind w:right="240" w:rightChars="100"/>
        <w:jc w:val="both"/>
        <w:rPr>
          <w:rFonts w:hint="default" w:ascii="Arial" w:hAnsi="Arial" w:eastAsia="Calibri"/>
          <w:color w:val="000000"/>
          <w:sz w:val="22"/>
          <w:szCs w:val="22"/>
          <w:lang w:val="pt-BR"/>
        </w:rPr>
      </w:pPr>
      <w:r>
        <w:rPr>
          <w:rFonts w:hint="default" w:ascii="Arial" w:hAnsi="Arial" w:eastAsia="Calibri"/>
          <w:b/>
          <w:color w:val="000000"/>
          <w:sz w:val="22"/>
          <w:szCs w:val="22"/>
          <w:lang w:val="pt-BR"/>
        </w:rPr>
        <w:t>11</w:t>
      </w:r>
      <w:r>
        <w:rPr>
          <w:rFonts w:hint="default" w:ascii="Arial" w:hAnsi="Arial" w:eastAsia="Calibri"/>
          <w:b/>
          <w:color w:val="000000"/>
          <w:sz w:val="22"/>
          <w:szCs w:val="22"/>
        </w:rPr>
        <w:t>.2.1.</w:t>
      </w:r>
      <w:r>
        <w:rPr>
          <w:rFonts w:hint="default" w:ascii="Arial" w:hAnsi="Arial" w:eastAsia="Calibri"/>
          <w:b/>
          <w:color w:val="000000"/>
          <w:sz w:val="22"/>
          <w:szCs w:val="22"/>
        </w:rPr>
        <w:tab/>
      </w:r>
      <w:r>
        <w:rPr>
          <w:rFonts w:hint="default" w:ascii="Arial" w:hAnsi="Arial" w:eastAsia="Calibri"/>
          <w:color w:val="000000"/>
          <w:sz w:val="22"/>
          <w:szCs w:val="22"/>
        </w:rPr>
        <w:t>advertência;</w:t>
      </w:r>
      <w:r>
        <w:rPr>
          <w:rFonts w:hint="default" w:ascii="Arial" w:hAnsi="Arial" w:eastAsia="Calibri"/>
          <w:color w:val="000000"/>
          <w:sz w:val="22"/>
          <w:szCs w:val="22"/>
          <w:lang w:val="pt-BR"/>
        </w:rPr>
        <w:t xml:space="preserve"> </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tabs>
          <w:tab w:val="left" w:pos="993"/>
        </w:tabs>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.1.2.2.</w:t>
      </w:r>
      <w:r>
        <w:rPr>
          <w:rFonts w:hint="default" w:ascii="Arial" w:hAnsi="Arial" w:eastAsia="Calibri"/>
          <w:color w:val="000000"/>
          <w:sz w:val="22"/>
          <w:szCs w:val="22"/>
        </w:rPr>
        <w:tab/>
      </w:r>
      <w:r>
        <w:rPr>
          <w:rFonts w:hint="default" w:ascii="Arial" w:hAnsi="Arial" w:eastAsia="Calibri"/>
          <w:color w:val="000000"/>
          <w:sz w:val="22"/>
          <w:szCs w:val="22"/>
        </w:rPr>
        <w:t>multa de até 20% (vinte por cento) sobre o valor homologado, atualizado, recolhida no prazo de 15 (quinze) dias corridos, contados da comunicação oficial, sem embargo de indenização dos prejuízos porventura causados a Prefeitura Municipal de Primavera do Leste;</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tabs>
          <w:tab w:val="left" w:pos="993"/>
        </w:tabs>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.1.2.3.</w:t>
      </w:r>
      <w:r>
        <w:rPr>
          <w:rFonts w:hint="default" w:ascii="Arial" w:hAnsi="Arial" w:eastAsia="Calibri"/>
          <w:color w:val="000000"/>
          <w:sz w:val="22"/>
          <w:szCs w:val="22"/>
        </w:rPr>
        <w:tab/>
      </w:r>
      <w:r>
        <w:rPr>
          <w:rFonts w:hint="default" w:ascii="Arial" w:hAnsi="Arial" w:eastAsia="Calibri"/>
          <w:color w:val="000000"/>
          <w:sz w:val="22"/>
          <w:szCs w:val="22"/>
        </w:rPr>
        <w:t xml:space="preserve">suspensão temporária de participação em licitação e impedimento de licitar e contratar com a Administração Pública Municipal, bem como o cancelamento de seu certificado de registro cadastral no cadastro de fornecedores da Prefeitura Municipal de Primavera do Leste por prazo não superior a 02 (dois) anos; </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tabs>
          <w:tab w:val="left" w:pos="993"/>
        </w:tabs>
        <w:spacing w:after="120"/>
        <w:ind w:right="240" w:rightChars="100"/>
        <w:jc w:val="both"/>
        <w:rPr>
          <w:rFonts w:hint="default" w:ascii="Arial" w:hAnsi="Arial" w:eastAsia="Calibri"/>
          <w:sz w:val="22"/>
          <w:szCs w:val="22"/>
        </w:rPr>
      </w:pPr>
      <w:r>
        <w:rPr>
          <w:rFonts w:hint="default" w:ascii="Arial" w:hAnsi="Arial" w:eastAsia="Calibri"/>
          <w:b/>
          <w:color w:val="000000"/>
          <w:sz w:val="22"/>
          <w:szCs w:val="22"/>
          <w:lang w:val="pt-BR"/>
        </w:rPr>
        <w:t>11</w:t>
      </w:r>
      <w:r>
        <w:rPr>
          <w:rFonts w:hint="default" w:ascii="Arial" w:hAnsi="Arial" w:eastAsia="Calibri"/>
          <w:b/>
          <w:sz w:val="22"/>
          <w:szCs w:val="22"/>
        </w:rPr>
        <w:t>.1.2.4.</w:t>
      </w:r>
      <w:r>
        <w:rPr>
          <w:rFonts w:hint="default" w:ascii="Arial" w:hAnsi="Arial" w:eastAsia="Calibri"/>
          <w:b/>
          <w:sz w:val="22"/>
          <w:szCs w:val="22"/>
        </w:rPr>
        <w:tab/>
      </w:r>
      <w:r>
        <w:rPr>
          <w:rFonts w:hint="default" w:ascii="Arial" w:hAnsi="Arial" w:eastAsia="Calibri"/>
          <w:sz w:val="22"/>
          <w:szCs w:val="22"/>
        </w:rPr>
        <w:t>declaração de inidoneidade para licitar junto à Administração Pública, enquanto perdurarem os motivos determinantes da punição, ou até que seja promovida a reabilitação perante a própria autoridade que aplicou a penalidade, de acordo com o inciso IV do art. 87 da Lei 8.666/93;</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.2.</w:t>
      </w:r>
      <w:r>
        <w:rPr>
          <w:rFonts w:hint="default" w:ascii="Arial" w:hAnsi="Arial" w:eastAsia="Calibri"/>
          <w:color w:val="000000"/>
          <w:sz w:val="22"/>
          <w:szCs w:val="22"/>
        </w:rPr>
        <w:t xml:space="preserve"> As multas serão descontadas dos créditos da empresa detentora da ata ou cobradas administrativa ou judicialmente; </w:t>
      </w: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3.</w:t>
      </w:r>
      <w:r>
        <w:rPr>
          <w:rFonts w:hint="default" w:ascii="Arial" w:hAnsi="Arial" w:eastAsia="Calibri"/>
          <w:color w:val="000000"/>
          <w:sz w:val="22"/>
          <w:szCs w:val="22"/>
        </w:rPr>
        <w:t xml:space="preserve"> As penalidades previstas neste item têm caráter de sanção administrativa, consequentemente, a sua aplicação não exime a empresa detentora da ata, da reparação das eventuais perdas e danos que seu ato venha acarretar à Prefeitura Municipal de Primavera do Leste;</w:t>
      </w: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.4.</w:t>
      </w:r>
      <w:r>
        <w:rPr>
          <w:rFonts w:hint="default" w:ascii="Arial" w:hAnsi="Arial" w:eastAsia="Calibri"/>
          <w:color w:val="000000"/>
          <w:sz w:val="22"/>
          <w:szCs w:val="22"/>
        </w:rPr>
        <w:t xml:space="preserve"> As penalidades são independentes e a aplicação de uma não exclui a das demais, quando cabíveis; </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tabs>
          <w:tab w:val="left" w:pos="-6521"/>
          <w:tab w:val="left" w:pos="851"/>
        </w:tabs>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.5.</w:t>
      </w:r>
      <w:r>
        <w:rPr>
          <w:rFonts w:hint="default" w:ascii="Arial" w:hAnsi="Arial" w:eastAsia="Calibri"/>
          <w:color w:val="000000"/>
          <w:sz w:val="22"/>
          <w:szCs w:val="22"/>
        </w:rPr>
        <w:t xml:space="preserve"> Desclassificação ou inabilitação caso o procedimento se encontre em fase de julgamento;</w:t>
      </w: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5.</w:t>
      </w:r>
      <w:r>
        <w:rPr>
          <w:rFonts w:hint="default" w:ascii="Arial" w:hAnsi="Arial" w:eastAsia="Calibri"/>
          <w:b/>
          <w:color w:val="000000"/>
          <w:sz w:val="22"/>
          <w:szCs w:val="22"/>
          <w:lang w:val="pt-BR"/>
        </w:rPr>
        <w:t>1</w:t>
      </w:r>
      <w:r>
        <w:rPr>
          <w:rFonts w:hint="default" w:ascii="Arial" w:hAnsi="Arial" w:eastAsia="Calibri"/>
          <w:b/>
          <w:color w:val="000000"/>
          <w:sz w:val="22"/>
          <w:szCs w:val="22"/>
        </w:rPr>
        <w:t>.</w:t>
      </w:r>
      <w:r>
        <w:rPr>
          <w:rFonts w:hint="default" w:ascii="Arial" w:hAnsi="Arial" w:eastAsia="Calibri"/>
          <w:color w:val="000000"/>
          <w:sz w:val="22"/>
          <w:szCs w:val="22"/>
        </w:rPr>
        <w:t xml:space="preserve"> Cancelamento da ata de registro de preços, se esta já estiver assinada, procedendo-se a paralisação do fornecimento;</w:t>
      </w:r>
    </w:p>
    <w:p>
      <w:pPr>
        <w:pStyle w:val="86"/>
        <w:widowControl w:val="0"/>
        <w:numPr>
          <w:ilvl w:val="0"/>
          <w:numId w:val="23"/>
        </w:numPr>
        <w:tabs>
          <w:tab w:val="left" w:pos="567"/>
        </w:tabs>
        <w:spacing w:after="120"/>
        <w:ind w:right="240" w:rightChars="100"/>
        <w:jc w:val="both"/>
        <w:rPr>
          <w:rFonts w:hint="default" w:ascii="Arial" w:hAnsi="Arial" w:eastAsia="Calibri"/>
          <w:b/>
          <w:vanish/>
          <w:color w:val="000000"/>
          <w:sz w:val="22"/>
          <w:szCs w:val="22"/>
        </w:rPr>
      </w:pPr>
    </w:p>
    <w:p>
      <w:pPr>
        <w:widowControl w:val="0"/>
        <w:autoSpaceDE w:val="0"/>
        <w:autoSpaceDN w:val="0"/>
        <w:adjustRightInd w:val="0"/>
        <w:spacing w:after="120"/>
        <w:ind w:right="240" w:rightChars="100"/>
        <w:jc w:val="both"/>
        <w:rPr>
          <w:rFonts w:hint="default" w:ascii="Arial" w:hAnsi="Arial" w:eastAsia="Calibri"/>
          <w:color w:val="000000"/>
          <w:sz w:val="22"/>
          <w:szCs w:val="22"/>
        </w:rPr>
      </w:pPr>
      <w:r>
        <w:rPr>
          <w:rFonts w:hint="default" w:ascii="Arial" w:hAnsi="Arial" w:eastAsia="Calibri"/>
          <w:b/>
          <w:color w:val="000000"/>
          <w:sz w:val="22"/>
          <w:szCs w:val="22"/>
          <w:lang w:val="pt-BR"/>
        </w:rPr>
        <w:t>11</w:t>
      </w:r>
      <w:r>
        <w:rPr>
          <w:rFonts w:hint="default" w:ascii="Arial" w:hAnsi="Arial" w:eastAsia="Calibri"/>
          <w:b/>
          <w:color w:val="000000"/>
          <w:sz w:val="22"/>
          <w:szCs w:val="22"/>
        </w:rPr>
        <w:t>.6.</w:t>
      </w:r>
      <w:r>
        <w:rPr>
          <w:rFonts w:hint="default" w:ascii="Arial" w:hAnsi="Arial" w:eastAsia="Calibri"/>
          <w:color w:val="000000"/>
          <w:sz w:val="22"/>
          <w:szCs w:val="22"/>
        </w:rPr>
        <w:t xml:space="preserve"> As penalidades serão obrigatoriamente registradas no Sistema de Cadastramento de Fornecedores da Prefeitura Municipal de Primavera do Leste, e no caso de ficar impedida de licitar e contratar, a licitante deverá ser descredenciada por igual período, sem prejuízo das multas previstas neste Edital e das demais cominações legais;</w:t>
      </w:r>
    </w:p>
    <w:p>
      <w:pPr>
        <w:widowControl w:val="0"/>
        <w:ind w:right="240" w:rightChars="100"/>
        <w:jc w:val="both"/>
        <w:rPr>
          <w:rFonts w:hint="default" w:ascii="Arial" w:hAnsi="Arial" w:eastAsia="Calibri"/>
          <w:sz w:val="22"/>
          <w:szCs w:val="22"/>
        </w:rPr>
      </w:pPr>
      <w:r>
        <w:rPr>
          <w:rFonts w:hint="default" w:ascii="Arial" w:hAnsi="Arial" w:eastAsia="Calibri"/>
          <w:b/>
          <w:color w:val="000000"/>
          <w:sz w:val="22"/>
          <w:szCs w:val="22"/>
          <w:lang w:val="pt-BR"/>
        </w:rPr>
        <w:t>11</w:t>
      </w:r>
      <w:r>
        <w:rPr>
          <w:rFonts w:hint="default" w:ascii="Arial" w:hAnsi="Arial" w:eastAsia="Calibri"/>
          <w:b/>
          <w:sz w:val="22"/>
          <w:szCs w:val="22"/>
        </w:rPr>
        <w:t>.7.</w:t>
      </w:r>
      <w:r>
        <w:rPr>
          <w:rFonts w:hint="default" w:ascii="Arial" w:hAnsi="Arial" w:eastAsia="Calibri"/>
          <w:sz w:val="22"/>
          <w:szCs w:val="22"/>
        </w:rPr>
        <w:t xml:space="preserve"> Do ato que aplicar a penalidade caberá recurso, no prazo de 05 (cinco) dias úteis, a contar da ciência da intimação, podendo a Administração reconsiderar sua decisão ou nesse prazo encaminhá-lo devidamente informados para a apreciação e decisão superior, dentro do mesmo prazo.</w:t>
      </w:r>
    </w:p>
    <w:p>
      <w:pPr>
        <w:pStyle w:val="86"/>
        <w:keepNext w:val="0"/>
        <w:keepLines w:val="0"/>
        <w:pageBreakBefore w:val="0"/>
        <w:widowControl w:val="0"/>
        <w:numPr>
          <w:ilvl w:val="0"/>
          <w:numId w:val="35"/>
        </w:numPr>
        <w:tabs>
          <w:tab w:val="left" w:pos="426"/>
        </w:tabs>
        <w:kinsoku/>
        <w:wordWrap/>
        <w:overflowPunct/>
        <w:topLinePunct w:val="0"/>
        <w:bidi w:val="0"/>
        <w:snapToGrid/>
        <w:spacing w:beforeAutospacing="0" w:after="120" w:afterAutospacing="0"/>
        <w:ind w:left="0" w:leftChars="0" w:firstLine="0" w:firstLineChars="0"/>
        <w:jc w:val="both"/>
        <w:textAlignment w:val="auto"/>
        <w:rPr>
          <w:rFonts w:ascii="Arial" w:hAnsi="Arial" w:cs="Arial"/>
          <w:sz w:val="22"/>
          <w:szCs w:val="22"/>
        </w:rPr>
      </w:pPr>
      <w:r>
        <w:rPr>
          <w:rFonts w:ascii="Arial" w:hAnsi="Arial" w:cs="Arial"/>
          <w:b/>
          <w:sz w:val="22"/>
          <w:szCs w:val="22"/>
        </w:rPr>
        <w:t>CLÁUSULA DÉCIMA SEGUNDA – DO REGIME DE EXECUÇÃO E DAS ALTERAÇÕES</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hint="default" w:ascii="Times New Roman" w:hAnsi="Times New Roman" w:cs="Times New Roman"/>
          <w:i w:val="0"/>
          <w:iCs w:val="0"/>
          <w:caps w:val="0"/>
          <w:color w:val="000000"/>
          <w:spacing w:val="0"/>
          <w:sz w:val="22"/>
          <w:szCs w:val="22"/>
          <w:highlight w:val="none"/>
        </w:rPr>
      </w:pPr>
      <w:r>
        <w:rPr>
          <w:rFonts w:hint="default" w:ascii="Arial" w:hAnsi="Arial" w:cs="Arial"/>
          <w:b/>
          <w:bCs/>
          <w:sz w:val="22"/>
          <w:szCs w:val="22"/>
          <w:highlight w:val="none"/>
          <w:lang w:val="pt-BR"/>
        </w:rPr>
        <w:t xml:space="preserve">12.1. </w:t>
      </w:r>
      <w:r>
        <w:rPr>
          <w:rFonts w:ascii="Arial" w:hAnsi="Arial" w:cs="Arial"/>
          <w:sz w:val="22"/>
          <w:szCs w:val="22"/>
          <w:highlight w:val="none"/>
        </w:rPr>
        <w:t>Eventuais alterações contratuais reger-se-ão pela disciplina do art. 65 da Lei nº 8.666, de 1993.</w:t>
      </w:r>
      <w:r>
        <w:rPr>
          <w:rFonts w:hint="default" w:ascii="Arial" w:hAnsi="Arial" w:cs="Arial"/>
          <w:sz w:val="22"/>
          <w:szCs w:val="22"/>
          <w:highlight w:val="none"/>
          <w:lang w:val="pt-BR"/>
        </w:rPr>
        <w:t xml:space="preserve"> </w:t>
      </w:r>
      <w:r>
        <w:rPr>
          <w:rFonts w:ascii="Arial" w:hAnsi="Arial" w:cs="Arial"/>
          <w:i w:val="0"/>
          <w:iCs w:val="0"/>
          <w:caps w:val="0"/>
          <w:color w:val="000000"/>
          <w:spacing w:val="0"/>
          <w:sz w:val="22"/>
          <w:szCs w:val="22"/>
          <w:highlight w:val="none"/>
        </w:rPr>
        <w:t>Os contratos regidos por esta Lei poderão ser alterados, com as devidas justificativas, nos seguintes casos:</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12.2.</w:t>
      </w:r>
      <w:r>
        <w:rPr>
          <w:rFonts w:hint="default" w:ascii="Arial" w:hAnsi="Arial" w:cs="Arial"/>
          <w:b w:val="0"/>
          <w:bCs w:val="0"/>
          <w:sz w:val="22"/>
          <w:szCs w:val="22"/>
          <w:lang w:val="pt-BR"/>
        </w:rPr>
        <w:t xml:space="preserve"> Unilateralmente pela Administração:</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238" w:leftChars="99" w:firstLine="0" w:firstLine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12.2.1.</w:t>
      </w:r>
      <w:r>
        <w:rPr>
          <w:rFonts w:hint="default" w:ascii="Arial" w:hAnsi="Arial" w:cs="Arial"/>
          <w:b w:val="0"/>
          <w:bCs w:val="0"/>
          <w:sz w:val="22"/>
          <w:szCs w:val="22"/>
          <w:lang w:val="pt-BR"/>
        </w:rPr>
        <w:t> Quando houver modificação do projeto ou das especificações, para melhor adequação técnica aos seus objetivos;</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238" w:leftChars="99" w:firstLine="0" w:firstLine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12.2.1.</w:t>
      </w:r>
      <w:r>
        <w:rPr>
          <w:rFonts w:hint="default" w:ascii="Arial" w:hAnsi="Arial" w:cs="Arial"/>
          <w:b w:val="0"/>
          <w:bCs w:val="0"/>
          <w:sz w:val="22"/>
          <w:szCs w:val="22"/>
          <w:lang w:val="pt-BR"/>
        </w:rPr>
        <w:t> Quando necessária a modificação do valor contratual em decorrência de acréscimo ou diminuição quantitativa de seu objeto, nos limites permitidos por esta Lei;</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12.3.</w:t>
      </w:r>
      <w:r>
        <w:rPr>
          <w:rFonts w:hint="default" w:ascii="Arial" w:hAnsi="Arial" w:cs="Arial"/>
          <w:b w:val="0"/>
          <w:bCs w:val="0"/>
          <w:sz w:val="22"/>
          <w:szCs w:val="22"/>
          <w:lang w:val="pt-BR"/>
        </w:rPr>
        <w:t> Por acordo das partes:</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240" w:leftChars="100" w:firstLine="0" w:firstLine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12.3.1.</w:t>
      </w:r>
      <w:r>
        <w:rPr>
          <w:rFonts w:hint="default" w:ascii="Arial" w:hAnsi="Arial" w:cs="Arial"/>
          <w:b w:val="0"/>
          <w:bCs w:val="0"/>
          <w:sz w:val="22"/>
          <w:szCs w:val="22"/>
          <w:lang w:val="pt-BR"/>
        </w:rPr>
        <w:t> Quando conveniente a substituição da garantia de execução;</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240" w:leftChars="100" w:firstLine="0" w:firstLine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12.3.2.</w:t>
      </w:r>
      <w:r>
        <w:rPr>
          <w:rFonts w:hint="default" w:ascii="Arial" w:hAnsi="Arial" w:cs="Arial"/>
          <w:b w:val="0"/>
          <w:bCs w:val="0"/>
          <w:sz w:val="22"/>
          <w:szCs w:val="22"/>
          <w:lang w:val="pt-BR"/>
        </w:rPr>
        <w:t> Quando necessária a modificação do regime de execução da obra ou serviço, bem como do modo de fornecimento, em face de verificação técnica da inaplicabilidade dos termos contratuais originários;</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240" w:leftChars="100" w:firstLine="0" w:firstLine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12.3.3.</w:t>
      </w:r>
      <w:r>
        <w:rPr>
          <w:rFonts w:hint="default" w:ascii="Arial" w:hAnsi="Arial" w:cs="Arial"/>
          <w:b w:val="0"/>
          <w:bCs w:val="0"/>
          <w:sz w:val="22"/>
          <w:szCs w:val="22"/>
          <w:lang w:val="pt-BR"/>
        </w:rPr>
        <w:t> quando necessária a modificação da forma de pagamento, por imposição de circunstâncias supervenientes, mantido o valor inicial atualizado, vedada a antecipação do pagamento, com relação ao cronograma financeiro fixado, sem a correspondente contraprestação de fornecimento de bens ou execução de obra ou serviço;</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240" w:leftChars="100" w:firstLine="0" w:firstLine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12.3.4.</w:t>
      </w:r>
      <w:r>
        <w:rPr>
          <w:rFonts w:hint="default" w:ascii="Arial" w:hAnsi="Arial" w:cs="Arial"/>
          <w:b w:val="0"/>
          <w:bCs w:val="0"/>
          <w:sz w:val="22"/>
          <w:szCs w:val="22"/>
          <w:lang w:val="pt-BR"/>
        </w:rPr>
        <w:t> para restabelecer a relação que as partes pactuaram inicialmente entre os encargos do contratado e a retribuição da administração para a justa remuneração da obra, serviço ou fornecimento, objetivando a manutenção do equilíbrio econômico-financeiro inicial do contrato,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240" w:leftChars="100" w:firstLine="0" w:firstLine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12.3.5.</w:t>
      </w:r>
      <w:r>
        <w:rPr>
          <w:rFonts w:hint="default" w:ascii="Arial" w:hAnsi="Arial" w:cs="Arial"/>
          <w:b w:val="0"/>
          <w:bCs w:val="0"/>
          <w:sz w:val="22"/>
          <w:szCs w:val="22"/>
          <w:lang w:val="pt-BR"/>
        </w:rPr>
        <w:t>  O contratado fica obrigado a aceitar, nas mesmas condições contratuais, os acréscimos ou supressões que se fizerem nas obras, serviços ou compras, até 25% (vinte e cinco por cento) do valor inicial atualizado do contrato, e, no caso particular de reforma de edifício ou de equipamento, até o limite de 50% (cinqüenta por cento) para os seus acréscimos.</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12.4. </w:t>
      </w:r>
      <w:r>
        <w:rPr>
          <w:rFonts w:hint="default" w:ascii="Arial" w:hAnsi="Arial" w:cs="Arial"/>
          <w:b w:val="0"/>
          <w:bCs w:val="0"/>
          <w:sz w:val="22"/>
          <w:szCs w:val="22"/>
          <w:lang w:val="pt-BR"/>
        </w:rPr>
        <w:t>Nenhum acréscimo ou supressão poderá exceder os limites estabelecidos no parágrafo anterior, salvo:              </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240" w:leftChars="100" w:firstLine="0" w:firstLine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12.4.1.</w:t>
      </w:r>
      <w:r>
        <w:rPr>
          <w:rFonts w:hint="default" w:ascii="Arial" w:hAnsi="Arial" w:cs="Arial"/>
          <w:b w:val="0"/>
          <w:bCs w:val="0"/>
          <w:sz w:val="22"/>
          <w:szCs w:val="22"/>
          <w:lang w:val="pt-BR"/>
        </w:rPr>
        <w:t xml:space="preserve"> As supressões resultantes de acordo celebrado entre os contratantes.  </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240" w:leftChars="100" w:firstLine="0" w:firstLine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12.4.2.</w:t>
      </w:r>
      <w:r>
        <w:rPr>
          <w:rFonts w:hint="default" w:ascii="Arial" w:hAnsi="Arial" w:cs="Arial"/>
          <w:b w:val="0"/>
          <w:bCs w:val="0"/>
          <w:sz w:val="22"/>
          <w:szCs w:val="22"/>
          <w:lang w:val="pt-BR"/>
        </w:rPr>
        <w:t xml:space="preserve"> Se no contrato não houverem sido contemplados preços unitários para obras ou serviços, </w:t>
      </w:r>
      <w:r>
        <w:rPr>
          <w:rFonts w:hint="default" w:ascii="Arial" w:hAnsi="Arial" w:cs="Arial"/>
          <w:b w:val="0"/>
          <w:bCs w:val="0"/>
          <w:sz w:val="22"/>
          <w:szCs w:val="22"/>
          <w:lang w:val="pt-BR"/>
        </w:rPr>
        <w:tab/>
      </w:r>
      <w:r>
        <w:rPr>
          <w:rFonts w:hint="default" w:ascii="Arial" w:hAnsi="Arial" w:cs="Arial"/>
          <w:b w:val="0"/>
          <w:bCs w:val="0"/>
          <w:sz w:val="22"/>
          <w:szCs w:val="22"/>
          <w:lang w:val="pt-BR"/>
        </w:rPr>
        <w:t xml:space="preserve">esses serão fixados mediante acordo entre as partes, </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12.5.</w:t>
      </w:r>
      <w:r>
        <w:rPr>
          <w:rFonts w:hint="default" w:ascii="Arial" w:hAnsi="Arial" w:cs="Arial"/>
          <w:b w:val="0"/>
          <w:bCs w:val="0"/>
          <w:sz w:val="22"/>
          <w:szCs w:val="22"/>
          <w:lang w:val="pt-BR"/>
        </w:rPr>
        <w:t xml:space="preserve"> No caso de supressão de obras, bens ou serviços, se o contratado já houver adquirido os materiais e posto no local dos trabalhos, estes deverão ser pagos pela Administração pelos custos de aquisição regularmente comprovados e monetariamente corrigidos, podendo caber indenização por outros danos eventualmente decorrentes da supressão, desde que regularmente comprovados.</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12.6. </w:t>
      </w:r>
      <w:r>
        <w:rPr>
          <w:rFonts w:hint="default" w:ascii="Arial" w:hAnsi="Arial" w:cs="Arial"/>
          <w:b w:val="0"/>
          <w:bCs w:val="0"/>
          <w:sz w:val="22"/>
          <w:szCs w:val="22"/>
          <w:lang w:val="pt-BR"/>
        </w:rPr>
        <w:t>Quaisquer tributos ou encargos legais criados, alterados ou extintos, bem como a superveniência de disposições legais, quando ocorridas após a data da apresentação da proposta, de comprovada repercussão nos preços contratados, implicarão a revisão destes para mais ou para menos, conforme o caso.</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12.7. </w:t>
      </w:r>
      <w:r>
        <w:rPr>
          <w:rFonts w:hint="default" w:ascii="Arial" w:hAnsi="Arial" w:cs="Arial"/>
          <w:b w:val="0"/>
          <w:bCs w:val="0"/>
          <w:sz w:val="22"/>
          <w:szCs w:val="22"/>
          <w:lang w:val="pt-BR"/>
        </w:rPr>
        <w:t>Em havendo alteração unilateral do contrato que aumente os encargos do contratado, a Administração deverá restabelecer, por aditamento, o equilíbrio econômico-financeiro inicial.</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12.8. </w:t>
      </w:r>
      <w:r>
        <w:rPr>
          <w:rFonts w:hint="default" w:ascii="Arial" w:hAnsi="Arial" w:cs="Arial"/>
          <w:b w:val="0"/>
          <w:bCs w:val="0"/>
          <w:sz w:val="22"/>
          <w:szCs w:val="22"/>
          <w:lang w:val="pt-BR"/>
        </w:rPr>
        <w:t>A variação do valor contratual para fazer face ao reajuste de preços previsto no próprio contrato, as atualizações, compensações ou penalizações financeiras decorrentes das condições de pagamento nele previstas, bem como o empenho de dotações orçamentárias suplementares até o limite do seu valor corrigido, não caracterizam alteração do mesmo, podendo ser registrados por simples apostila, dispensando a celebração de aditamento.</w:t>
      </w:r>
    </w:p>
    <w:p>
      <w:pPr>
        <w:pStyle w:val="86"/>
        <w:keepNext w:val="0"/>
        <w:keepLines w:val="0"/>
        <w:pageBreakBefore w:val="0"/>
        <w:widowControl w:val="0"/>
        <w:numPr>
          <w:ilvl w:val="0"/>
          <w:numId w:val="35"/>
        </w:numPr>
        <w:tabs>
          <w:tab w:val="left" w:pos="426"/>
        </w:tabs>
        <w:kinsoku/>
        <w:wordWrap/>
        <w:overflowPunct/>
        <w:topLinePunct w:val="0"/>
        <w:bidi w:val="0"/>
        <w:snapToGrid/>
        <w:spacing w:beforeAutospacing="0" w:after="120" w:afterAutospacing="0"/>
        <w:ind w:left="0" w:leftChars="0" w:firstLine="0" w:firstLineChars="0"/>
        <w:jc w:val="both"/>
        <w:textAlignment w:val="auto"/>
        <w:rPr>
          <w:rFonts w:ascii="Arial" w:hAnsi="Arial" w:cs="Arial"/>
          <w:b/>
          <w:sz w:val="22"/>
          <w:szCs w:val="22"/>
        </w:rPr>
      </w:pPr>
      <w:r>
        <w:rPr>
          <w:rFonts w:ascii="Arial" w:hAnsi="Arial" w:cs="Arial"/>
          <w:b/>
          <w:sz w:val="22"/>
          <w:szCs w:val="22"/>
        </w:rPr>
        <w:t>CLÁUSULA DÉCIMA TERCEIRA – DAS VEDAÇÕES</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13.1</w:t>
      </w:r>
      <w:r>
        <w:rPr>
          <w:rFonts w:hint="default" w:ascii="Arial" w:hAnsi="Arial" w:cs="Arial"/>
          <w:sz w:val="22"/>
          <w:szCs w:val="22"/>
          <w:lang w:val="pt-BR"/>
        </w:rPr>
        <w:t xml:space="preserve">. </w:t>
      </w:r>
      <w:r>
        <w:rPr>
          <w:rFonts w:ascii="Arial" w:hAnsi="Arial" w:cs="Arial"/>
          <w:sz w:val="22"/>
          <w:szCs w:val="22"/>
        </w:rPr>
        <w:t>É vedado à CONTRATADA:</w:t>
      </w:r>
    </w:p>
    <w:p>
      <w:pPr>
        <w:keepNext w:val="0"/>
        <w:keepLines w:val="0"/>
        <w:pageBreakBefore w:val="0"/>
        <w:widowControl w:val="0"/>
        <w:numPr>
          <w:ilvl w:val="0"/>
          <w:numId w:val="0"/>
        </w:numPr>
        <w:tabs>
          <w:tab w:val="left" w:pos="567"/>
          <w:tab w:val="left" w:pos="1560"/>
        </w:tabs>
        <w:kinsoku/>
        <w:wordWrap/>
        <w:overflowPunct/>
        <w:topLinePunct w:val="0"/>
        <w:bidi w:val="0"/>
        <w:snapToGrid/>
        <w:spacing w:beforeAutospacing="0" w:after="120" w:afterAutospacing="0"/>
        <w:jc w:val="both"/>
        <w:textAlignment w:val="auto"/>
        <w:rPr>
          <w:rFonts w:ascii="Arial" w:hAnsi="Arial" w:cs="Arial"/>
          <w:sz w:val="22"/>
          <w:szCs w:val="22"/>
        </w:rPr>
      </w:pPr>
      <w:r>
        <w:rPr>
          <w:rFonts w:hint="default" w:ascii="Arial" w:hAnsi="Arial" w:cs="Arial"/>
          <w:b/>
          <w:bCs/>
          <w:sz w:val="22"/>
          <w:szCs w:val="22"/>
          <w:lang w:val="pt-BR"/>
        </w:rPr>
        <w:tab/>
      </w:r>
      <w:r>
        <w:rPr>
          <w:rFonts w:hint="default" w:ascii="Arial" w:hAnsi="Arial" w:cs="Arial"/>
          <w:b/>
          <w:bCs/>
          <w:sz w:val="22"/>
          <w:szCs w:val="22"/>
          <w:lang w:val="pt-BR"/>
        </w:rPr>
        <w:t>13.1.2.</w:t>
      </w:r>
      <w:r>
        <w:rPr>
          <w:rFonts w:hint="default" w:ascii="Arial" w:hAnsi="Arial" w:cs="Arial"/>
          <w:sz w:val="22"/>
          <w:szCs w:val="22"/>
          <w:lang w:val="pt-BR"/>
        </w:rPr>
        <w:t xml:space="preserve"> </w:t>
      </w:r>
      <w:r>
        <w:rPr>
          <w:rFonts w:ascii="Arial" w:hAnsi="Arial" w:cs="Arial"/>
          <w:sz w:val="22"/>
          <w:szCs w:val="22"/>
        </w:rPr>
        <w:t>Caucionar ou utilizar este Termo de Contrato para qualquer operação financeira;</w:t>
      </w:r>
    </w:p>
    <w:p>
      <w:pPr>
        <w:keepNext w:val="0"/>
        <w:keepLines w:val="0"/>
        <w:pageBreakBefore w:val="0"/>
        <w:widowControl w:val="0"/>
        <w:numPr>
          <w:ilvl w:val="0"/>
          <w:numId w:val="0"/>
        </w:numPr>
        <w:tabs>
          <w:tab w:val="left" w:pos="567"/>
          <w:tab w:val="left" w:pos="1560"/>
        </w:tabs>
        <w:kinsoku/>
        <w:wordWrap/>
        <w:overflowPunct/>
        <w:topLinePunct w:val="0"/>
        <w:bidi w:val="0"/>
        <w:snapToGrid/>
        <w:spacing w:beforeAutospacing="0" w:after="120" w:afterAutospacing="0"/>
        <w:jc w:val="both"/>
        <w:textAlignment w:val="auto"/>
        <w:rPr>
          <w:rFonts w:ascii="Arial" w:hAnsi="Arial" w:cs="Arial"/>
          <w:sz w:val="22"/>
          <w:szCs w:val="22"/>
        </w:rPr>
      </w:pPr>
      <w:r>
        <w:rPr>
          <w:rFonts w:hint="default" w:ascii="Arial" w:hAnsi="Arial" w:cs="Arial"/>
          <w:b/>
          <w:bCs/>
          <w:sz w:val="22"/>
          <w:szCs w:val="22"/>
          <w:lang w:val="pt-BR"/>
        </w:rPr>
        <w:tab/>
      </w:r>
      <w:r>
        <w:rPr>
          <w:rFonts w:hint="default" w:ascii="Arial" w:hAnsi="Arial" w:cs="Arial"/>
          <w:b/>
          <w:bCs/>
          <w:sz w:val="22"/>
          <w:szCs w:val="22"/>
          <w:lang w:val="pt-BR"/>
        </w:rPr>
        <w:t>13.1.3.</w:t>
      </w:r>
      <w:r>
        <w:rPr>
          <w:rFonts w:hint="default" w:ascii="Arial" w:hAnsi="Arial" w:cs="Arial"/>
          <w:sz w:val="22"/>
          <w:szCs w:val="22"/>
          <w:lang w:val="pt-BR"/>
        </w:rPr>
        <w:t xml:space="preserve"> </w:t>
      </w:r>
      <w:r>
        <w:rPr>
          <w:rFonts w:ascii="Arial" w:hAnsi="Arial" w:cs="Arial"/>
          <w:sz w:val="22"/>
          <w:szCs w:val="22"/>
        </w:rPr>
        <w:t xml:space="preserve">Interromper a execução dos serviços/atividades sob alegação de inadimplemento </w:t>
      </w:r>
      <w:r>
        <w:rPr>
          <w:rFonts w:hint="default" w:ascii="Arial" w:hAnsi="Arial" w:cs="Arial"/>
          <w:sz w:val="22"/>
          <w:szCs w:val="22"/>
          <w:lang w:val="pt-BR"/>
        </w:rPr>
        <w:tab/>
      </w:r>
      <w:r>
        <w:rPr>
          <w:rFonts w:ascii="Arial" w:hAnsi="Arial" w:cs="Arial"/>
          <w:sz w:val="22"/>
          <w:szCs w:val="22"/>
        </w:rPr>
        <w:t>por parte da CONTRATANTE, salvo nos casos previstos em lei.</w:t>
      </w:r>
    </w:p>
    <w:p>
      <w:pPr>
        <w:pStyle w:val="86"/>
        <w:keepNext w:val="0"/>
        <w:keepLines w:val="0"/>
        <w:pageBreakBefore w:val="0"/>
        <w:widowControl w:val="0"/>
        <w:numPr>
          <w:ilvl w:val="0"/>
          <w:numId w:val="0"/>
        </w:numPr>
        <w:tabs>
          <w:tab w:val="left" w:pos="426"/>
        </w:tabs>
        <w:kinsoku/>
        <w:wordWrap/>
        <w:overflowPunct/>
        <w:topLinePunct w:val="0"/>
        <w:bidi w:val="0"/>
        <w:snapToGrid/>
        <w:spacing w:beforeAutospacing="0" w:after="120" w:afterAutospacing="0"/>
        <w:ind w:leftChars="0"/>
        <w:jc w:val="both"/>
        <w:textAlignment w:val="auto"/>
        <w:rPr>
          <w:rFonts w:ascii="Arial" w:hAnsi="Arial" w:cs="Arial"/>
          <w:b/>
          <w:sz w:val="22"/>
          <w:szCs w:val="22"/>
        </w:rPr>
      </w:pPr>
      <w:r>
        <w:rPr>
          <w:rFonts w:hint="default" w:ascii="Arial" w:hAnsi="Arial" w:cs="Arial"/>
          <w:b/>
          <w:sz w:val="22"/>
          <w:szCs w:val="22"/>
          <w:lang w:val="pt-BR"/>
        </w:rPr>
        <w:t xml:space="preserve">14. </w:t>
      </w:r>
      <w:r>
        <w:rPr>
          <w:rFonts w:ascii="Arial" w:hAnsi="Arial" w:cs="Arial"/>
          <w:b/>
          <w:sz w:val="22"/>
          <w:szCs w:val="22"/>
        </w:rPr>
        <w:t>CLÁUSULA DÉCIMA QUARTA – DO RECEBIMENTO DO OBJETO</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14.1.</w:t>
      </w:r>
      <w:r>
        <w:rPr>
          <w:rFonts w:hint="default" w:ascii="Arial" w:hAnsi="Arial" w:cs="Arial"/>
          <w:sz w:val="22"/>
          <w:szCs w:val="22"/>
          <w:lang w:val="pt-BR"/>
        </w:rPr>
        <w:t xml:space="preserve"> </w:t>
      </w:r>
      <w:r>
        <w:rPr>
          <w:rFonts w:ascii="Arial" w:hAnsi="Arial" w:cs="Arial"/>
          <w:sz w:val="22"/>
          <w:szCs w:val="22"/>
        </w:rPr>
        <w:t xml:space="preserve">Quando </w:t>
      </w:r>
      <w:r>
        <w:rPr>
          <w:rFonts w:hint="default" w:ascii="Arial" w:hAnsi="Arial" w:cs="Arial"/>
          <w:sz w:val="22"/>
          <w:szCs w:val="22"/>
          <w:lang w:val="pt-BR"/>
        </w:rPr>
        <w:t>os projetos</w:t>
      </w:r>
      <w:r>
        <w:rPr>
          <w:rFonts w:ascii="Arial" w:hAnsi="Arial" w:cs="Arial"/>
          <w:sz w:val="22"/>
          <w:szCs w:val="22"/>
        </w:rPr>
        <w:t xml:space="preserve"> e/ou serviços contratados forem concluídos, caberá à Contratada apresentar comunicação escrita informando o fato à fiscalização da Contratante, a qual competirá, no prazo de até 10 (dez) dias, a verificação dos serviços executados, para fins de recebimento provisório.</w:t>
      </w:r>
    </w:p>
    <w:p>
      <w:pPr>
        <w:keepNext w:val="0"/>
        <w:keepLines w:val="0"/>
        <w:pageBreakBefore w:val="0"/>
        <w:widowControl w:val="0"/>
        <w:numPr>
          <w:ilvl w:val="0"/>
          <w:numId w:val="0"/>
        </w:numPr>
        <w:tabs>
          <w:tab w:val="left" w:pos="567"/>
        </w:tabs>
        <w:kinsoku/>
        <w:wordWrap/>
        <w:overflowPunct/>
        <w:topLinePunct w:val="0"/>
        <w:bidi w:val="0"/>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 xml:space="preserve">14.2. </w:t>
      </w:r>
      <w:r>
        <w:rPr>
          <w:rFonts w:ascii="Arial" w:hAnsi="Arial" w:cs="Arial"/>
          <w:sz w:val="22"/>
          <w:szCs w:val="22"/>
        </w:rPr>
        <w:t xml:space="preserve">A Contratante realizará inspeção minuciosa de todos os </w:t>
      </w:r>
      <w:r>
        <w:rPr>
          <w:rFonts w:hint="default" w:ascii="Arial" w:hAnsi="Arial" w:cs="Arial"/>
          <w:sz w:val="22"/>
          <w:szCs w:val="22"/>
          <w:lang w:val="pt-BR"/>
        </w:rPr>
        <w:t>projetos/</w:t>
      </w:r>
      <w:r>
        <w:rPr>
          <w:rFonts w:ascii="Arial" w:hAnsi="Arial" w:cs="Arial"/>
          <w:sz w:val="22"/>
          <w:szCs w:val="22"/>
        </w:rPr>
        <w:t>serviços, por meio de profissionais técnicos competentes, acompanhados dos profissionais encarregados pel</w:t>
      </w:r>
      <w:r>
        <w:rPr>
          <w:rFonts w:hint="default" w:ascii="Arial" w:hAnsi="Arial" w:cs="Arial"/>
          <w:sz w:val="22"/>
          <w:szCs w:val="22"/>
          <w:lang w:val="pt-BR"/>
        </w:rPr>
        <w:t>o projeto</w:t>
      </w:r>
      <w:r>
        <w:rPr>
          <w:rFonts w:ascii="Arial" w:hAnsi="Arial" w:cs="Arial"/>
          <w:sz w:val="22"/>
          <w:szCs w:val="22"/>
        </w:rPr>
        <w:t>, com a finalidade de verificar a adequação dos serviços e constatar e relacionar os arremates, retoques e revisões finais que se fizerem necessários.</w:t>
      </w:r>
    </w:p>
    <w:p>
      <w:pPr>
        <w:keepNext w:val="0"/>
        <w:keepLines w:val="0"/>
        <w:pageBreakBefore w:val="0"/>
        <w:widowControl w:val="0"/>
        <w:numPr>
          <w:ilvl w:val="-2"/>
          <w:numId w:val="0"/>
        </w:numPr>
        <w:kinsoku/>
        <w:wordWrap/>
        <w:overflowPunct/>
        <w:topLinePunct w:val="0"/>
        <w:bidi w:val="0"/>
        <w:snapToGrid/>
        <w:spacing w:beforeAutospacing="0" w:after="120" w:afterAutospacing="0"/>
        <w:ind w:left="480" w:leftChars="0" w:firstLine="0" w:firstLineChars="0"/>
        <w:jc w:val="both"/>
        <w:textAlignment w:val="auto"/>
        <w:rPr>
          <w:rFonts w:ascii="Arial" w:hAnsi="Arial" w:cs="Arial"/>
          <w:sz w:val="22"/>
          <w:szCs w:val="22"/>
        </w:rPr>
      </w:pPr>
      <w:r>
        <w:rPr>
          <w:rFonts w:hint="default" w:ascii="Arial" w:hAnsi="Arial" w:cs="Arial"/>
          <w:b/>
          <w:bCs/>
          <w:sz w:val="22"/>
          <w:szCs w:val="22"/>
          <w:lang w:val="pt-BR"/>
        </w:rPr>
        <w:tab/>
      </w:r>
      <w:r>
        <w:rPr>
          <w:rFonts w:hint="default" w:ascii="Arial" w:hAnsi="Arial" w:cs="Arial"/>
          <w:b/>
          <w:bCs/>
          <w:sz w:val="22"/>
          <w:szCs w:val="22"/>
          <w:lang w:val="pt-BR"/>
        </w:rPr>
        <w:tab/>
      </w:r>
      <w:r>
        <w:rPr>
          <w:rFonts w:hint="default" w:ascii="Arial" w:hAnsi="Arial" w:cs="Arial"/>
          <w:b/>
          <w:bCs/>
          <w:sz w:val="22"/>
          <w:szCs w:val="22"/>
          <w:lang w:val="pt-BR"/>
        </w:rPr>
        <w:t xml:space="preserve">14.2.1. </w:t>
      </w:r>
      <w:r>
        <w:rPr>
          <w:rFonts w:ascii="Arial" w:hAnsi="Arial" w:cs="Arial"/>
          <w:sz w:val="22"/>
          <w:szCs w:val="22"/>
        </w:rPr>
        <w:t>Após tal inspeção, será lavrado Termo de Recebimento Provisório, em 02 (duas) vias de igual teor e forma, ambas assinadas pela fiscalização, relatando as eventuais pendências verificadas.</w:t>
      </w:r>
    </w:p>
    <w:p>
      <w:pPr>
        <w:keepNext w:val="0"/>
        <w:keepLines w:val="0"/>
        <w:pageBreakBefore w:val="0"/>
        <w:widowControl w:val="0"/>
        <w:numPr>
          <w:ilvl w:val="0"/>
          <w:numId w:val="0"/>
        </w:numPr>
        <w:tabs>
          <w:tab w:val="left" w:pos="1985"/>
        </w:tabs>
        <w:kinsoku/>
        <w:wordWrap/>
        <w:overflowPunct/>
        <w:topLinePunct w:val="0"/>
        <w:bidi w:val="0"/>
        <w:snapToGrid/>
        <w:spacing w:beforeAutospacing="0" w:after="120" w:afterAutospacing="0"/>
        <w:ind w:left="480" w:leftChars="0" w:firstLine="0" w:firstLineChars="0"/>
        <w:jc w:val="both"/>
        <w:textAlignment w:val="auto"/>
        <w:rPr>
          <w:rFonts w:ascii="Arial" w:hAnsi="Arial" w:cs="Arial"/>
          <w:sz w:val="22"/>
          <w:szCs w:val="22"/>
        </w:rPr>
      </w:pPr>
      <w:r>
        <w:rPr>
          <w:rFonts w:hint="default" w:ascii="Arial" w:hAnsi="Arial" w:cs="Arial"/>
          <w:b/>
          <w:bCs/>
          <w:sz w:val="22"/>
          <w:szCs w:val="22"/>
          <w:lang w:val="pt-BR"/>
        </w:rPr>
        <w:t xml:space="preserve">14.2.2. </w:t>
      </w:r>
      <w:r>
        <w:rPr>
          <w:rFonts w:ascii="Arial" w:hAnsi="Arial" w:cs="Arial"/>
          <w:sz w:val="22"/>
          <w:szCs w:val="22"/>
        </w:rPr>
        <w:t>A Contratada fica obrigada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Termo de Recebimento Provisório.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14.3.</w:t>
      </w:r>
      <w:r>
        <w:rPr>
          <w:rFonts w:hint="default" w:ascii="Arial" w:hAnsi="Arial" w:cs="Arial"/>
          <w:sz w:val="22"/>
          <w:szCs w:val="22"/>
          <w:lang w:val="pt-BR"/>
        </w:rPr>
        <w:t xml:space="preserve"> </w:t>
      </w:r>
      <w:r>
        <w:rPr>
          <w:rFonts w:ascii="Arial" w:hAnsi="Arial" w:cs="Arial"/>
          <w:sz w:val="22"/>
          <w:szCs w:val="22"/>
        </w:rPr>
        <w:t>O Termo de Recebimento Definitivo das obras e/ou serviços contratados será lavrado em até 30 (trinta) dias após a lavratura do Termo de Recebimento Provisório, por servidor ou comissão designada pela autoridade competente, desde que tenham sido devidamente atendidas todas as exigências da fiscalização quanto às pendências observadas e somente após solucionadas todas as reclamações porventura feitas quanto à falta de pagamento a operários ou fornecedores de materiais e prestadores de serviços empregados na execução do contrato.</w:t>
      </w:r>
    </w:p>
    <w:p>
      <w:pPr>
        <w:keepNext w:val="0"/>
        <w:keepLines w:val="0"/>
        <w:pageBreakBefore w:val="0"/>
        <w:widowControl w:val="0"/>
        <w:numPr>
          <w:ilvl w:val="0"/>
          <w:numId w:val="0"/>
        </w:numPr>
        <w:tabs>
          <w:tab w:val="left" w:pos="1985"/>
        </w:tabs>
        <w:kinsoku/>
        <w:wordWrap/>
        <w:overflowPunct/>
        <w:topLinePunct w:val="0"/>
        <w:bidi w:val="0"/>
        <w:snapToGrid/>
        <w:spacing w:beforeAutospacing="0" w:after="120" w:afterAutospacing="0"/>
        <w:ind w:left="460" w:leftChars="0" w:hanging="460" w:hangingChars="209"/>
        <w:jc w:val="both"/>
        <w:textAlignment w:val="auto"/>
        <w:rPr>
          <w:rFonts w:ascii="Arial" w:hAnsi="Arial" w:cs="Arial"/>
          <w:sz w:val="22"/>
          <w:szCs w:val="22"/>
        </w:rPr>
      </w:pPr>
      <w:r>
        <w:rPr>
          <w:rFonts w:hint="default" w:ascii="Arial" w:hAnsi="Arial" w:cs="Arial"/>
          <w:b/>
          <w:bCs/>
          <w:sz w:val="22"/>
          <w:szCs w:val="22"/>
          <w:lang w:val="pt-BR"/>
        </w:rPr>
        <w:tab/>
      </w:r>
      <w:r>
        <w:rPr>
          <w:rFonts w:hint="default" w:ascii="Arial" w:hAnsi="Arial" w:cs="Arial"/>
          <w:b/>
          <w:bCs/>
          <w:sz w:val="22"/>
          <w:szCs w:val="22"/>
          <w:lang w:val="pt-BR"/>
        </w:rPr>
        <w:t>14.3.1.</w:t>
      </w:r>
      <w:r>
        <w:rPr>
          <w:rFonts w:hint="default" w:ascii="Arial" w:hAnsi="Arial" w:cs="Arial"/>
          <w:sz w:val="22"/>
          <w:szCs w:val="22"/>
          <w:lang w:val="pt-BR"/>
        </w:rPr>
        <w:t xml:space="preserve"> </w:t>
      </w:r>
      <w:r>
        <w:rPr>
          <w:rFonts w:ascii="Arial" w:hAnsi="Arial" w:cs="Arial"/>
          <w:sz w:val="22"/>
          <w:szCs w:val="22"/>
        </w:rPr>
        <w:t>Na hipótese de a verificação a que se refere o parágrafo anterior não ser procedida tempestivamente, reputar-se-á como realizada, consumando-se o recebimento definitivo no dia do esgotamento do prazo, desde que o fato seja comunicado à Contratante nos 15 (quinze) dias anteriores à exaustão do prazo.</w:t>
      </w:r>
    </w:p>
    <w:p>
      <w:pPr>
        <w:keepNext w:val="0"/>
        <w:keepLines w:val="0"/>
        <w:pageBreakBefore w:val="0"/>
        <w:widowControl w:val="0"/>
        <w:numPr>
          <w:ilvl w:val="0"/>
          <w:numId w:val="0"/>
        </w:numPr>
        <w:tabs>
          <w:tab w:val="left" w:pos="1985"/>
        </w:tabs>
        <w:kinsoku/>
        <w:wordWrap/>
        <w:overflowPunct/>
        <w:topLinePunct w:val="0"/>
        <w:bidi w:val="0"/>
        <w:snapToGrid/>
        <w:spacing w:beforeAutospacing="0" w:after="120" w:afterAutospacing="0"/>
        <w:ind w:left="460" w:leftChars="0" w:hanging="460" w:hangingChars="209"/>
        <w:jc w:val="both"/>
        <w:textAlignment w:val="auto"/>
        <w:rPr>
          <w:rFonts w:ascii="Arial" w:hAnsi="Arial" w:cs="Arial"/>
          <w:sz w:val="22"/>
          <w:szCs w:val="22"/>
        </w:rPr>
      </w:pPr>
      <w:r>
        <w:rPr>
          <w:rFonts w:hint="default" w:ascii="Arial" w:hAnsi="Arial" w:cs="Arial"/>
          <w:b/>
          <w:bCs/>
          <w:sz w:val="22"/>
          <w:szCs w:val="22"/>
          <w:lang w:val="pt-BR"/>
        </w:rPr>
        <w:tab/>
      </w:r>
      <w:r>
        <w:rPr>
          <w:rFonts w:hint="default" w:ascii="Arial" w:hAnsi="Arial" w:cs="Arial"/>
          <w:b/>
          <w:bCs/>
          <w:sz w:val="22"/>
          <w:szCs w:val="22"/>
          <w:lang w:val="pt-BR"/>
        </w:rPr>
        <w:t>14.3.2.</w:t>
      </w:r>
      <w:r>
        <w:rPr>
          <w:rFonts w:hint="default" w:ascii="Arial" w:hAnsi="Arial" w:cs="Arial"/>
          <w:sz w:val="22"/>
          <w:szCs w:val="22"/>
          <w:lang w:val="pt-BR"/>
        </w:rPr>
        <w:t xml:space="preserve"> </w:t>
      </w:r>
      <w:r>
        <w:rPr>
          <w:rFonts w:ascii="Arial" w:hAnsi="Arial" w:cs="Arial"/>
          <w:sz w:val="22"/>
          <w:szCs w:val="22"/>
        </w:rPr>
        <w:t>O recebimento definitivo do objeto licitado não exime a Contratada, em qualquer época, das garantias concedidas e das responsabilidades assumidas em contrato e por força das disposições legais em vigor (Lei n° 10.406, de 2002).</w:t>
      </w:r>
    </w:p>
    <w:p>
      <w:pPr>
        <w:keepNext w:val="0"/>
        <w:keepLines w:val="0"/>
        <w:pageBreakBefore w:val="0"/>
        <w:widowControl w:val="0"/>
        <w:numPr>
          <w:ilvl w:val="0"/>
          <w:numId w:val="0"/>
        </w:numPr>
        <w:tabs>
          <w:tab w:val="left" w:pos="1985"/>
        </w:tabs>
        <w:kinsoku/>
        <w:wordWrap/>
        <w:overflowPunct/>
        <w:topLinePunct w:val="0"/>
        <w:bidi w:val="0"/>
        <w:snapToGrid/>
        <w:spacing w:beforeAutospacing="0" w:after="120" w:afterAutospacing="0"/>
        <w:ind w:left="459" w:leftChars="0" w:hanging="459" w:hangingChars="209"/>
        <w:jc w:val="both"/>
        <w:textAlignment w:val="auto"/>
        <w:rPr>
          <w:rFonts w:ascii="Arial" w:hAnsi="Arial" w:cs="Arial"/>
          <w:sz w:val="22"/>
          <w:szCs w:val="22"/>
        </w:rPr>
      </w:pPr>
    </w:p>
    <w:p>
      <w:pPr>
        <w:pStyle w:val="86"/>
        <w:keepNext w:val="0"/>
        <w:keepLines w:val="0"/>
        <w:pageBreakBefore w:val="0"/>
        <w:widowControl w:val="0"/>
        <w:numPr>
          <w:ilvl w:val="0"/>
          <w:numId w:val="0"/>
        </w:numPr>
        <w:tabs>
          <w:tab w:val="left" w:pos="-7797"/>
          <w:tab w:val="left" w:pos="426"/>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sz w:val="22"/>
          <w:szCs w:val="22"/>
        </w:rPr>
      </w:pPr>
      <w:r>
        <w:rPr>
          <w:rFonts w:hint="default" w:ascii="Arial" w:hAnsi="Arial" w:cs="Arial"/>
          <w:b/>
          <w:sz w:val="22"/>
          <w:szCs w:val="22"/>
          <w:lang w:val="pt-BR"/>
        </w:rPr>
        <w:t xml:space="preserve">15. </w:t>
      </w:r>
      <w:r>
        <w:rPr>
          <w:rFonts w:ascii="Arial" w:hAnsi="Arial" w:cs="Arial"/>
          <w:b/>
          <w:sz w:val="22"/>
          <w:szCs w:val="22"/>
        </w:rPr>
        <w:t>CLÁUSULA DÉCIMA QUINTA – RESCISÃO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15.1.</w:t>
      </w:r>
      <w:r>
        <w:rPr>
          <w:rFonts w:hint="default" w:ascii="Arial" w:hAnsi="Arial" w:cs="Arial"/>
          <w:b w:val="0"/>
          <w:bCs w:val="0"/>
          <w:sz w:val="22"/>
          <w:szCs w:val="22"/>
          <w:lang w:val="pt-BR"/>
        </w:rPr>
        <w:t xml:space="preserve"> A inexecução total ou parcial do contrato enseja a sua rescisão, com as conseqüências contratuais e as previstas em lei ou regulamento.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w:t>
      </w:r>
      <w:r>
        <w:rPr>
          <w:rFonts w:hint="default" w:ascii="Arial" w:hAnsi="Arial" w:cs="Arial"/>
          <w:b w:val="0"/>
          <w:bCs w:val="0"/>
          <w:sz w:val="22"/>
          <w:szCs w:val="22"/>
          <w:lang w:val="pt-BR"/>
        </w:rPr>
        <w:t>  Constituem motivo para rescisão do contrato: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15.2.1. </w:t>
      </w:r>
      <w:r>
        <w:rPr>
          <w:rFonts w:hint="default" w:ascii="Arial" w:hAnsi="Arial" w:cs="Arial"/>
          <w:b w:val="0"/>
          <w:bCs w:val="0"/>
          <w:sz w:val="22"/>
          <w:szCs w:val="22"/>
          <w:lang w:val="pt-BR"/>
        </w:rPr>
        <w:t>O não cumprimento de cláusulas contratuais, especificações, projetos ou prazos;</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15.2.2.</w:t>
      </w:r>
      <w:r>
        <w:rPr>
          <w:rFonts w:hint="default" w:ascii="Arial" w:hAnsi="Arial" w:cs="Arial"/>
          <w:b w:val="0"/>
          <w:bCs w:val="0"/>
          <w:sz w:val="22"/>
          <w:szCs w:val="22"/>
          <w:lang w:val="pt-BR"/>
        </w:rPr>
        <w:t> O cumprimento irregular de cláusulas contratuais, especificações, projetos e prazos;</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15.2.3. </w:t>
      </w:r>
      <w:r>
        <w:rPr>
          <w:rFonts w:hint="default" w:ascii="Arial" w:hAnsi="Arial" w:cs="Arial"/>
          <w:b w:val="0"/>
          <w:bCs w:val="0"/>
          <w:sz w:val="22"/>
          <w:szCs w:val="22"/>
          <w:lang w:val="pt-BR"/>
        </w:rPr>
        <w:t>A lentidão do seu cumprimento, levando a Administração a comprovar a impossibilidade da conclusão da obra, do serviço ou do fornecimento, nos prazos estipulados;</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15.2.4. </w:t>
      </w:r>
      <w:r>
        <w:rPr>
          <w:rFonts w:hint="default" w:ascii="Arial" w:hAnsi="Arial" w:cs="Arial"/>
          <w:b w:val="0"/>
          <w:bCs w:val="0"/>
          <w:sz w:val="22"/>
          <w:szCs w:val="22"/>
          <w:lang w:val="pt-BR"/>
        </w:rPr>
        <w:t>O atraso injustificado no início da obra, serviço ou fornecimento;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15.2.5.</w:t>
      </w:r>
      <w:r>
        <w:rPr>
          <w:rFonts w:hint="default" w:ascii="Arial" w:hAnsi="Arial" w:cs="Arial"/>
          <w:b w:val="0"/>
          <w:bCs w:val="0"/>
          <w:sz w:val="22"/>
          <w:szCs w:val="22"/>
          <w:lang w:val="pt-BR"/>
        </w:rPr>
        <w:t> A paralisação da obra, do serviço ou do fornecimento, sem justa causa e prévia comunicação à Administração;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15.2.6.</w:t>
      </w:r>
      <w:r>
        <w:rPr>
          <w:rFonts w:hint="default" w:ascii="Arial" w:hAnsi="Arial" w:cs="Arial"/>
          <w:b w:val="0"/>
          <w:bCs w:val="0"/>
          <w:sz w:val="22"/>
          <w:szCs w:val="22"/>
          <w:lang w:val="pt-BR"/>
        </w:rPr>
        <w:t> A subcontratação total ou parcial do seu objeto, a associação do contratado com outrem, a cessão ou transferência, total ou parcial, bem como a fusão, cisão ou incorporação, não admitidas no edital e no contrato;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15.2.7. </w:t>
      </w:r>
      <w:r>
        <w:rPr>
          <w:rFonts w:hint="default" w:ascii="Arial" w:hAnsi="Arial" w:cs="Arial"/>
          <w:b w:val="0"/>
          <w:bCs w:val="0"/>
          <w:sz w:val="22"/>
          <w:szCs w:val="22"/>
          <w:lang w:val="pt-BR"/>
        </w:rPr>
        <w:t>O desatendimento das determinações regulares da autoridade designada para acompanhar e fiscalizar a sua execução, assim como as de seus superiores;</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15.2.8.</w:t>
      </w:r>
      <w:r>
        <w:rPr>
          <w:rFonts w:hint="default" w:ascii="Arial" w:hAnsi="Arial" w:cs="Arial"/>
          <w:b w:val="0"/>
          <w:bCs w:val="0"/>
          <w:sz w:val="22"/>
          <w:szCs w:val="22"/>
          <w:lang w:val="pt-BR"/>
        </w:rPr>
        <w:t> O cometimento reiterado de faltas na sua execução, anotadas na forma do § 1o do art. 67 Lei nº 8.666/93Lei nº 8.666/93;</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15.2.9. </w:t>
      </w:r>
      <w:r>
        <w:rPr>
          <w:rFonts w:hint="default" w:ascii="Arial" w:hAnsi="Arial" w:cs="Arial"/>
          <w:b w:val="0"/>
          <w:bCs w:val="0"/>
          <w:sz w:val="22"/>
          <w:szCs w:val="22"/>
          <w:lang w:val="pt-BR"/>
        </w:rPr>
        <w:t>A decretação de falência ou a instauração de insolvência civil;</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15.2.10. </w:t>
      </w:r>
      <w:r>
        <w:rPr>
          <w:rFonts w:hint="default" w:ascii="Arial" w:hAnsi="Arial" w:cs="Arial"/>
          <w:b w:val="0"/>
          <w:bCs w:val="0"/>
          <w:sz w:val="22"/>
          <w:szCs w:val="22"/>
          <w:lang w:val="pt-BR"/>
        </w:rPr>
        <w:t>A dissolução da sociedade ou o falecimento do contratado;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15.2.11. </w:t>
      </w:r>
      <w:r>
        <w:rPr>
          <w:rFonts w:hint="default" w:ascii="Arial" w:hAnsi="Arial" w:cs="Arial"/>
          <w:b w:val="0"/>
          <w:bCs w:val="0"/>
          <w:sz w:val="22"/>
          <w:szCs w:val="22"/>
          <w:lang w:val="pt-BR"/>
        </w:rPr>
        <w:t>A alteração social ou a modificação da finalidade ou da estrutura da empresa, que prejudique a execução do contrato;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15.2.12.</w:t>
      </w:r>
      <w:r>
        <w:rPr>
          <w:rFonts w:hint="default" w:ascii="Arial" w:hAnsi="Arial" w:cs="Arial"/>
          <w:b w:val="0"/>
          <w:bCs w:val="0"/>
          <w:sz w:val="22"/>
          <w:szCs w:val="22"/>
          <w:lang w:val="pt-BR"/>
        </w:rPr>
        <w:t> Razões de interesse público, de alta relevância e amplo conhecimento, justificadas e determinadas pela máxima autoridade da esfera administrativa a que está subordinado o contratante e exaradas no processo administrativo a que se refere o contrato;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15.2.13.</w:t>
      </w:r>
      <w:r>
        <w:rPr>
          <w:rFonts w:hint="default" w:ascii="Arial" w:hAnsi="Arial" w:cs="Arial"/>
          <w:b w:val="0"/>
          <w:bCs w:val="0"/>
          <w:sz w:val="22"/>
          <w:szCs w:val="22"/>
          <w:lang w:val="pt-BR"/>
        </w:rPr>
        <w:t> A supressão, por parte da Administração, de obras, serviços ou compras, acarretando modificação do valor inicial do contrato além do limite permitido no § 1o do art. 65 da Lei nº 8.666/93;</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15.2.14.</w:t>
      </w:r>
      <w:r>
        <w:rPr>
          <w:rFonts w:hint="default" w:ascii="Arial" w:hAnsi="Arial" w:cs="Arial"/>
          <w:b w:val="0"/>
          <w:bCs w:val="0"/>
          <w:sz w:val="22"/>
          <w:szCs w:val="22"/>
          <w:lang w:val="pt-BR"/>
        </w:rPr>
        <w:t> A suspensão de sua execução, por ordem escrita da Administração,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ao contratado, nesses casos, o direito de optar pela suspensão do cumprimento das obrigações assumidas até que seja normalizada a situação;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15.2.15.</w:t>
      </w:r>
      <w:r>
        <w:rPr>
          <w:rFonts w:hint="default" w:ascii="Arial" w:hAnsi="Arial" w:cs="Arial"/>
          <w:b w:val="0"/>
          <w:bCs w:val="0"/>
          <w:sz w:val="22"/>
          <w:szCs w:val="22"/>
          <w:lang w:val="pt-BR"/>
        </w:rPr>
        <w:t> O atraso superior a 90 (noventa) dias dos pagamentos devidos pela Administração decorrentes de obras, serviços ou fornecimento, ou parcelas destes, já recebidos ou executados, salvo em caso de calamidade pública, grave perturbação da ordem interna ou guerra, assegurado ao contratado o direito de optar pela suspensão do cumprimento de suas obrigações até que seja normalizada a situação;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15.2.16.</w:t>
      </w:r>
      <w:r>
        <w:rPr>
          <w:rFonts w:hint="default" w:ascii="Arial" w:hAnsi="Arial" w:cs="Arial"/>
          <w:b w:val="0"/>
          <w:bCs w:val="0"/>
          <w:sz w:val="22"/>
          <w:szCs w:val="22"/>
          <w:lang w:val="pt-BR"/>
        </w:rPr>
        <w:t> A não liberação, por parte da Administração, de área, local ou objeto para execução de obra, serviço ou fornecimento, nos prazos contratuais, bem como das fontes de materiais naturais especificadas no projeto;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15.2.17.</w:t>
      </w:r>
      <w:r>
        <w:rPr>
          <w:rFonts w:hint="default" w:ascii="Arial" w:hAnsi="Arial" w:cs="Arial"/>
          <w:b w:val="0"/>
          <w:bCs w:val="0"/>
          <w:sz w:val="22"/>
          <w:szCs w:val="22"/>
          <w:lang w:val="pt-BR"/>
        </w:rPr>
        <w:t> A ocorrência de caso fortuito ou de força maior, regularmente comprovada, impeditiva da execução do contrato.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15.2.18. </w:t>
      </w:r>
      <w:r>
        <w:rPr>
          <w:rFonts w:hint="default" w:ascii="Arial" w:hAnsi="Arial" w:cs="Arial"/>
          <w:b w:val="0"/>
          <w:bCs w:val="0"/>
          <w:sz w:val="22"/>
          <w:szCs w:val="22"/>
          <w:lang w:val="pt-BR"/>
        </w:rPr>
        <w:t>Descumprimento do disposto no inciso V do art. 27 da Lei nº 8.666/93, sem prejuízo das sanções penais cabíveis. </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15.2.18.1. </w:t>
      </w:r>
      <w:r>
        <w:rPr>
          <w:rFonts w:hint="default" w:ascii="Arial" w:hAnsi="Arial" w:cs="Arial"/>
          <w:b w:val="0"/>
          <w:bCs w:val="0"/>
          <w:sz w:val="22"/>
          <w:szCs w:val="22"/>
          <w:lang w:val="pt-BR"/>
        </w:rPr>
        <w:t>Os casos de rescisão contratual serão formalmente motivados nos autos do processo, assegurado o contraditório e a ampla defesa.</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15.3.</w:t>
      </w:r>
      <w:r>
        <w:rPr>
          <w:rFonts w:hint="default" w:ascii="Arial" w:hAnsi="Arial" w:cs="Arial"/>
          <w:b w:val="0"/>
          <w:bCs w:val="0"/>
          <w:sz w:val="22"/>
          <w:szCs w:val="22"/>
          <w:lang w:val="pt-BR"/>
        </w:rPr>
        <w:t>  A rescisão do contrato poderá ser:</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15.3.1.</w:t>
      </w:r>
      <w:r>
        <w:rPr>
          <w:rFonts w:hint="default" w:ascii="Arial" w:hAnsi="Arial" w:cs="Arial"/>
          <w:b w:val="0"/>
          <w:bCs w:val="0"/>
          <w:sz w:val="22"/>
          <w:szCs w:val="22"/>
          <w:lang w:val="pt-BR"/>
        </w:rPr>
        <w:t> Determinada por ato unilateral e escrito da Administração, nos casos enumerados nos sub-itens 15.2.1. a 15.2.12. e 15.2.17.;</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15.3.2. </w:t>
      </w:r>
      <w:r>
        <w:rPr>
          <w:rFonts w:hint="default" w:ascii="Arial" w:hAnsi="Arial" w:cs="Arial"/>
          <w:b w:val="0"/>
          <w:bCs w:val="0"/>
          <w:sz w:val="22"/>
          <w:szCs w:val="22"/>
          <w:lang w:val="pt-BR"/>
        </w:rPr>
        <w:t>Amigável, por acordo entre as partes, reduzida a termo no processo da licitação, desde que haja conveniência para a Administração;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15.3.3. </w:t>
      </w:r>
      <w:r>
        <w:rPr>
          <w:rFonts w:hint="default" w:ascii="Arial" w:hAnsi="Arial" w:cs="Arial"/>
          <w:b w:val="0"/>
          <w:bCs w:val="0"/>
          <w:sz w:val="22"/>
          <w:szCs w:val="22"/>
          <w:lang w:val="pt-BR"/>
        </w:rPr>
        <w:t>Judicial, nos termos da legislação;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15.4. </w:t>
      </w:r>
      <w:r>
        <w:rPr>
          <w:rFonts w:hint="default" w:ascii="Arial" w:hAnsi="Arial" w:cs="Arial"/>
          <w:b w:val="0"/>
          <w:bCs w:val="0"/>
          <w:sz w:val="22"/>
          <w:szCs w:val="22"/>
          <w:lang w:val="pt-BR"/>
        </w:rPr>
        <w:t>A rescisão administrativa ou amigável deverá ser precedida de autorização escrita e fundamentada da autoridade competente.</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15.5. </w:t>
      </w:r>
      <w:r>
        <w:rPr>
          <w:rFonts w:hint="default" w:ascii="Arial" w:hAnsi="Arial" w:cs="Arial"/>
          <w:b w:val="0"/>
          <w:bCs w:val="0"/>
          <w:sz w:val="22"/>
          <w:szCs w:val="22"/>
          <w:lang w:val="pt-BR"/>
        </w:rPr>
        <w:t>Quando a rescisão ocorrer com base nos sub-itens 15.2.12. a 15.2.17. sem que haja culpa do contratado, será este ressarcido dos prejuízos regularmente comprovados que houver sofrido, tendo ainda direito a:</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15.5.1.</w:t>
      </w:r>
      <w:r>
        <w:rPr>
          <w:rFonts w:hint="default" w:ascii="Arial" w:hAnsi="Arial" w:cs="Arial"/>
          <w:b w:val="0"/>
          <w:bCs w:val="0"/>
          <w:sz w:val="22"/>
          <w:szCs w:val="22"/>
          <w:lang w:val="pt-BR"/>
        </w:rPr>
        <w:t> Devolução de garantia;</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15.5.2.</w:t>
      </w:r>
      <w:r>
        <w:rPr>
          <w:rFonts w:hint="default" w:ascii="Arial" w:hAnsi="Arial" w:cs="Arial"/>
          <w:b w:val="0"/>
          <w:bCs w:val="0"/>
          <w:sz w:val="22"/>
          <w:szCs w:val="22"/>
          <w:lang w:val="pt-BR"/>
        </w:rPr>
        <w:t> Pagamentos devidos pela execução do contrato até a data da rescisão;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15.5.3.</w:t>
      </w:r>
      <w:r>
        <w:rPr>
          <w:rFonts w:hint="default" w:ascii="Arial" w:hAnsi="Arial" w:cs="Arial"/>
          <w:b w:val="0"/>
          <w:bCs w:val="0"/>
          <w:sz w:val="22"/>
          <w:szCs w:val="22"/>
          <w:lang w:val="pt-BR"/>
        </w:rPr>
        <w:t> Pagamento do custo da desmobilização.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15.5.4.</w:t>
      </w:r>
      <w:r>
        <w:rPr>
          <w:rFonts w:hint="default" w:ascii="Arial" w:hAnsi="Arial" w:cs="Arial"/>
          <w:b w:val="0"/>
          <w:bCs w:val="0"/>
          <w:sz w:val="22"/>
          <w:szCs w:val="22"/>
          <w:lang w:val="pt-BR"/>
        </w:rPr>
        <w:t> Ocorrendo impedimento, paralisação ou sustação do contrato, o cronograma de execução será prorrogado automaticamente por igual tempo.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15.6.</w:t>
      </w:r>
      <w:r>
        <w:rPr>
          <w:rFonts w:hint="default" w:ascii="Arial" w:hAnsi="Arial" w:cs="Arial"/>
          <w:b w:val="0"/>
          <w:bCs w:val="0"/>
          <w:sz w:val="22"/>
          <w:szCs w:val="22"/>
          <w:lang w:val="pt-BR"/>
        </w:rPr>
        <w:t>  A rescisão poderá acarretar as seguintes conseqüências, sem prejuízo das sanções previstas nesta Lei:</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15.6.1.</w:t>
      </w:r>
      <w:r>
        <w:rPr>
          <w:rFonts w:hint="default" w:ascii="Arial" w:hAnsi="Arial" w:cs="Arial"/>
          <w:b w:val="0"/>
          <w:bCs w:val="0"/>
          <w:sz w:val="22"/>
          <w:szCs w:val="22"/>
          <w:lang w:val="pt-BR"/>
        </w:rPr>
        <w:t> Assunção imediata do objeto do contrato, no estado e local em que se encontrar, por ato próprio da Administração;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15.6.2. </w:t>
      </w:r>
      <w:r>
        <w:rPr>
          <w:rFonts w:hint="default" w:ascii="Arial" w:hAnsi="Arial" w:cs="Arial"/>
          <w:b w:val="0"/>
          <w:bCs w:val="0"/>
          <w:sz w:val="22"/>
          <w:szCs w:val="22"/>
          <w:lang w:val="pt-BR"/>
        </w:rPr>
        <w:t>Ocupação e utilização do local, instalações, equipamentos, material e pessoal empregados na execução do contrato, necessários à sua continuidade, na forma do inciso V do art. 58 da Lei nº 8.666/93;</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15.6.3.</w:t>
      </w:r>
      <w:r>
        <w:rPr>
          <w:rFonts w:hint="default" w:ascii="Arial" w:hAnsi="Arial" w:cs="Arial"/>
          <w:b w:val="0"/>
          <w:bCs w:val="0"/>
          <w:sz w:val="22"/>
          <w:szCs w:val="22"/>
          <w:lang w:val="pt-BR"/>
        </w:rPr>
        <w:t> Execução da garantia contratual, para ressarcimento da Administração, e dos valores das multas e indenizações a ela devidos;</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15.6.4. </w:t>
      </w:r>
      <w:r>
        <w:rPr>
          <w:rFonts w:hint="default" w:ascii="Arial" w:hAnsi="Arial" w:cs="Arial"/>
          <w:b w:val="0"/>
          <w:bCs w:val="0"/>
          <w:sz w:val="22"/>
          <w:szCs w:val="22"/>
          <w:lang w:val="pt-BR"/>
        </w:rPr>
        <w:t>Retenção dos créditos decorrentes do contrato até o limite dos prejuízos causados à Administração.</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15.7.</w:t>
      </w:r>
      <w:r>
        <w:rPr>
          <w:rFonts w:hint="default" w:ascii="Arial" w:hAnsi="Arial" w:cs="Arial"/>
          <w:b w:val="0"/>
          <w:bCs w:val="0"/>
          <w:sz w:val="22"/>
          <w:szCs w:val="22"/>
          <w:lang w:val="pt-BR"/>
        </w:rPr>
        <w:t> A aplicação das medidas previstas nos sub-itens 15.4.1 e 15.4.2 deste item fica a critério da Administração, que poderá dar continuidade à obra ou ao serviço por execução direta ou indireta.</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15.7.1.</w:t>
      </w:r>
      <w:r>
        <w:rPr>
          <w:rFonts w:hint="default" w:ascii="Arial" w:hAnsi="Arial" w:cs="Arial"/>
          <w:b w:val="0"/>
          <w:bCs w:val="0"/>
          <w:sz w:val="22"/>
          <w:szCs w:val="22"/>
          <w:lang w:val="pt-BR"/>
        </w:rPr>
        <w:t>  É permitido à Administração, no caso de concordata do contratado, manter o contrato, podendo assumir o controle de determinadas atividades de serviços essenciais.</w:t>
      </w:r>
    </w:p>
    <w:p>
      <w:pPr>
        <w:keepNext w:val="0"/>
        <w:keepLines w:val="0"/>
        <w:pageBreakBefore w:val="0"/>
        <w:widowControl w:val="0"/>
        <w:numPr>
          <w:ilvl w:val="0"/>
          <w:numId w:val="0"/>
        </w:numPr>
        <w:tabs>
          <w:tab w:val="left" w:pos="-6237"/>
          <w:tab w:val="left" w:pos="567"/>
        </w:tabs>
        <w:kinsoku/>
        <w:wordWrap/>
        <w:overflowPunct/>
        <w:topLinePunct w:val="0"/>
        <w:bidi w:val="0"/>
        <w:snapToGrid/>
        <w:spacing w:beforeAutospacing="0" w:after="120" w:afterAutospacing="0"/>
        <w:ind w:leftChars="0"/>
        <w:jc w:val="both"/>
        <w:textAlignment w:val="auto"/>
        <w:rPr>
          <w:rFonts w:hint="default" w:ascii="Arial" w:hAnsi="Arial" w:cs="Arial"/>
          <w:b w:val="0"/>
          <w:bCs w:val="0"/>
          <w:sz w:val="22"/>
          <w:szCs w:val="22"/>
          <w:lang w:val="pt-BR"/>
        </w:rPr>
      </w:pPr>
      <w:r>
        <w:rPr>
          <w:rFonts w:hint="default" w:ascii="Arial" w:hAnsi="Arial" w:cs="Arial"/>
          <w:b/>
          <w:bCs/>
          <w:sz w:val="22"/>
          <w:szCs w:val="22"/>
          <w:lang w:val="pt-BR"/>
        </w:rPr>
        <w:t xml:space="preserve">15.7.2. </w:t>
      </w:r>
      <w:r>
        <w:rPr>
          <w:rFonts w:hint="default" w:ascii="Arial" w:hAnsi="Arial" w:cs="Arial"/>
          <w:b w:val="0"/>
          <w:bCs w:val="0"/>
          <w:sz w:val="22"/>
          <w:szCs w:val="22"/>
          <w:lang w:val="pt-BR"/>
        </w:rPr>
        <w:t>Na hipótese do inciso II deste artigo, o ato deverá ser precedido de autorização expressa do Ministro de Estado competente, ou Secretário Estadual ou Municipal, conforme o caso.</w:t>
      </w:r>
    </w:p>
    <w:p>
      <w:pPr>
        <w:keepNext w:val="0"/>
        <w:keepLines w:val="0"/>
        <w:pageBreakBefore w:val="0"/>
        <w:widowControl w:val="0"/>
        <w:numPr>
          <w:ilvl w:val="0"/>
          <w:numId w:val="0"/>
        </w:numPr>
        <w:tabs>
          <w:tab w:val="left" w:pos="426"/>
          <w:tab w:val="left" w:pos="709"/>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b/>
          <w:color w:val="000000"/>
          <w:sz w:val="22"/>
          <w:szCs w:val="22"/>
        </w:rPr>
      </w:pPr>
      <w:r>
        <w:rPr>
          <w:rFonts w:hint="default" w:ascii="Arial" w:hAnsi="Arial" w:cs="Arial"/>
          <w:b/>
          <w:color w:val="000000"/>
          <w:sz w:val="22"/>
          <w:szCs w:val="22"/>
          <w:lang w:val="pt-BR"/>
        </w:rPr>
        <w:t xml:space="preserve">16. </w:t>
      </w:r>
      <w:r>
        <w:rPr>
          <w:rFonts w:ascii="Arial" w:hAnsi="Arial" w:cs="Arial"/>
          <w:b/>
          <w:color w:val="000000"/>
          <w:sz w:val="22"/>
          <w:szCs w:val="22"/>
        </w:rPr>
        <w:t>CLÁUSULA DÉCIMA SEXTA- DO REAJUSTE</w:t>
      </w:r>
    </w:p>
    <w:p>
      <w:pPr>
        <w:pStyle w:val="86"/>
        <w:keepNext w:val="0"/>
        <w:keepLines w:val="0"/>
        <w:pageBreakBefore w:val="0"/>
        <w:widowControl w:val="0"/>
        <w:numPr>
          <w:ilvl w:val="0"/>
          <w:numId w:val="0"/>
        </w:numPr>
        <w:tabs>
          <w:tab w:val="left" w:pos="426"/>
          <w:tab w:val="left" w:pos="709"/>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b/>
          <w:color w:val="000000"/>
          <w:sz w:val="22"/>
          <w:szCs w:val="22"/>
        </w:rPr>
      </w:pPr>
      <w:r>
        <w:rPr>
          <w:rFonts w:hint="default" w:ascii="Arial" w:hAnsi="Arial" w:cs="Arial"/>
          <w:b/>
          <w:bCs/>
          <w:sz w:val="22"/>
          <w:szCs w:val="22"/>
          <w:lang w:val="pt-BR"/>
        </w:rPr>
        <w:t xml:space="preserve">16.1. </w:t>
      </w:r>
      <w:r>
        <w:rPr>
          <w:rFonts w:ascii="Arial" w:hAnsi="Arial" w:cs="Arial"/>
          <w:sz w:val="22"/>
          <w:szCs w:val="22"/>
        </w:rPr>
        <w:t>O valor do contrato será fixo e irreajustável, porém poderá ser corrigido anualmente mediante requerimento da contratada, após o interregno mínimo de um ano, contado a partir da data limite para a apresentação da proposta, pela variação do índice INCC (Índice Nacional de Custos da Construção), ou outro que vier a substituí-lo, e afetará exclusivamente as etapas/parcelas do empreendimento cujo atraso não decorra de culpa da contratada. Em caso de culpa, a correção será vedada, obrigando o particular contratado a arcar com os ônus decorrentes do atraso.</w:t>
      </w:r>
    </w:p>
    <w:p>
      <w:pPr>
        <w:pStyle w:val="86"/>
        <w:keepNext w:val="0"/>
        <w:keepLines w:val="0"/>
        <w:pageBreakBefore w:val="0"/>
        <w:widowControl w:val="0"/>
        <w:numPr>
          <w:ilvl w:val="0"/>
          <w:numId w:val="0"/>
        </w:numPr>
        <w:tabs>
          <w:tab w:val="left" w:pos="426"/>
          <w:tab w:val="left" w:pos="567"/>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sz w:val="22"/>
          <w:szCs w:val="22"/>
        </w:rPr>
      </w:pPr>
      <w:r>
        <w:rPr>
          <w:rFonts w:hint="default" w:ascii="Arial" w:hAnsi="Arial" w:cs="Arial"/>
          <w:b/>
          <w:sz w:val="22"/>
          <w:szCs w:val="22"/>
          <w:lang w:val="pt-BR"/>
        </w:rPr>
        <w:t xml:space="preserve">17. </w:t>
      </w:r>
      <w:r>
        <w:rPr>
          <w:rFonts w:ascii="Arial" w:hAnsi="Arial" w:cs="Arial"/>
          <w:b/>
          <w:sz w:val="22"/>
          <w:szCs w:val="22"/>
        </w:rPr>
        <w:t>CLÁUSULA DÉCIMA SÉTIMA – PUBLICAÇÃO</w:t>
      </w:r>
    </w:p>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 xml:space="preserve">17.1. </w:t>
      </w:r>
      <w:r>
        <w:rPr>
          <w:rFonts w:ascii="Arial" w:hAnsi="Arial" w:cs="Arial"/>
          <w:sz w:val="22"/>
          <w:szCs w:val="22"/>
        </w:rPr>
        <w:t>Incumbirá à Contratante providenciar a publicação deste instrumento, por extrato, no Diário Oficial do Estado e Município, no prazo previsto na Lei nº 8.666, de 1993.</w:t>
      </w:r>
    </w:p>
    <w:p>
      <w:pPr>
        <w:keepNext w:val="0"/>
        <w:keepLines w:val="0"/>
        <w:pageBreakBefore w:val="0"/>
        <w:widowControl w:val="0"/>
        <w:numPr>
          <w:ilvl w:val="0"/>
          <w:numId w:val="0"/>
        </w:numPr>
        <w:tabs>
          <w:tab w:val="left" w:pos="426"/>
          <w:tab w:val="left" w:pos="567"/>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 xml:space="preserve">18. </w:t>
      </w:r>
      <w:r>
        <w:rPr>
          <w:rFonts w:ascii="Arial" w:hAnsi="Arial" w:cs="Arial"/>
          <w:b/>
          <w:sz w:val="22"/>
          <w:szCs w:val="22"/>
        </w:rPr>
        <w:t>CLÁUSULA DÉCIMA OITAVA - DAS DISPOSIÇÕES FINAIS</w:t>
      </w:r>
    </w:p>
    <w:p>
      <w:pPr>
        <w:keepNext w:val="0"/>
        <w:keepLines w:val="0"/>
        <w:pageBreakBefore w:val="0"/>
        <w:widowControl w:val="0"/>
        <w:numPr>
          <w:ilvl w:val="0"/>
          <w:numId w:val="0"/>
        </w:numPr>
        <w:tabs>
          <w:tab w:val="left" w:pos="426"/>
          <w:tab w:val="left" w:pos="567"/>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 xml:space="preserve">18.1. </w:t>
      </w:r>
      <w:r>
        <w:rPr>
          <w:rFonts w:ascii="Arial" w:hAnsi="Arial" w:cs="Arial"/>
          <w:sz w:val="22"/>
          <w:szCs w:val="22"/>
        </w:rPr>
        <w:t>Aplicam-se a este Contrato as disposições da Lei nº 8.666/93, que regulamente as licitações promovidas pela Administração Pública;</w:t>
      </w:r>
    </w:p>
    <w:p>
      <w:pPr>
        <w:keepNext w:val="0"/>
        <w:keepLines w:val="0"/>
        <w:pageBreakBefore w:val="0"/>
        <w:widowControl w:val="0"/>
        <w:numPr>
          <w:ilvl w:val="0"/>
          <w:numId w:val="0"/>
        </w:numPr>
        <w:tabs>
          <w:tab w:val="left" w:pos="567"/>
        </w:tabs>
        <w:kinsoku/>
        <w:wordWrap/>
        <w:overflowPunct/>
        <w:topLinePunct w:val="0"/>
        <w:autoSpaceDE/>
        <w:autoSpaceDN/>
        <w:bidi w:val="0"/>
        <w:adjustRightInd/>
        <w:snapToGrid/>
        <w:spacing w:beforeAutospacing="0" w:after="120" w:afterAutospacing="0"/>
        <w:ind w:leftChars="0"/>
        <w:jc w:val="both"/>
        <w:textAlignment w:val="auto"/>
        <w:rPr>
          <w:rFonts w:ascii="Arial" w:hAnsi="Arial" w:cs="Arial"/>
          <w:sz w:val="22"/>
          <w:szCs w:val="22"/>
        </w:rPr>
      </w:pPr>
      <w:r>
        <w:rPr>
          <w:rFonts w:hint="default" w:ascii="Arial" w:hAnsi="Arial" w:cs="Arial"/>
          <w:b/>
          <w:bCs/>
          <w:sz w:val="22"/>
          <w:szCs w:val="22"/>
          <w:lang w:val="pt-BR"/>
        </w:rPr>
        <w:t xml:space="preserve">18.2. </w:t>
      </w:r>
      <w:r>
        <w:rPr>
          <w:rFonts w:ascii="Arial" w:hAnsi="Arial" w:cs="Arial"/>
          <w:sz w:val="22"/>
          <w:szCs w:val="22"/>
        </w:rPr>
        <w:t>Fica Eleito o foro da Comarca de Primavera do Leste – MT, com exclusão de qualquer outro, por mais privilegiado que seja para dirimir as dúvidas oriundas da presente avença.</w:t>
      </w:r>
    </w:p>
    <w:p>
      <w:pPr>
        <w:keepNext w:val="0"/>
        <w:keepLines w:val="0"/>
        <w:pageBreakBefore w:val="0"/>
        <w:tabs>
          <w:tab w:val="left" w:pos="567"/>
        </w:tabs>
        <w:kinsoku/>
        <w:wordWrap/>
        <w:overflowPunct/>
        <w:topLinePunct w:val="0"/>
        <w:autoSpaceDE/>
        <w:autoSpaceDN/>
        <w:bidi w:val="0"/>
        <w:adjustRightInd/>
        <w:snapToGrid/>
        <w:spacing w:beforeAutospacing="0" w:after="120" w:afterAutospacing="0"/>
        <w:jc w:val="both"/>
        <w:textAlignment w:val="auto"/>
        <w:rPr>
          <w:rFonts w:ascii="Arial" w:hAnsi="Arial" w:cs="Arial"/>
          <w:sz w:val="22"/>
          <w:szCs w:val="22"/>
        </w:rPr>
      </w:pPr>
      <w:r>
        <w:rPr>
          <w:rFonts w:hint="default" w:ascii="Arial" w:hAnsi="Arial" w:cs="Arial"/>
          <w:b/>
          <w:bCs/>
          <w:sz w:val="22"/>
          <w:szCs w:val="22"/>
          <w:lang w:val="pt-BR"/>
        </w:rPr>
        <w:t xml:space="preserve">18.3. </w:t>
      </w:r>
      <w:r>
        <w:rPr>
          <w:rFonts w:ascii="Arial" w:hAnsi="Arial" w:cs="Arial"/>
          <w:sz w:val="22"/>
          <w:szCs w:val="22"/>
        </w:rPr>
        <w:t xml:space="preserve">Para firmeza e validade do pactuado, o presente Termo de Contrato foi lavrado em 03 (três) vias de igual teor, que, depois de lido e achado em ordem, vai assinado pelos contraentes. </w:t>
      </w:r>
    </w:p>
    <w:p>
      <w:pPr>
        <w:tabs>
          <w:tab w:val="left" w:pos="567"/>
        </w:tabs>
        <w:spacing w:after="120"/>
        <w:jc w:val="both"/>
        <w:rPr>
          <w:rFonts w:ascii="Arial" w:hAnsi="Arial" w:cs="Arial"/>
          <w:sz w:val="22"/>
          <w:szCs w:val="22"/>
        </w:rPr>
      </w:pPr>
    </w:p>
    <w:p>
      <w:pPr>
        <w:spacing w:before="120" w:after="120" w:line="360" w:lineRule="auto"/>
        <w:ind w:right="-15"/>
        <w:jc w:val="center"/>
        <w:rPr>
          <w:rFonts w:ascii="Arial" w:hAnsi="Arial" w:cs="Arial"/>
          <w:sz w:val="22"/>
          <w:szCs w:val="22"/>
        </w:rPr>
      </w:pPr>
      <w:r>
        <w:rPr>
          <w:rFonts w:ascii="Arial" w:hAnsi="Arial" w:cs="Arial"/>
          <w:sz w:val="22"/>
          <w:szCs w:val="22"/>
        </w:rPr>
        <w:t>...........................................,  .......... de.......................................... de 20.....</w:t>
      </w:r>
    </w:p>
    <w:p>
      <w:pPr>
        <w:rPr>
          <w:rFonts w:ascii="Arial" w:hAnsi="Arial" w:cs="Arial"/>
          <w:bCs/>
          <w:sz w:val="22"/>
          <w:szCs w:val="22"/>
        </w:rPr>
      </w:pPr>
    </w:p>
    <w:p>
      <w:pPr>
        <w:rPr>
          <w:rFonts w:ascii="Arial" w:hAnsi="Arial" w:cs="Arial"/>
          <w:bCs/>
          <w:sz w:val="22"/>
          <w:szCs w:val="22"/>
        </w:rPr>
      </w:pPr>
    </w:p>
    <w:p>
      <w:pPr>
        <w:rPr>
          <w:rFonts w:ascii="Arial" w:hAnsi="Arial" w:cs="Arial"/>
          <w:bCs/>
          <w:sz w:val="22"/>
          <w:szCs w:val="22"/>
        </w:rPr>
      </w:pPr>
    </w:p>
    <w:p>
      <w:pPr>
        <w:jc w:val="center"/>
        <w:rPr>
          <w:rFonts w:ascii="Arial" w:hAnsi="Arial" w:cs="Arial"/>
          <w:bCs/>
          <w:sz w:val="22"/>
          <w:szCs w:val="22"/>
        </w:rPr>
      </w:pPr>
      <w:r>
        <w:rPr>
          <w:rFonts w:ascii="Arial" w:hAnsi="Arial" w:cs="Arial"/>
          <w:bCs/>
          <w:sz w:val="22"/>
          <w:szCs w:val="22"/>
        </w:rPr>
        <w:t>_________________________</w:t>
      </w:r>
    </w:p>
    <w:p>
      <w:pPr>
        <w:jc w:val="center"/>
        <w:rPr>
          <w:rFonts w:ascii="Arial" w:hAnsi="Arial" w:cs="Arial"/>
          <w:bCs/>
          <w:sz w:val="22"/>
          <w:szCs w:val="22"/>
        </w:rPr>
      </w:pPr>
      <w:r>
        <w:rPr>
          <w:rFonts w:ascii="Arial" w:hAnsi="Arial" w:cs="Arial"/>
          <w:bCs/>
          <w:sz w:val="22"/>
          <w:szCs w:val="22"/>
        </w:rPr>
        <w:t>Responsável legal da CONTRATANTE</w:t>
      </w:r>
    </w:p>
    <w:p>
      <w:pPr>
        <w:jc w:val="center"/>
        <w:rPr>
          <w:rFonts w:ascii="Arial" w:hAnsi="Arial" w:cs="Arial"/>
          <w:sz w:val="22"/>
          <w:szCs w:val="22"/>
        </w:rPr>
      </w:pPr>
    </w:p>
    <w:p>
      <w:pPr>
        <w:jc w:val="center"/>
        <w:rPr>
          <w:rFonts w:ascii="Arial" w:hAnsi="Arial" w:cs="Arial"/>
          <w:sz w:val="22"/>
          <w:szCs w:val="22"/>
        </w:rPr>
      </w:pPr>
    </w:p>
    <w:p>
      <w:pPr>
        <w:jc w:val="center"/>
        <w:rPr>
          <w:rFonts w:ascii="Arial" w:hAnsi="Arial" w:cs="Arial"/>
          <w:sz w:val="22"/>
          <w:szCs w:val="22"/>
        </w:rPr>
      </w:pPr>
    </w:p>
    <w:p>
      <w:pPr>
        <w:jc w:val="center"/>
        <w:rPr>
          <w:rFonts w:ascii="Arial" w:hAnsi="Arial" w:cs="Arial"/>
          <w:sz w:val="22"/>
          <w:szCs w:val="22"/>
        </w:rPr>
      </w:pPr>
      <w:r>
        <w:rPr>
          <w:rFonts w:ascii="Arial" w:hAnsi="Arial" w:cs="Arial"/>
          <w:sz w:val="22"/>
          <w:szCs w:val="22"/>
        </w:rPr>
        <w:t>_________________________</w:t>
      </w:r>
    </w:p>
    <w:p>
      <w:pPr>
        <w:jc w:val="center"/>
        <w:rPr>
          <w:rFonts w:ascii="Arial" w:hAnsi="Arial" w:cs="Arial"/>
          <w:sz w:val="22"/>
          <w:szCs w:val="22"/>
        </w:rPr>
      </w:pPr>
      <w:r>
        <w:rPr>
          <w:rFonts w:ascii="Arial" w:hAnsi="Arial" w:cs="Arial"/>
          <w:sz w:val="22"/>
          <w:szCs w:val="22"/>
        </w:rPr>
        <w:t>Responsável legal da CONTRATADA</w: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w:t>TESTEMUNHAS:</w:t>
      </w:r>
    </w:p>
    <w:p>
      <w:pPr>
        <w:rPr>
          <w:rFonts w:ascii="Arial" w:hAnsi="Arial" w:cs="Arial"/>
          <w:sz w:val="22"/>
          <w:szCs w:val="22"/>
        </w:rPr>
      </w:pPr>
    </w:p>
    <w:p>
      <w:pPr>
        <w:tabs>
          <w:tab w:val="left" w:pos="567"/>
        </w:tabs>
        <w:spacing w:after="120"/>
        <w:jc w:val="both"/>
        <w:rPr>
          <w:rFonts w:ascii="Arial" w:hAnsi="Arial" w:cs="Arial"/>
          <w:sz w:val="22"/>
          <w:szCs w:val="22"/>
          <w:lang w:val="pt-BR"/>
        </w:rPr>
      </w:pPr>
      <w:r>
        <w:rPr>
          <w:rFonts w:ascii="Arial" w:hAnsi="Arial" w:cs="Arial"/>
          <w:sz w:val="22"/>
          <w:szCs w:val="22"/>
        </w:rPr>
        <w:t>,_____________________________                 _________________________</w:t>
      </w:r>
    </w:p>
    <w:sectPr>
      <w:headerReference r:id="rId3" w:type="default"/>
      <w:footerReference r:id="rId4" w:type="default"/>
      <w:footerReference r:id="rId5" w:type="even"/>
      <w:pgSz w:w="12240" w:h="15840"/>
      <w:pgMar w:top="284" w:right="1134" w:bottom="1134" w:left="1560" w:header="567" w:footer="357"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200247B" w:usb2="00000009" w:usb3="00000000" w:csb0="200001FF" w:csb1="00000000"/>
  </w:font>
  <w:font w:name="Wingdings">
    <w:panose1 w:val="05000000000000000000"/>
    <w:charset w:val="02"/>
    <w:family w:val="auto"/>
    <w:pitch w:val="default"/>
    <w:sig w:usb0="00000000" w:usb1="00000000" w:usb2="00000000" w:usb3="00000000" w:csb0="80000000" w:csb1="00000000"/>
  </w:font>
  <w:font w:name="Thorndale">
    <w:altName w:val="Times New Roman"/>
    <w:panose1 w:val="00000000000000000000"/>
    <w:charset w:val="00"/>
    <w:family w:val="roman"/>
    <w:pitch w:val="default"/>
    <w:sig w:usb0="00000000" w:usb1="00000000" w:usb2="00000000" w:usb3="00000000" w:csb0="00000001"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HG Mincho Light J">
    <w:altName w:val="Segoe Print"/>
    <w:panose1 w:val="00000000000000000000"/>
    <w:charset w:val="00"/>
    <w:family w:val="auto"/>
    <w:pitch w:val="default"/>
    <w:sig w:usb0="00000000" w:usb1="00000000" w:usb2="00000000" w:usb3="00000000" w:csb0="00000001" w:csb1="00000000"/>
  </w:font>
  <w:font w:name="MLMPJP+TimesNewRoman,Bold">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Arial Unicode MS">
    <w:altName w:val="Arial"/>
    <w:panose1 w:val="020B0604020202020204"/>
    <w:charset w:val="80"/>
    <w:family w:val="swiss"/>
    <w:pitch w:val="default"/>
    <w:sig w:usb0="00000000" w:usb1="00000000" w:usb2="0000003F" w:usb3="00000000" w:csb0="603F01FF" w:csb1="FFFF0000"/>
  </w:font>
  <w:font w:name="Arial Narrow">
    <w:panose1 w:val="020B0606020202030204"/>
    <w:charset w:val="00"/>
    <w:family w:val="swiss"/>
    <w:pitch w:val="default"/>
    <w:sig w:usb0="00000287" w:usb1="00000800" w:usb2="00000000" w:usb3="00000000" w:csb0="2000009F" w:csb1="DFD70000"/>
  </w:font>
  <w:font w:name="CG Times">
    <w:panose1 w:val="02020603050405020304"/>
    <w:charset w:val="00"/>
    <w:family w:val="roman"/>
    <w:pitch w:val="default"/>
    <w:sig w:usb0="00000000" w:usb1="00000000" w:usb2="00000000" w:usb3="00000000" w:csb0="00000000" w:csb1="00000000"/>
  </w:font>
  <w:font w:name="StarSymbol">
    <w:altName w:val="Segoe Print"/>
    <w:panose1 w:val="00000000000000000000"/>
    <w:charset w:val="02"/>
    <w:family w:val="auto"/>
    <w:pitch w:val="default"/>
    <w:sig w:usb0="00000000" w:usb1="00000000" w:usb2="00000000" w:usb3="00000000" w:csb0="00000000" w:csb1="00000000"/>
  </w:font>
  <w:font w:name="MS Mincho">
    <w:altName w:val="Yu Gothic UI"/>
    <w:panose1 w:val="02020609040205080304"/>
    <w:charset w:val="80"/>
    <w:family w:val="modern"/>
    <w:pitch w:val="default"/>
    <w:sig w:usb0="00000000" w:usb1="00000000" w:usb2="08000012" w:usb3="00000000" w:csb0="0002009F" w:csb1="00000000"/>
  </w:font>
  <w:font w:name="Lucida Grande">
    <w:altName w:val="Times New Roman"/>
    <w:panose1 w:val="00000000000000000000"/>
    <w:charset w:val="00"/>
    <w:family w:val="roman"/>
    <w:pitch w:val="default"/>
    <w:sig w:usb0="00000000" w:usb1="00000000" w:usb2="00000000" w:usb3="00000000" w:csb0="00000001" w:csb1="00000000"/>
  </w:font>
  <w:font w:name="ヒラギノ角ゴ Pro W3">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Ecofont_Spranq_eco_Sans">
    <w:altName w:val="Malgun Gothic"/>
    <w:panose1 w:val="00000000000000000000"/>
    <w:charset w:val="00"/>
    <w:family w:val="swiss"/>
    <w:pitch w:val="default"/>
    <w:sig w:usb0="00000000" w:usb1="00000000" w:usb2="00000000" w:usb3="00000000" w:csb0="00000001" w:csb1="00000000"/>
  </w:font>
  <w:font w:name="Bookman Old Style">
    <w:panose1 w:val="02050604050505020204"/>
    <w:charset w:val="00"/>
    <w:family w:val="roman"/>
    <w:pitch w:val="default"/>
    <w:sig w:usb0="00000287" w:usb1="00000000" w:usb2="00000000" w:usb3="00000000" w:csb0="2000009F" w:csb1="DFD70000"/>
  </w:font>
  <w:font w:name="Helvetica">
    <w:panose1 w:val="020B0604020202020204"/>
    <w:charset w:val="00"/>
    <w:family w:val="swiss"/>
    <w:pitch w:val="default"/>
    <w:sig w:usb0="00000000" w:usb1="00000000" w:usb2="00000000" w:usb3="00000000" w:csb0="00000000" w:csb1="00000000"/>
  </w:font>
  <w:font w:name="Century Gothic">
    <w:panose1 w:val="020B0502020202020204"/>
    <w:charset w:val="00"/>
    <w:family w:val="swiss"/>
    <w:pitch w:val="default"/>
    <w:sig w:usb0="00000287" w:usb1="00000000" w:usb2="00000000" w:usb3="00000000" w:csb0="2000009F" w:csb1="DFD70000"/>
  </w:font>
  <w:font w:name="Trebuchet MS">
    <w:panose1 w:val="020B0603020202020204"/>
    <w:charset w:val="00"/>
    <w:family w:val="swiss"/>
    <w:pitch w:val="default"/>
    <w:sig w:usb0="00000687" w:usb1="00000000" w:usb2="00000000" w:usb3="00000000" w:csb0="2000009F" w:csb1="00000000"/>
  </w:font>
  <w:font w:name="TimesNewRomanPSMT">
    <w:altName w:val="Times New Roman"/>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pBdr>
        <w:top w:val="thinThickSmallGap" w:color="622423" w:themeColor="accent2" w:themeShade="7F" w:sz="24" w:space="1"/>
      </w:pBdr>
      <w:rPr>
        <w:rFonts w:asciiTheme="majorHAnsi" w:hAnsiTheme="majorHAnsi"/>
      </w:rPr>
    </w:pPr>
    <w:r>
      <w:rPr>
        <w:rFonts w:ascii="Arial" w:hAnsi="Arial" w:cs="Arial"/>
        <w:sz w:val="16"/>
        <w:szCs w:val="16"/>
      </w:rPr>
      <w:t>Tomada de Preços nº</w:t>
    </w:r>
    <w:r>
      <w:rPr>
        <w:rFonts w:ascii="Arial" w:hAnsi="Arial" w:cs="Arial"/>
        <w:sz w:val="16"/>
        <w:szCs w:val="16"/>
        <w:lang w:val="pt-BR"/>
      </w:rPr>
      <w:t>005/2023</w:t>
    </w:r>
    <w:r>
      <w:rPr>
        <w:rFonts w:ascii="Arial" w:hAnsi="Arial" w:cs="Arial"/>
        <w:sz w:val="16"/>
        <w:szCs w:val="16"/>
      </w:rPr>
      <w:t xml:space="preserve"> – Processo nº </w:t>
    </w:r>
    <w:r>
      <w:rPr>
        <w:rFonts w:ascii="Arial" w:hAnsi="Arial" w:cs="Arial"/>
        <w:sz w:val="16"/>
        <w:szCs w:val="16"/>
        <w:lang w:val="pt-BR"/>
      </w:rPr>
      <w:t>1058/2023</w:t>
    </w:r>
    <w:r>
      <w:rPr>
        <w:rFonts w:ascii="Arial" w:hAnsi="Arial" w:cs="Arial"/>
        <w:sz w:val="16"/>
        <w:szCs w:val="16"/>
      </w:rPr>
      <w:t xml:space="preserve"> </w:t>
    </w:r>
    <w:r>
      <w:rPr>
        <w:rFonts w:asciiTheme="majorHAnsi" w:hAnsiTheme="majorHAnsi"/>
      </w:rPr>
      <w:ptab w:relativeTo="margin" w:alignment="right" w:leader="none"/>
    </w:r>
    <w:r>
      <w:rPr>
        <w:rFonts w:asciiTheme="majorHAnsi" w:hAnsiTheme="majorHAnsi"/>
      </w:rPr>
      <w:t xml:space="preserve">Página </w:t>
    </w:r>
    <w:r>
      <w:fldChar w:fldCharType="begin"/>
    </w:r>
    <w:r>
      <w:instrText xml:space="preserve"> PAGE   \* MERGEFORMAT </w:instrText>
    </w:r>
    <w:r>
      <w:fldChar w:fldCharType="separate"/>
    </w:r>
    <w:r>
      <w:rPr>
        <w:rFonts w:asciiTheme="majorHAnsi" w:hAnsiTheme="majorHAnsi"/>
      </w:rPr>
      <w:t>67</w:t>
    </w:r>
    <w:r>
      <w:rPr>
        <w:rFonts w:asciiTheme="majorHAnsi" w:hAnsiTheme="majorHAnsi"/>
      </w:rPr>
      <w:fldChar w:fldCharType="end"/>
    </w:r>
  </w:p>
  <w:p>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4"/>
      <w:framePr w:wrap="around" w:vAnchor="text" w:hAnchor="margin" w:xAlign="right" w:y="1"/>
      <w:rPr>
        <w:rStyle w:val="18"/>
      </w:rPr>
    </w:pPr>
    <w:r>
      <w:rPr>
        <w:rStyle w:val="18"/>
      </w:rPr>
      <w:fldChar w:fldCharType="begin"/>
    </w:r>
    <w:r>
      <w:rPr>
        <w:rStyle w:val="18"/>
      </w:rPr>
      <w:instrText xml:space="preserve">PAGE  </w:instrText>
    </w:r>
    <w:r>
      <w:rPr>
        <w:rStyle w:val="18"/>
      </w:rPr>
      <w:fldChar w:fldCharType="end"/>
    </w:r>
  </w:p>
  <w:p>
    <w:pPr>
      <w:pStyle w:val="44"/>
      <w:ind w:right="360"/>
    </w:pPr>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2"/>
      <w:tblW w:w="10207" w:type="dxa"/>
      <w:tblInd w:w="-318" w:type="dxa"/>
      <w:tblLayout w:type="fixed"/>
      <w:tblCellMar>
        <w:top w:w="0" w:type="dxa"/>
        <w:left w:w="108" w:type="dxa"/>
        <w:bottom w:w="0" w:type="dxa"/>
        <w:right w:w="108" w:type="dxa"/>
      </w:tblCellMar>
    </w:tblPr>
    <w:tblGrid>
      <w:gridCol w:w="2911"/>
      <w:gridCol w:w="4790"/>
      <w:gridCol w:w="2506"/>
    </w:tblGrid>
    <w:tr>
      <w:tblPrEx>
        <w:tblCellMar>
          <w:top w:w="0" w:type="dxa"/>
          <w:left w:w="108" w:type="dxa"/>
          <w:bottom w:w="0" w:type="dxa"/>
          <w:right w:w="108" w:type="dxa"/>
        </w:tblCellMar>
      </w:tblPrEx>
      <w:trPr>
        <w:trHeight w:val="1550" w:hRule="atLeast"/>
      </w:trPr>
      <w:tc>
        <w:tcPr>
          <w:tcW w:w="2911" w:type="dxa"/>
          <w:tcBorders>
            <w:top w:val="single" w:color="auto" w:sz="4" w:space="0"/>
            <w:left w:val="single" w:color="auto" w:sz="4" w:space="0"/>
            <w:bottom w:val="single" w:color="auto" w:sz="4" w:space="0"/>
            <w:right w:val="single" w:color="auto" w:sz="4" w:space="0"/>
          </w:tcBorders>
        </w:tcPr>
        <w:p>
          <w:pPr>
            <w:pStyle w:val="42"/>
            <w:tabs>
              <w:tab w:val="center" w:pos="4607"/>
              <w:tab w:val="right" w:pos="9214"/>
            </w:tabs>
            <w:jc w:val="center"/>
            <w:rPr>
              <w:sz w:val="16"/>
            </w:rPr>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508750" cy="8435975"/>
                <wp:effectExtent l="19050" t="0" r="6350" b="0"/>
                <wp:wrapNone/>
                <wp:docPr id="3" name="Imagem 1"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1" descr="brasao Primavera do Leste"/>
                        <pic:cNvPicPr>
                          <a:picLocks noChangeAspect="1" noChangeArrowheads="1"/>
                        </pic:cNvPicPr>
                      </pic:nvPicPr>
                      <pic:blipFill>
                        <a:blip r:embed="rId1">
                          <a:lum bright="70000" contrast="-70000"/>
                        </a:blip>
                        <a:srcRect/>
                        <a:stretch>
                          <a:fillRect/>
                        </a:stretch>
                      </pic:blipFill>
                      <pic:spPr>
                        <a:xfrm>
                          <a:off x="0" y="0"/>
                          <a:ext cx="6508750" cy="8435975"/>
                        </a:xfrm>
                        <a:prstGeom prst="rect">
                          <a:avLst/>
                        </a:prstGeom>
                        <a:noFill/>
                        <a:ln w="9525">
                          <a:noFill/>
                          <a:miter lim="800000"/>
                          <a:headEnd/>
                          <a:tailEnd/>
                        </a:ln>
                      </pic:spPr>
                    </pic:pic>
                  </a:graphicData>
                </a:graphic>
              </wp:anchor>
            </w:drawing>
          </w:r>
          <w:r>
            <w:rPr>
              <w:sz w:val="16"/>
            </w:rPr>
            <w:drawing>
              <wp:inline distT="0" distB="0" distL="0" distR="0">
                <wp:extent cx="790575" cy="1016000"/>
                <wp:effectExtent l="19050" t="0" r="9525" b="0"/>
                <wp:docPr id="1" name="Imagem 1"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Sem título"/>
                        <pic:cNvPicPr>
                          <a:picLocks noChangeAspect="1" noChangeArrowheads="1"/>
                        </pic:cNvPicPr>
                      </pic:nvPicPr>
                      <pic:blipFill>
                        <a:blip r:embed="rId2"/>
                        <a:srcRect/>
                        <a:stretch>
                          <a:fillRect/>
                        </a:stretch>
                      </pic:blipFill>
                      <pic:spPr>
                        <a:xfrm>
                          <a:off x="0" y="0"/>
                          <a:ext cx="791501" cy="1017644"/>
                        </a:xfrm>
                        <a:prstGeom prst="rect">
                          <a:avLst/>
                        </a:prstGeom>
                        <a:noFill/>
                        <a:ln w="9525">
                          <a:noFill/>
                          <a:miter lim="800000"/>
                          <a:headEnd/>
                          <a:tailEnd/>
                        </a:ln>
                      </pic:spPr>
                    </pic:pic>
                  </a:graphicData>
                </a:graphic>
              </wp:inline>
            </w:drawing>
          </w:r>
        </w:p>
      </w:tc>
      <w:tc>
        <w:tcPr>
          <w:tcW w:w="4790" w:type="dxa"/>
          <w:tcBorders>
            <w:top w:val="single" w:color="auto" w:sz="4" w:space="0"/>
            <w:left w:val="single" w:color="auto" w:sz="4" w:space="0"/>
            <w:bottom w:val="single" w:color="auto" w:sz="4" w:space="0"/>
            <w:right w:val="single" w:color="auto" w:sz="4" w:space="0"/>
          </w:tcBorders>
          <w:vAlign w:val="center"/>
        </w:tcPr>
        <w:p>
          <w:pPr>
            <w:pStyle w:val="2"/>
            <w:keepNext w:val="0"/>
            <w:widowControl w:val="0"/>
            <w:spacing w:before="120"/>
            <w:rPr>
              <w:rFonts w:cs="Arial"/>
              <w:sz w:val="30"/>
              <w:szCs w:val="30"/>
            </w:rPr>
          </w:pPr>
          <w:r>
            <w:rPr>
              <w:sz w:val="30"/>
              <w:szCs w:val="30"/>
            </w:rPr>
            <w:t xml:space="preserve">PREFEITURA </w:t>
          </w:r>
          <w:r>
            <w:rPr>
              <w:rFonts w:cs="Arial"/>
              <w:sz w:val="30"/>
              <w:szCs w:val="30"/>
            </w:rPr>
            <w:t>MUNICIPAL DE</w:t>
          </w:r>
        </w:p>
        <w:p>
          <w:pPr>
            <w:pStyle w:val="2"/>
            <w:keepNext w:val="0"/>
            <w:widowControl w:val="0"/>
            <w:rPr>
              <w:rFonts w:cs="Arial"/>
              <w:sz w:val="30"/>
              <w:szCs w:val="30"/>
            </w:rPr>
          </w:pPr>
          <w:r>
            <w:rPr>
              <w:rFonts w:cs="Arial"/>
              <w:sz w:val="30"/>
              <w:szCs w:val="30"/>
            </w:rPr>
            <w:t>PRIMAVERA DO LESTE</w:t>
          </w:r>
        </w:p>
        <w:p>
          <w:pPr>
            <w:pStyle w:val="42"/>
            <w:tabs>
              <w:tab w:val="center" w:pos="4607"/>
              <w:tab w:val="right" w:pos="9214"/>
            </w:tabs>
            <w:jc w:val="center"/>
            <w:rPr>
              <w:szCs w:val="24"/>
            </w:rPr>
          </w:pPr>
        </w:p>
      </w:tc>
      <w:tc>
        <w:tcPr>
          <w:tcW w:w="2506" w:type="dxa"/>
          <w:tcBorders>
            <w:top w:val="single" w:color="auto" w:sz="4" w:space="0"/>
            <w:left w:val="single" w:color="auto" w:sz="4" w:space="0"/>
            <w:bottom w:val="single" w:color="auto" w:sz="4" w:space="0"/>
            <w:right w:val="single" w:color="auto" w:sz="4" w:space="0"/>
          </w:tcBorders>
          <w:vAlign w:val="center"/>
        </w:tcPr>
        <w:p>
          <w:pPr>
            <w:ind w:right="-74"/>
            <w:jc w:val="center"/>
            <w:rPr>
              <w:rFonts w:ascii="Verdana" w:hAnsi="Verdana"/>
              <w:b/>
              <w:sz w:val="16"/>
              <w:szCs w:val="16"/>
            </w:rPr>
          </w:pPr>
          <w:r>
            <w:rPr>
              <w:rFonts w:ascii="Verdana" w:hAnsi="Verdana"/>
              <w:b/>
              <w:sz w:val="16"/>
              <w:szCs w:val="16"/>
            </w:rPr>
            <w:t>P.M. PVA DO LESTE</w:t>
          </w:r>
        </w:p>
        <w:p>
          <w:pPr>
            <w:ind w:right="-74"/>
            <w:jc w:val="center"/>
            <w:rPr>
              <w:rFonts w:ascii="Verdana" w:hAnsi="Verdana"/>
              <w:b/>
              <w:sz w:val="16"/>
              <w:szCs w:val="16"/>
            </w:rPr>
          </w:pPr>
          <w:r>
            <w:rPr>
              <w:rFonts w:ascii="Verdana" w:hAnsi="Verdana"/>
              <w:b/>
              <w:sz w:val="16"/>
              <w:szCs w:val="16"/>
            </w:rPr>
            <w:t>C.P.L.</w:t>
          </w:r>
        </w:p>
        <w:p>
          <w:pPr>
            <w:ind w:left="-180" w:right="-74"/>
            <w:jc w:val="center"/>
            <w:rPr>
              <w:rFonts w:ascii="Verdana" w:hAnsi="Verdana"/>
              <w:b/>
              <w:sz w:val="16"/>
              <w:szCs w:val="16"/>
            </w:rPr>
          </w:pPr>
        </w:p>
        <w:p>
          <w:pPr>
            <w:ind w:left="-180" w:right="-74"/>
            <w:jc w:val="center"/>
            <w:rPr>
              <w:rFonts w:ascii="Verdana" w:hAnsi="Verdana"/>
              <w:b/>
              <w:sz w:val="16"/>
              <w:szCs w:val="16"/>
            </w:rPr>
          </w:pPr>
        </w:p>
        <w:p>
          <w:pPr>
            <w:ind w:right="-74"/>
            <w:rPr>
              <w:rFonts w:ascii="Verdana" w:hAnsi="Verdana"/>
              <w:b/>
              <w:sz w:val="16"/>
              <w:szCs w:val="16"/>
            </w:rPr>
          </w:pPr>
          <w:r>
            <w:rPr>
              <w:rFonts w:ascii="Verdana" w:hAnsi="Verdana"/>
              <w:b/>
              <w:sz w:val="16"/>
              <w:szCs w:val="16"/>
            </w:rPr>
            <w:t>Fls.nº ___________</w:t>
          </w:r>
        </w:p>
        <w:p>
          <w:pPr>
            <w:ind w:right="-74"/>
            <w:rPr>
              <w:rFonts w:ascii="Verdana" w:hAnsi="Verdana"/>
              <w:b/>
              <w:sz w:val="16"/>
              <w:szCs w:val="16"/>
            </w:rPr>
          </w:pPr>
        </w:p>
        <w:p>
          <w:pPr>
            <w:ind w:right="-74"/>
            <w:rPr>
              <w:rFonts w:ascii="Verdana" w:hAnsi="Verdana"/>
              <w:b/>
              <w:sz w:val="16"/>
              <w:szCs w:val="16"/>
            </w:rPr>
          </w:pPr>
          <w:r>
            <w:rPr>
              <w:rFonts w:ascii="Verdana" w:hAnsi="Verdana"/>
              <w:b/>
              <w:sz w:val="16"/>
              <w:szCs w:val="16"/>
            </w:rPr>
            <w:t>Rub.____________</w:t>
          </w:r>
        </w:p>
        <w:p>
          <w:pPr>
            <w:ind w:right="-9"/>
            <w:jc w:val="center"/>
            <w:rPr>
              <w:rFonts w:ascii="Arial" w:hAnsi="Arial" w:cs="Arial"/>
              <w:sz w:val="20"/>
            </w:rPr>
          </w:pPr>
        </w:p>
        <w:p>
          <w:pPr>
            <w:ind w:right="-9"/>
            <w:jc w:val="center"/>
            <w:rPr>
              <w:rFonts w:ascii="Arial" w:hAnsi="Arial" w:cs="Arial"/>
              <w:sz w:val="18"/>
              <w:szCs w:val="18"/>
              <w:lang w:val="en-US"/>
            </w:rPr>
          </w:pPr>
        </w:p>
      </w:tc>
    </w:tr>
  </w:tbl>
  <w:p>
    <w:pPr>
      <w:pStyle w:val="42"/>
      <w:ind w:right="360" w:firstLine="360"/>
      <w:rPr>
        <w:rFonts w:ascii="Arial" w:hAnsi="Arial" w:cs="Arial"/>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A89BA5"/>
    <w:multiLevelType w:val="multilevel"/>
    <w:tmpl w:val="F2A89BA5"/>
    <w:lvl w:ilvl="0" w:tentative="0">
      <w:start w:val="19"/>
      <w:numFmt w:val="decimal"/>
      <w:suff w:val="space"/>
      <w:lvlText w:val="%1."/>
      <w:lvlJc w:val="left"/>
    </w:lvl>
    <w:lvl w:ilvl="1" w:tentative="0">
      <w:start w:val="1"/>
      <w:numFmt w:val="decimal"/>
      <w:suff w:val="space"/>
      <w:lvlText w:val="%1.%2."/>
      <w:lvlJc w:val="left"/>
      <w:pPr>
        <w:ind w:left="0" w:firstLine="0"/>
      </w:pPr>
      <w:rPr>
        <w:rFonts w:hint="default"/>
        <w:b/>
        <w:bCs/>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FFFFFF7E"/>
    <w:multiLevelType w:val="singleLevel"/>
    <w:tmpl w:val="FFFFFF7E"/>
    <w:lvl w:ilvl="0" w:tentative="0">
      <w:start w:val="1"/>
      <w:numFmt w:val="decimal"/>
      <w:pStyle w:val="51"/>
      <w:lvlText w:val="%1."/>
      <w:lvlJc w:val="left"/>
      <w:pPr>
        <w:tabs>
          <w:tab w:val="left" w:pos="926"/>
        </w:tabs>
        <w:ind w:left="926" w:hanging="360"/>
      </w:pPr>
    </w:lvl>
  </w:abstractNum>
  <w:abstractNum w:abstractNumId="2">
    <w:nsid w:val="FFFFFF7F"/>
    <w:multiLevelType w:val="singleLevel"/>
    <w:tmpl w:val="FFFFFF7F"/>
    <w:lvl w:ilvl="0" w:tentative="0">
      <w:start w:val="1"/>
      <w:numFmt w:val="decimal"/>
      <w:pStyle w:val="38"/>
      <w:lvlText w:val="%1."/>
      <w:lvlJc w:val="left"/>
      <w:pPr>
        <w:tabs>
          <w:tab w:val="left" w:pos="643"/>
        </w:tabs>
        <w:ind w:left="643" w:hanging="360"/>
      </w:pPr>
    </w:lvl>
  </w:abstractNum>
  <w:abstractNum w:abstractNumId="3">
    <w:nsid w:val="05AB2BCB"/>
    <w:multiLevelType w:val="singleLevel"/>
    <w:tmpl w:val="05AB2BCB"/>
    <w:lvl w:ilvl="0" w:tentative="0">
      <w:start w:val="1"/>
      <w:numFmt w:val="bullet"/>
      <w:pStyle w:val="320"/>
      <w:lvlText w:val=""/>
      <w:lvlJc w:val="left"/>
      <w:pPr>
        <w:tabs>
          <w:tab w:val="left" w:pos="502"/>
        </w:tabs>
        <w:ind w:left="502" w:hanging="360"/>
      </w:pPr>
      <w:rPr>
        <w:rFonts w:hint="default" w:ascii="Symbol" w:hAnsi="Symbol"/>
      </w:rPr>
    </w:lvl>
  </w:abstractNum>
  <w:abstractNum w:abstractNumId="4">
    <w:nsid w:val="06C305E5"/>
    <w:multiLevelType w:val="multilevel"/>
    <w:tmpl w:val="06C305E5"/>
    <w:lvl w:ilvl="0" w:tentative="0">
      <w:start w:val="1"/>
      <w:numFmt w:val="decimal"/>
      <w:pStyle w:val="57"/>
      <w:lvlText w:val="5.%1."/>
      <w:lvlJc w:val="left"/>
      <w:pPr>
        <w:tabs>
          <w:tab w:val="left" w:pos="360"/>
        </w:tabs>
        <w:ind w:left="360" w:hanging="360"/>
      </w:pPr>
      <w:rPr>
        <w:rFonts w:hint="default"/>
        <w:color w:val="auto"/>
      </w:rPr>
    </w:lvl>
    <w:lvl w:ilvl="1" w:tentative="0">
      <w:start w:val="1"/>
      <w:numFmt w:val="decimal"/>
      <w:lvlText w:val="5.7.%2."/>
      <w:lvlJc w:val="left"/>
      <w:pPr>
        <w:tabs>
          <w:tab w:val="left" w:pos="1800"/>
        </w:tabs>
        <w:ind w:left="1440" w:hanging="360"/>
      </w:pPr>
      <w:rPr>
        <w:rFonts w:hint="default"/>
      </w:rPr>
    </w:lvl>
    <w:lvl w:ilvl="2" w:tentative="0">
      <w:start w:val="10"/>
      <w:numFmt w:val="decimal"/>
      <w:lvlText w:val="%31"/>
      <w:lvlJc w:val="left"/>
      <w:pPr>
        <w:tabs>
          <w:tab w:val="left" w:pos="2340"/>
        </w:tabs>
        <w:ind w:left="2340" w:hanging="360"/>
      </w:pPr>
      <w:rPr>
        <w:rFonts w:hint="default"/>
      </w:rPr>
    </w:lvl>
    <w:lvl w:ilvl="3" w:tentative="0">
      <w:start w:val="1"/>
      <w:numFmt w:val="decimal"/>
      <w:lvlText w:val="%4."/>
      <w:lvlJc w:val="left"/>
      <w:pPr>
        <w:tabs>
          <w:tab w:val="left" w:pos="2880"/>
        </w:tabs>
        <w:ind w:left="2880" w:hanging="360"/>
      </w:pPr>
      <w:rPr>
        <w:rFonts w:hint="default"/>
      </w:rPr>
    </w:lvl>
    <w:lvl w:ilvl="4" w:tentative="0">
      <w:start w:val="1"/>
      <w:numFmt w:val="lowerLetter"/>
      <w:lvlText w:val="%5."/>
      <w:lvlJc w:val="left"/>
      <w:pPr>
        <w:tabs>
          <w:tab w:val="left" w:pos="3600"/>
        </w:tabs>
        <w:ind w:left="3600" w:hanging="360"/>
      </w:pPr>
      <w:rPr>
        <w:rFonts w:hint="default"/>
      </w:rPr>
    </w:lvl>
    <w:lvl w:ilvl="5" w:tentative="0">
      <w:start w:val="1"/>
      <w:numFmt w:val="lowerRoman"/>
      <w:lvlText w:val="%6."/>
      <w:lvlJc w:val="right"/>
      <w:pPr>
        <w:tabs>
          <w:tab w:val="left" w:pos="4320"/>
        </w:tabs>
        <w:ind w:left="4320" w:hanging="180"/>
      </w:pPr>
      <w:rPr>
        <w:rFonts w:hint="default"/>
      </w:rPr>
    </w:lvl>
    <w:lvl w:ilvl="6" w:tentative="0">
      <w:start w:val="1"/>
      <w:numFmt w:val="decimal"/>
      <w:lvlText w:val="%7."/>
      <w:lvlJc w:val="left"/>
      <w:pPr>
        <w:tabs>
          <w:tab w:val="left" w:pos="5040"/>
        </w:tabs>
        <w:ind w:left="5040" w:hanging="360"/>
      </w:pPr>
      <w:rPr>
        <w:rFonts w:hint="default"/>
      </w:rPr>
    </w:lvl>
    <w:lvl w:ilvl="7" w:tentative="0">
      <w:start w:val="1"/>
      <w:numFmt w:val="lowerLetter"/>
      <w:lvlText w:val="%8."/>
      <w:lvlJc w:val="left"/>
      <w:pPr>
        <w:tabs>
          <w:tab w:val="left" w:pos="5760"/>
        </w:tabs>
        <w:ind w:left="5760" w:hanging="360"/>
      </w:pPr>
      <w:rPr>
        <w:rFonts w:hint="default"/>
      </w:rPr>
    </w:lvl>
    <w:lvl w:ilvl="8" w:tentative="0">
      <w:start w:val="1"/>
      <w:numFmt w:val="lowerRoman"/>
      <w:lvlText w:val="%9."/>
      <w:lvlJc w:val="right"/>
      <w:pPr>
        <w:tabs>
          <w:tab w:val="left" w:pos="6480"/>
        </w:tabs>
        <w:ind w:left="6480" w:hanging="180"/>
      </w:pPr>
      <w:rPr>
        <w:rFonts w:hint="default"/>
      </w:rPr>
    </w:lvl>
  </w:abstractNum>
  <w:abstractNum w:abstractNumId="5">
    <w:nsid w:val="078D5B22"/>
    <w:multiLevelType w:val="multilevel"/>
    <w:tmpl w:val="078D5B22"/>
    <w:lvl w:ilvl="0" w:tentative="0">
      <w:start w:val="11"/>
      <w:numFmt w:val="decimal"/>
      <w:suff w:val="space"/>
      <w:lvlText w:val="%1."/>
      <w:lvlJc w:val="left"/>
      <w:rPr>
        <w:rFonts w:hint="default" w:cs="Times New Roman"/>
        <w:b/>
        <w:i w:val="0"/>
      </w:rPr>
    </w:lvl>
    <w:lvl w:ilvl="1" w:tentative="0">
      <w:start w:val="1"/>
      <w:numFmt w:val="decimal"/>
      <w:suff w:val="space"/>
      <w:lvlText w:val="%1.%2."/>
      <w:lvlJc w:val="left"/>
      <w:pPr>
        <w:ind w:left="993"/>
      </w:pPr>
      <w:rPr>
        <w:rFonts w:hint="default" w:cs="Times New Roman"/>
        <w:b/>
        <w:i w:val="0"/>
        <w:color w:val="auto"/>
      </w:rPr>
    </w:lvl>
    <w:lvl w:ilvl="2" w:tentative="0">
      <w:start w:val="1"/>
      <w:numFmt w:val="decimal"/>
      <w:suff w:val="space"/>
      <w:lvlText w:val="%1.%2.%3."/>
      <w:lvlJc w:val="left"/>
      <w:pPr>
        <w:ind w:left="851"/>
      </w:pPr>
      <w:rPr>
        <w:rFonts w:hint="default" w:cs="Times New Roman"/>
        <w:b/>
        <w:i w:val="0"/>
      </w:rPr>
    </w:lvl>
    <w:lvl w:ilvl="3" w:tentative="0">
      <w:start w:val="1"/>
      <w:numFmt w:val="decimal"/>
      <w:suff w:val="space"/>
      <w:lvlText w:val="%1.%2.%3.%4."/>
      <w:lvlJc w:val="left"/>
      <w:pPr>
        <w:ind w:left="851"/>
      </w:pPr>
      <w:rPr>
        <w:rFonts w:hint="default" w:cs="Times New Roman"/>
        <w:b/>
        <w:i w:val="0"/>
      </w:rPr>
    </w:lvl>
    <w:lvl w:ilvl="4" w:tentative="0">
      <w:start w:val="1"/>
      <w:numFmt w:val="decimal"/>
      <w:suff w:val="space"/>
      <w:lvlText w:val="%1.%2.%3.%4.%5."/>
      <w:lvlJc w:val="left"/>
      <w:pPr>
        <w:ind w:left="1134"/>
      </w:pPr>
      <w:rPr>
        <w:rFonts w:hint="default" w:cs="Times New Roman"/>
        <w:b/>
        <w:i w:val="0"/>
      </w:rPr>
    </w:lvl>
    <w:lvl w:ilvl="5" w:tentative="0">
      <w:start w:val="1"/>
      <w:numFmt w:val="decimal"/>
      <w:lvlText w:val="%1.%2.%3.%4.%5.%6."/>
      <w:lvlJc w:val="left"/>
      <w:pPr>
        <w:tabs>
          <w:tab w:val="left" w:pos="2880"/>
        </w:tabs>
        <w:ind w:left="2736" w:hanging="936"/>
      </w:pPr>
      <w:rPr>
        <w:rFonts w:hint="default" w:cs="Times New Roman"/>
      </w:rPr>
    </w:lvl>
    <w:lvl w:ilvl="6" w:tentative="0">
      <w:start w:val="1"/>
      <w:numFmt w:val="decimal"/>
      <w:lvlText w:val="%1.%2.%3.%4.%5.%6.%7."/>
      <w:lvlJc w:val="left"/>
      <w:pPr>
        <w:tabs>
          <w:tab w:val="left" w:pos="3600"/>
        </w:tabs>
        <w:ind w:left="3240" w:hanging="1080"/>
      </w:pPr>
      <w:rPr>
        <w:rFonts w:hint="default" w:cs="Times New Roman"/>
      </w:rPr>
    </w:lvl>
    <w:lvl w:ilvl="7" w:tentative="0">
      <w:start w:val="1"/>
      <w:numFmt w:val="decimal"/>
      <w:lvlText w:val="%1.%2.%3.%4.%5.%6.%7.%8."/>
      <w:lvlJc w:val="left"/>
      <w:pPr>
        <w:tabs>
          <w:tab w:val="left" w:pos="3960"/>
        </w:tabs>
        <w:ind w:left="3744" w:hanging="1224"/>
      </w:pPr>
      <w:rPr>
        <w:rFonts w:hint="default" w:cs="Times New Roman"/>
      </w:rPr>
    </w:lvl>
    <w:lvl w:ilvl="8" w:tentative="0">
      <w:start w:val="1"/>
      <w:numFmt w:val="decimal"/>
      <w:lvlText w:val="%1.%2.%3.%4.%5.%6.%7.%8.%9."/>
      <w:lvlJc w:val="left"/>
      <w:pPr>
        <w:tabs>
          <w:tab w:val="left" w:pos="4680"/>
        </w:tabs>
        <w:ind w:left="4320" w:hanging="1440"/>
      </w:pPr>
      <w:rPr>
        <w:rFonts w:hint="default" w:cs="Times New Roman"/>
      </w:rPr>
    </w:lvl>
  </w:abstractNum>
  <w:abstractNum w:abstractNumId="6">
    <w:nsid w:val="07E2085D"/>
    <w:multiLevelType w:val="multilevel"/>
    <w:tmpl w:val="07E2085D"/>
    <w:lvl w:ilvl="0" w:tentative="0">
      <w:start w:val="1"/>
      <w:numFmt w:val="decimal"/>
      <w:lvlText w:val="%1"/>
      <w:lvlJc w:val="left"/>
      <w:pPr>
        <w:tabs>
          <w:tab w:val="left" w:pos="284"/>
        </w:tabs>
        <w:ind w:left="0" w:firstLine="0"/>
      </w:pPr>
      <w:rPr>
        <w:rFonts w:hint="default" w:ascii="Times New Roman" w:hAnsi="Times New Roman"/>
        <w:b/>
        <w:i w:val="0"/>
        <w:caps w:val="0"/>
        <w:strike w:val="0"/>
        <w:dstrike w:val="0"/>
        <w:vanish w:val="0"/>
        <w:color w:val="000000"/>
        <w:sz w:val="24"/>
        <w:vertAlign w:val="baseline"/>
      </w:rPr>
    </w:lvl>
    <w:lvl w:ilvl="1" w:tentative="0">
      <w:start w:val="1"/>
      <w:numFmt w:val="decimal"/>
      <w:suff w:val="space"/>
      <w:lvlText w:val="%1.%2"/>
      <w:lvlJc w:val="left"/>
      <w:pPr>
        <w:ind w:left="0" w:firstLine="0"/>
      </w:pPr>
      <w:rPr>
        <w:rFonts w:hint="default" w:ascii="Times New Roman" w:hAnsi="Times New Roman"/>
        <w:b/>
        <w:i w:val="0"/>
        <w:caps w:val="0"/>
        <w:strike w:val="0"/>
        <w:dstrike w:val="0"/>
        <w:vanish w:val="0"/>
        <w:color w:val="auto"/>
        <w:sz w:val="24"/>
        <w:vertAlign w:val="baseline"/>
      </w:rPr>
    </w:lvl>
    <w:lvl w:ilvl="2" w:tentative="0">
      <w:start w:val="1"/>
      <w:numFmt w:val="decimal"/>
      <w:suff w:val="space"/>
      <w:lvlText w:val="%1.%2.%3"/>
      <w:lvlJc w:val="left"/>
      <w:pPr>
        <w:ind w:left="284" w:firstLine="0"/>
      </w:pPr>
      <w:rPr>
        <w:rFonts w:hint="default"/>
        <w:b/>
        <w:bCs/>
        <w:i w:val="0"/>
        <w:iCs w:val="0"/>
        <w:caps w:val="0"/>
        <w:smallCaps w:val="0"/>
        <w:strike w:val="0"/>
        <w:dstrike w:val="0"/>
        <w:vanish w:val="0"/>
        <w:spacing w:val="0"/>
        <w:w w:val="100"/>
        <w:kern w:val="0"/>
        <w:position w:val="0"/>
        <w:sz w:val="24"/>
        <w:u w:val="none"/>
        <w:vertAlign w:val="baseline"/>
      </w:rPr>
    </w:lvl>
    <w:lvl w:ilvl="3" w:tentative="0">
      <w:start w:val="1"/>
      <w:numFmt w:val="decimal"/>
      <w:suff w:val="space"/>
      <w:lvlText w:val="%1.%2.%3.%4"/>
      <w:lvlJc w:val="left"/>
      <w:pPr>
        <w:ind w:left="567" w:firstLine="0"/>
      </w:pPr>
      <w:rPr>
        <w:rFonts w:hint="default" w:ascii="Times New Roman" w:hAnsi="Times New Roman" w:cs="Times New Roman"/>
        <w:b/>
        <w:bCs w:val="0"/>
        <w:i w:val="0"/>
        <w:iCs w:val="0"/>
        <w:caps w:val="0"/>
        <w:smallCaps w:val="0"/>
        <w:strike w:val="0"/>
        <w:dstrike w:val="0"/>
        <w:vanish w:val="0"/>
        <w:color w:val="000000"/>
        <w:spacing w:val="0"/>
        <w:kern w:val="0"/>
        <w:position w:val="0"/>
        <w:sz w:val="24"/>
        <w:u w:val="none"/>
        <w:vertAlign w:val="baseline"/>
      </w:rPr>
    </w:lvl>
    <w:lvl w:ilvl="4" w:tentative="0">
      <w:start w:val="1"/>
      <w:numFmt w:val="decimal"/>
      <w:suff w:val="space"/>
      <w:lvlText w:val="%1.%2.%3.%4.%5"/>
      <w:lvlJc w:val="left"/>
      <w:pPr>
        <w:ind w:left="851" w:firstLine="0"/>
      </w:pPr>
      <w:rPr>
        <w:rFonts w:hint="default" w:ascii="Times New Roman" w:hAnsi="Times New Roman"/>
        <w:b/>
        <w:i w:val="0"/>
        <w:caps w:val="0"/>
        <w:strike w:val="0"/>
        <w:dstrike w:val="0"/>
        <w:vanish w:val="0"/>
        <w:color w:val="000000"/>
        <w:sz w:val="24"/>
        <w:vertAlign w:val="baseline"/>
      </w:rPr>
    </w:lvl>
    <w:lvl w:ilvl="5" w:tentative="0">
      <w:start w:val="1"/>
      <w:numFmt w:val="lowerLetter"/>
      <w:pStyle w:val="201"/>
      <w:lvlText w:val="%6)"/>
      <w:lvlJc w:val="left"/>
      <w:pPr>
        <w:ind w:left="1134" w:firstLine="0"/>
      </w:pPr>
      <w:rPr>
        <w:rFonts w:hint="default"/>
        <w:b/>
        <w:i w:val="0"/>
        <w:caps w:val="0"/>
        <w:strike w:val="0"/>
        <w:dstrike w:val="0"/>
        <w:vanish w:val="0"/>
        <w:color w:val="000000"/>
        <w:sz w:val="24"/>
        <w:szCs w:val="24"/>
        <w:vertAlign w:val="baseline"/>
      </w:rPr>
    </w:lvl>
    <w:lvl w:ilvl="6" w:tentative="0">
      <w:start w:val="1"/>
      <w:numFmt w:val="decimal"/>
      <w:lvlText w:val="%1.%2.%3.%4.%5.%6.%7"/>
      <w:lvlJc w:val="left"/>
      <w:pPr>
        <w:ind w:left="431" w:hanging="431"/>
      </w:pPr>
      <w:rPr>
        <w:rFonts w:hint="default"/>
      </w:rPr>
    </w:lvl>
    <w:lvl w:ilvl="7" w:tentative="0">
      <w:start w:val="1"/>
      <w:numFmt w:val="decimal"/>
      <w:lvlText w:val="%1.%2.%3.%4.%5.%6.%7.%8"/>
      <w:lvlJc w:val="left"/>
      <w:pPr>
        <w:ind w:left="431" w:hanging="431"/>
      </w:pPr>
      <w:rPr>
        <w:rFonts w:hint="default"/>
      </w:rPr>
    </w:lvl>
    <w:lvl w:ilvl="8" w:tentative="0">
      <w:start w:val="1"/>
      <w:numFmt w:val="decimal"/>
      <w:lvlText w:val="%1.%2.%3.%4.%5.%6.%7.%8.%9"/>
      <w:lvlJc w:val="left"/>
      <w:pPr>
        <w:ind w:left="431" w:hanging="431"/>
      </w:pPr>
      <w:rPr>
        <w:rFonts w:hint="default"/>
      </w:rPr>
    </w:lvl>
  </w:abstractNum>
  <w:abstractNum w:abstractNumId="7">
    <w:nsid w:val="0BEA4F78"/>
    <w:multiLevelType w:val="multilevel"/>
    <w:tmpl w:val="0BEA4F78"/>
    <w:lvl w:ilvl="0" w:tentative="0">
      <w:start w:val="1"/>
      <w:numFmt w:val="decimal"/>
      <w:lvlText w:val="%1"/>
      <w:lvlJc w:val="left"/>
      <w:pPr>
        <w:tabs>
          <w:tab w:val="left" w:pos="284"/>
        </w:tabs>
        <w:ind w:left="0" w:firstLine="0"/>
      </w:pPr>
      <w:rPr>
        <w:rFonts w:hint="default" w:ascii="Arial" w:hAnsi="Arial" w:cs="Arial"/>
        <w:b/>
        <w:i w:val="0"/>
        <w:caps w:val="0"/>
        <w:strike w:val="0"/>
        <w:dstrike w:val="0"/>
        <w:vanish w:val="0"/>
        <w:color w:val="000000"/>
        <w:sz w:val="24"/>
        <w:vertAlign w:val="baseline"/>
      </w:rPr>
    </w:lvl>
    <w:lvl w:ilvl="1" w:tentative="0">
      <w:start w:val="1"/>
      <w:numFmt w:val="decimal"/>
      <w:suff w:val="space"/>
      <w:lvlText w:val="%1.%2"/>
      <w:lvlJc w:val="left"/>
      <w:pPr>
        <w:ind w:left="142" w:firstLine="0"/>
      </w:pPr>
      <w:rPr>
        <w:rFonts w:hint="default" w:ascii="Times New Roman" w:hAnsi="Times New Roman"/>
        <w:b/>
        <w:i w:val="0"/>
        <w:caps w:val="0"/>
        <w:strike w:val="0"/>
        <w:dstrike w:val="0"/>
        <w:vanish w:val="0"/>
        <w:color w:val="auto"/>
        <w:sz w:val="24"/>
        <w:vertAlign w:val="baseline"/>
      </w:rPr>
    </w:lvl>
    <w:lvl w:ilvl="2" w:tentative="0">
      <w:start w:val="1"/>
      <w:numFmt w:val="decimal"/>
      <w:suff w:val="space"/>
      <w:lvlText w:val="%1.%2.%3"/>
      <w:lvlJc w:val="left"/>
      <w:pPr>
        <w:ind w:left="1135" w:firstLine="0"/>
      </w:pPr>
      <w:rPr>
        <w:rFonts w:hint="default" w:ascii="Times New Roman" w:hAnsi="Times New Roman"/>
        <w:b/>
        <w:bCs/>
        <w:i w:val="0"/>
        <w:iCs w:val="0"/>
        <w:caps w:val="0"/>
        <w:smallCaps w:val="0"/>
        <w:strike w:val="0"/>
        <w:dstrike w:val="0"/>
        <w:vanish w:val="0"/>
        <w:color w:val="auto"/>
        <w:spacing w:val="0"/>
        <w:w w:val="100"/>
        <w:kern w:val="0"/>
        <w:position w:val="0"/>
        <w:sz w:val="24"/>
        <w:u w:val="none"/>
        <w:vertAlign w:val="baseline"/>
      </w:rPr>
    </w:lvl>
    <w:lvl w:ilvl="3" w:tentative="0">
      <w:start w:val="1"/>
      <w:numFmt w:val="decimal"/>
      <w:suff w:val="space"/>
      <w:lvlText w:val="%1.%2.%3.%4"/>
      <w:lvlJc w:val="left"/>
      <w:pPr>
        <w:ind w:left="567" w:firstLine="0"/>
      </w:pPr>
      <w:rPr>
        <w:rFonts w:hint="default" w:ascii="Times New Roman" w:hAnsi="Times New Roman" w:cs="Times New Roman"/>
        <w:b/>
        <w:bCs w:val="0"/>
        <w:i w:val="0"/>
        <w:iCs w:val="0"/>
        <w:caps w:val="0"/>
        <w:smallCaps w:val="0"/>
        <w:strike w:val="0"/>
        <w:dstrike w:val="0"/>
        <w:vanish w:val="0"/>
        <w:color w:val="000000"/>
        <w:spacing w:val="0"/>
        <w:kern w:val="0"/>
        <w:position w:val="0"/>
        <w:sz w:val="24"/>
        <w:u w:val="none"/>
        <w:vertAlign w:val="baseline"/>
      </w:rPr>
    </w:lvl>
    <w:lvl w:ilvl="4" w:tentative="0">
      <w:start w:val="1"/>
      <w:numFmt w:val="decimal"/>
      <w:pStyle w:val="136"/>
      <w:suff w:val="space"/>
      <w:lvlText w:val="%1.%2.%3.%4.%5"/>
      <w:lvlJc w:val="left"/>
      <w:pPr>
        <w:ind w:left="851" w:firstLine="0"/>
      </w:pPr>
      <w:rPr>
        <w:rFonts w:hint="default" w:ascii="Times New Roman" w:hAnsi="Times New Roman"/>
        <w:b/>
        <w:i w:val="0"/>
        <w:caps w:val="0"/>
        <w:strike w:val="0"/>
        <w:dstrike w:val="0"/>
        <w:vanish w:val="0"/>
        <w:color w:val="000000"/>
        <w:sz w:val="24"/>
        <w:vertAlign w:val="baseline"/>
      </w:rPr>
    </w:lvl>
    <w:lvl w:ilvl="5" w:tentative="0">
      <w:start w:val="1"/>
      <w:numFmt w:val="decimal"/>
      <w:suff w:val="space"/>
      <w:lvlText w:val="%1.%2.%3.%4.%5.%6"/>
      <w:lvlJc w:val="left"/>
      <w:pPr>
        <w:ind w:left="1134" w:firstLine="0"/>
      </w:pPr>
      <w:rPr>
        <w:rFonts w:hint="default" w:ascii="Times New Roman" w:hAnsi="Times New Roman"/>
        <w:b/>
        <w:i w:val="0"/>
        <w:caps w:val="0"/>
        <w:strike w:val="0"/>
        <w:dstrike w:val="0"/>
        <w:vanish w:val="0"/>
        <w:color w:val="000000"/>
        <w:sz w:val="24"/>
        <w:vertAlign w:val="baseline"/>
      </w:rPr>
    </w:lvl>
    <w:lvl w:ilvl="6" w:tentative="0">
      <w:start w:val="1"/>
      <w:numFmt w:val="decimal"/>
      <w:lvlText w:val="%1.%2.%3.%4.%5.%6.%7"/>
      <w:lvlJc w:val="left"/>
      <w:pPr>
        <w:ind w:left="431" w:hanging="431"/>
      </w:pPr>
      <w:rPr>
        <w:rFonts w:hint="default"/>
      </w:rPr>
    </w:lvl>
    <w:lvl w:ilvl="7" w:tentative="0">
      <w:start w:val="1"/>
      <w:numFmt w:val="decimal"/>
      <w:lvlText w:val="%1.%2.%3.%4.%5.%6.%7.%8"/>
      <w:lvlJc w:val="left"/>
      <w:pPr>
        <w:ind w:left="431" w:hanging="431"/>
      </w:pPr>
      <w:rPr>
        <w:rFonts w:hint="default"/>
      </w:rPr>
    </w:lvl>
    <w:lvl w:ilvl="8" w:tentative="0">
      <w:start w:val="1"/>
      <w:numFmt w:val="decimal"/>
      <w:lvlText w:val="%1.%2.%3.%4.%5.%6.%7.%8.%9"/>
      <w:lvlJc w:val="left"/>
      <w:pPr>
        <w:ind w:left="431" w:hanging="431"/>
      </w:pPr>
      <w:rPr>
        <w:rFonts w:hint="default"/>
      </w:rPr>
    </w:lvl>
  </w:abstractNum>
  <w:abstractNum w:abstractNumId="8">
    <w:nsid w:val="164C1CAB"/>
    <w:multiLevelType w:val="multilevel"/>
    <w:tmpl w:val="164C1CAB"/>
    <w:lvl w:ilvl="0" w:tentative="0">
      <w:start w:val="1"/>
      <w:numFmt w:val="decimal"/>
      <w:pStyle w:val="313"/>
      <w:lvlText w:val="%1."/>
      <w:lvlJc w:val="left"/>
      <w:pPr>
        <w:tabs>
          <w:tab w:val="left" w:pos="2204"/>
        </w:tabs>
        <w:ind w:left="2128" w:hanging="284"/>
      </w:pPr>
      <w:rPr>
        <w:rFonts w:hint="default"/>
      </w:rPr>
    </w:lvl>
    <w:lvl w:ilvl="1" w:tentative="0">
      <w:start w:val="1"/>
      <w:numFmt w:val="decimal"/>
      <w:pStyle w:val="314"/>
      <w:lvlText w:val="%1.%2."/>
      <w:lvlJc w:val="left"/>
      <w:pPr>
        <w:tabs>
          <w:tab w:val="left" w:pos="709"/>
        </w:tabs>
        <w:ind w:left="709" w:hanging="425"/>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080"/>
        </w:tabs>
        <w:ind w:left="1080" w:hanging="108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440"/>
        </w:tabs>
        <w:ind w:left="1440" w:hanging="1440"/>
      </w:pPr>
      <w:rPr>
        <w:rFonts w:hint="default"/>
      </w:rPr>
    </w:lvl>
  </w:abstractNum>
  <w:abstractNum w:abstractNumId="9">
    <w:nsid w:val="17C52263"/>
    <w:multiLevelType w:val="multilevel"/>
    <w:tmpl w:val="17C52263"/>
    <w:lvl w:ilvl="0" w:tentative="0">
      <w:start w:val="1"/>
      <w:numFmt w:val="decimal"/>
      <w:pStyle w:val="127"/>
      <w:lvlText w:val="%1"/>
      <w:lvlJc w:val="left"/>
      <w:pPr>
        <w:tabs>
          <w:tab w:val="left" w:pos="1134"/>
        </w:tabs>
        <w:ind w:left="1134" w:hanging="1134"/>
      </w:pPr>
      <w:rPr>
        <w:rFonts w:hint="default"/>
      </w:rPr>
    </w:lvl>
    <w:lvl w:ilvl="1" w:tentative="0">
      <w:start w:val="1"/>
      <w:numFmt w:val="decimal"/>
      <w:pStyle w:val="128"/>
      <w:lvlText w:val="%1.%2"/>
      <w:lvlJc w:val="left"/>
      <w:pPr>
        <w:tabs>
          <w:tab w:val="left" w:pos="1134"/>
        </w:tabs>
        <w:ind w:left="1134" w:hanging="1134"/>
      </w:pPr>
      <w:rPr>
        <w:rFonts w:hint="default"/>
      </w:rPr>
    </w:lvl>
    <w:lvl w:ilvl="2" w:tentative="0">
      <w:start w:val="1"/>
      <w:numFmt w:val="decimal"/>
      <w:pStyle w:val="129"/>
      <w:lvlText w:val="%1.%2.%3"/>
      <w:lvlJc w:val="left"/>
      <w:pPr>
        <w:tabs>
          <w:tab w:val="left" w:pos="1134"/>
        </w:tabs>
        <w:ind w:left="1134" w:hanging="1134"/>
      </w:pPr>
      <w:rPr>
        <w:rFonts w:hint="default"/>
      </w:rPr>
    </w:lvl>
    <w:lvl w:ilvl="3" w:tentative="0">
      <w:start w:val="1"/>
      <w:numFmt w:val="decimal"/>
      <w:pStyle w:val="130"/>
      <w:lvlText w:val="%1.%2.%3.%4"/>
      <w:lvlJc w:val="left"/>
      <w:pPr>
        <w:tabs>
          <w:tab w:val="left" w:pos="1247"/>
        </w:tabs>
        <w:ind w:left="1247" w:hanging="1247"/>
      </w:pPr>
      <w:rPr>
        <w:rFonts w:hint="default"/>
      </w:rPr>
    </w:lvl>
    <w:lvl w:ilvl="4" w:tentative="0">
      <w:start w:val="1"/>
      <w:numFmt w:val="decimal"/>
      <w:lvlText w:val="%1.%2.%3.%4.%5"/>
      <w:lvlJc w:val="left"/>
      <w:pPr>
        <w:tabs>
          <w:tab w:val="left" w:pos="1531"/>
        </w:tabs>
        <w:ind w:left="1531" w:hanging="1531"/>
      </w:pPr>
      <w:rPr>
        <w:rFonts w:hint="default"/>
      </w:rPr>
    </w:lvl>
    <w:lvl w:ilvl="5" w:tentative="0">
      <w:start w:val="1"/>
      <w:numFmt w:val="decimal"/>
      <w:lvlText w:val="%1.%2.%3.%4.%5.%6"/>
      <w:lvlJc w:val="left"/>
      <w:pPr>
        <w:tabs>
          <w:tab w:val="left" w:pos="1304"/>
        </w:tabs>
        <w:ind w:left="1304" w:hanging="1304"/>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0">
    <w:nsid w:val="1A526C3E"/>
    <w:multiLevelType w:val="multilevel"/>
    <w:tmpl w:val="1A526C3E"/>
    <w:lvl w:ilvl="0" w:tentative="0">
      <w:start w:val="1"/>
      <w:numFmt w:val="bullet"/>
      <w:lvlText w:val=""/>
      <w:lvlJc w:val="left"/>
      <w:pPr>
        <w:tabs>
          <w:tab w:val="left" w:pos="510"/>
        </w:tabs>
        <w:ind w:left="397" w:hanging="227"/>
      </w:pPr>
      <w:rPr>
        <w:rFonts w:hint="default" w:ascii="Symbol" w:hAnsi="Symbol"/>
      </w:rPr>
    </w:lvl>
    <w:lvl w:ilvl="1" w:tentative="0">
      <w:start w:val="1"/>
      <w:numFmt w:val="bullet"/>
      <w:lvlText w:val=""/>
      <w:lvlJc w:val="left"/>
      <w:pPr>
        <w:tabs>
          <w:tab w:val="left" w:pos="1440"/>
        </w:tabs>
        <w:ind w:left="1440" w:hanging="360"/>
      </w:pPr>
      <w:rPr>
        <w:rFonts w:hint="default" w:ascii="Symbol" w:hAnsi="Symbol"/>
      </w:rPr>
    </w:lvl>
    <w:lvl w:ilvl="2" w:tentative="0">
      <w:start w:val="1"/>
      <w:numFmt w:val="bullet"/>
      <w:pStyle w:val="4"/>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226E0320"/>
    <w:multiLevelType w:val="multilevel"/>
    <w:tmpl w:val="226E0320"/>
    <w:lvl w:ilvl="0" w:tentative="0">
      <w:start w:val="1"/>
      <w:numFmt w:val="bullet"/>
      <w:lvlText w:val=""/>
      <w:lvlJc w:val="left"/>
      <w:pPr>
        <w:ind w:left="1080" w:hanging="360"/>
      </w:pPr>
      <w:rPr>
        <w:rFonts w:hint="default" w:ascii="Symbol" w:hAnsi="Symbol"/>
        <w:sz w:val="28"/>
        <w:szCs w:val="28"/>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2">
    <w:nsid w:val="227E7668"/>
    <w:multiLevelType w:val="multilevel"/>
    <w:tmpl w:val="227E7668"/>
    <w:lvl w:ilvl="0" w:tentative="0">
      <w:start w:val="1"/>
      <w:numFmt w:val="lowerLetter"/>
      <w:lvlText w:val="%1)"/>
      <w:lvlJc w:val="left"/>
      <w:pPr>
        <w:ind w:left="1647" w:hanging="360"/>
      </w:pPr>
      <w:rPr>
        <w:rFonts w:hint="default"/>
        <w:b/>
      </w:rPr>
    </w:lvl>
    <w:lvl w:ilvl="1" w:tentative="0">
      <w:start w:val="1"/>
      <w:numFmt w:val="lowerLetter"/>
      <w:lvlText w:val="%2."/>
      <w:lvlJc w:val="left"/>
      <w:pPr>
        <w:ind w:left="2367" w:hanging="360"/>
      </w:pPr>
    </w:lvl>
    <w:lvl w:ilvl="2" w:tentative="0">
      <w:start w:val="1"/>
      <w:numFmt w:val="lowerRoman"/>
      <w:lvlText w:val="%3."/>
      <w:lvlJc w:val="right"/>
      <w:pPr>
        <w:ind w:left="3087" w:hanging="180"/>
      </w:pPr>
    </w:lvl>
    <w:lvl w:ilvl="3" w:tentative="0">
      <w:start w:val="1"/>
      <w:numFmt w:val="decimal"/>
      <w:lvlText w:val="%4."/>
      <w:lvlJc w:val="left"/>
      <w:pPr>
        <w:ind w:left="3807" w:hanging="360"/>
      </w:pPr>
    </w:lvl>
    <w:lvl w:ilvl="4" w:tentative="0">
      <w:start w:val="1"/>
      <w:numFmt w:val="lowerLetter"/>
      <w:lvlText w:val="%5."/>
      <w:lvlJc w:val="left"/>
      <w:pPr>
        <w:ind w:left="4527" w:hanging="360"/>
      </w:pPr>
    </w:lvl>
    <w:lvl w:ilvl="5" w:tentative="0">
      <w:start w:val="1"/>
      <w:numFmt w:val="lowerRoman"/>
      <w:lvlText w:val="%6."/>
      <w:lvlJc w:val="right"/>
      <w:pPr>
        <w:ind w:left="5247" w:hanging="180"/>
      </w:pPr>
    </w:lvl>
    <w:lvl w:ilvl="6" w:tentative="0">
      <w:start w:val="1"/>
      <w:numFmt w:val="decimal"/>
      <w:lvlText w:val="%7."/>
      <w:lvlJc w:val="left"/>
      <w:pPr>
        <w:ind w:left="5967" w:hanging="360"/>
      </w:pPr>
    </w:lvl>
    <w:lvl w:ilvl="7" w:tentative="0">
      <w:start w:val="1"/>
      <w:numFmt w:val="lowerLetter"/>
      <w:lvlText w:val="%8."/>
      <w:lvlJc w:val="left"/>
      <w:pPr>
        <w:ind w:left="6687" w:hanging="360"/>
      </w:pPr>
    </w:lvl>
    <w:lvl w:ilvl="8" w:tentative="0">
      <w:start w:val="1"/>
      <w:numFmt w:val="lowerRoman"/>
      <w:lvlText w:val="%9."/>
      <w:lvlJc w:val="right"/>
      <w:pPr>
        <w:ind w:left="7407" w:hanging="180"/>
      </w:pPr>
    </w:lvl>
  </w:abstractNum>
  <w:abstractNum w:abstractNumId="13">
    <w:nsid w:val="3CEB79D6"/>
    <w:multiLevelType w:val="singleLevel"/>
    <w:tmpl w:val="3CEB79D6"/>
    <w:lvl w:ilvl="0" w:tentative="0">
      <w:start w:val="16"/>
      <w:numFmt w:val="decimal"/>
      <w:suff w:val="space"/>
      <w:lvlText w:val="%1."/>
      <w:lvlJc w:val="left"/>
    </w:lvl>
  </w:abstractNum>
  <w:abstractNum w:abstractNumId="14">
    <w:nsid w:val="421E3211"/>
    <w:multiLevelType w:val="singleLevel"/>
    <w:tmpl w:val="421E3211"/>
    <w:lvl w:ilvl="0" w:tentative="0">
      <w:start w:val="1"/>
      <w:numFmt w:val="bullet"/>
      <w:lvlText w:val=""/>
      <w:lvlJc w:val="left"/>
      <w:pPr>
        <w:tabs>
          <w:tab w:val="left" w:pos="420"/>
        </w:tabs>
        <w:ind w:left="420" w:hanging="420"/>
      </w:pPr>
      <w:rPr>
        <w:rFonts w:hint="default" w:ascii="Wingdings" w:hAnsi="Wingdings"/>
      </w:rPr>
    </w:lvl>
  </w:abstractNum>
  <w:abstractNum w:abstractNumId="15">
    <w:nsid w:val="44FAC59F"/>
    <w:multiLevelType w:val="singleLevel"/>
    <w:tmpl w:val="44FAC59F"/>
    <w:lvl w:ilvl="0" w:tentative="0">
      <w:start w:val="1"/>
      <w:numFmt w:val="bullet"/>
      <w:lvlText w:val=""/>
      <w:lvlJc w:val="left"/>
      <w:pPr>
        <w:tabs>
          <w:tab w:val="left" w:pos="420"/>
        </w:tabs>
        <w:ind w:left="420" w:hanging="420"/>
      </w:pPr>
      <w:rPr>
        <w:rFonts w:hint="default" w:ascii="Wingdings" w:hAnsi="Wingdings"/>
      </w:rPr>
    </w:lvl>
  </w:abstractNum>
  <w:abstractNum w:abstractNumId="16">
    <w:nsid w:val="4BA13471"/>
    <w:multiLevelType w:val="multilevel"/>
    <w:tmpl w:val="4BA13471"/>
    <w:lvl w:ilvl="0" w:tentative="0">
      <w:start w:val="1"/>
      <w:numFmt w:val="lowerLetter"/>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12E23F2"/>
    <w:multiLevelType w:val="multilevel"/>
    <w:tmpl w:val="512E23F2"/>
    <w:lvl w:ilvl="0" w:tentative="0">
      <w:start w:val="15"/>
      <w:numFmt w:val="decimal"/>
      <w:lvlText w:val="%1."/>
      <w:lvlJc w:val="left"/>
      <w:pPr>
        <w:ind w:left="525" w:hanging="525"/>
      </w:pPr>
      <w:rPr>
        <w:rFonts w:hint="eastAsia" w:ascii="Times New Roman" w:hAnsi="Times New Roman" w:eastAsia="Times New Roman"/>
        <w:u w:val="none" w:color="auto"/>
      </w:rPr>
    </w:lvl>
    <w:lvl w:ilvl="1" w:tentative="0">
      <w:start w:val="2"/>
      <w:numFmt w:val="decimal"/>
      <w:lvlText w:val="%1.%2."/>
      <w:lvlJc w:val="left"/>
      <w:pPr>
        <w:ind w:left="2923" w:hanging="720"/>
      </w:pPr>
      <w:rPr>
        <w:rFonts w:hint="eastAsia" w:ascii="Times New Roman" w:hAnsi="Times New Roman" w:eastAsia="Times New Roman"/>
        <w:b/>
        <w:u w:val="none" w:color="auto"/>
      </w:rPr>
    </w:lvl>
    <w:lvl w:ilvl="2" w:tentative="0">
      <w:start w:val="1"/>
      <w:numFmt w:val="decimal"/>
      <w:lvlText w:val="%1.%2.%3."/>
      <w:lvlJc w:val="left"/>
      <w:pPr>
        <w:ind w:left="5126" w:hanging="720"/>
      </w:pPr>
      <w:rPr>
        <w:rFonts w:hint="eastAsia" w:ascii="Times New Roman" w:hAnsi="Times New Roman" w:eastAsia="Times New Roman"/>
        <w:u w:val="none" w:color="auto"/>
      </w:rPr>
    </w:lvl>
    <w:lvl w:ilvl="3" w:tentative="0">
      <w:start w:val="1"/>
      <w:numFmt w:val="decimal"/>
      <w:lvlText w:val="%1.%2.%3.%4."/>
      <w:lvlJc w:val="left"/>
      <w:pPr>
        <w:ind w:left="7689" w:hanging="1080"/>
      </w:pPr>
      <w:rPr>
        <w:rFonts w:hint="eastAsia" w:ascii="Times New Roman" w:hAnsi="Times New Roman" w:eastAsia="Times New Roman"/>
        <w:u w:val="none" w:color="auto"/>
      </w:rPr>
    </w:lvl>
    <w:lvl w:ilvl="4" w:tentative="0">
      <w:start w:val="1"/>
      <w:numFmt w:val="decimal"/>
      <w:lvlText w:val="%1.%2.%3.%4.%5."/>
      <w:lvlJc w:val="left"/>
      <w:pPr>
        <w:ind w:left="9892" w:hanging="1080"/>
      </w:pPr>
      <w:rPr>
        <w:rFonts w:hint="eastAsia" w:ascii="Times New Roman" w:hAnsi="Times New Roman" w:eastAsia="Times New Roman"/>
        <w:u w:val="none" w:color="auto"/>
      </w:rPr>
    </w:lvl>
    <w:lvl w:ilvl="5" w:tentative="0">
      <w:start w:val="1"/>
      <w:numFmt w:val="decimal"/>
      <w:lvlText w:val="%1.%2.%3.%4.%5.%6."/>
      <w:lvlJc w:val="left"/>
      <w:pPr>
        <w:ind w:left="12455" w:hanging="1440"/>
      </w:pPr>
      <w:rPr>
        <w:rFonts w:hint="eastAsia" w:ascii="Times New Roman" w:hAnsi="Times New Roman" w:eastAsia="Times New Roman"/>
        <w:u w:val="none" w:color="auto"/>
      </w:rPr>
    </w:lvl>
    <w:lvl w:ilvl="6" w:tentative="0">
      <w:start w:val="1"/>
      <w:numFmt w:val="decimal"/>
      <w:lvlText w:val="%1.%2.%3.%4.%5.%6.%7."/>
      <w:lvlJc w:val="left"/>
      <w:pPr>
        <w:ind w:left="14658" w:hanging="1440"/>
      </w:pPr>
      <w:rPr>
        <w:rFonts w:hint="eastAsia" w:ascii="Times New Roman" w:hAnsi="Times New Roman" w:eastAsia="Times New Roman"/>
        <w:u w:val="none" w:color="auto"/>
      </w:rPr>
    </w:lvl>
    <w:lvl w:ilvl="7" w:tentative="0">
      <w:start w:val="1"/>
      <w:numFmt w:val="decimal"/>
      <w:lvlText w:val="%1.%2.%3.%4.%5.%6.%7.%8."/>
      <w:lvlJc w:val="left"/>
      <w:pPr>
        <w:ind w:left="17221" w:hanging="1800"/>
      </w:pPr>
      <w:rPr>
        <w:rFonts w:hint="eastAsia" w:ascii="Times New Roman" w:hAnsi="Times New Roman" w:eastAsia="Times New Roman"/>
        <w:u w:val="none" w:color="auto"/>
      </w:rPr>
    </w:lvl>
    <w:lvl w:ilvl="8" w:tentative="0">
      <w:start w:val="1"/>
      <w:numFmt w:val="decimal"/>
      <w:lvlText w:val="%1.%2.%3.%4.%5.%6.%7.%8.%9."/>
      <w:lvlJc w:val="left"/>
      <w:pPr>
        <w:ind w:left="19784" w:hanging="2160"/>
      </w:pPr>
      <w:rPr>
        <w:rFonts w:hint="eastAsia" w:ascii="Times New Roman" w:hAnsi="Times New Roman" w:eastAsia="Times New Roman"/>
        <w:u w:val="none" w:color="auto"/>
      </w:rPr>
    </w:lvl>
  </w:abstractNum>
  <w:abstractNum w:abstractNumId="18">
    <w:nsid w:val="54B310FE"/>
    <w:multiLevelType w:val="multilevel"/>
    <w:tmpl w:val="54B310FE"/>
    <w:lvl w:ilvl="0" w:tentative="0">
      <w:start w:val="1"/>
      <w:numFmt w:val="decimal"/>
      <w:pStyle w:val="145"/>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rPr>
        <w:b/>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
    <w:nsid w:val="58C70088"/>
    <w:multiLevelType w:val="multilevel"/>
    <w:tmpl w:val="58C70088"/>
    <w:lvl w:ilvl="0" w:tentative="0">
      <w:start w:val="1"/>
      <w:numFmt w:val="decimal"/>
      <w:pStyle w:val="374"/>
      <w:lvlText w:val="%1."/>
      <w:lvlJc w:val="left"/>
      <w:pPr>
        <w:ind w:left="502" w:hanging="360"/>
      </w:pPr>
      <w:rPr>
        <w:rFonts w:cs="Times New Roman"/>
        <w:b/>
        <w:i w:val="0"/>
        <w:strike w:val="0"/>
        <w:dstrike w:val="0"/>
      </w:rPr>
    </w:lvl>
    <w:lvl w:ilvl="1" w:tentative="0">
      <w:start w:val="1"/>
      <w:numFmt w:val="decimal"/>
      <w:pStyle w:val="373"/>
      <w:lvlText w:val="%1.%2."/>
      <w:lvlJc w:val="left"/>
      <w:pPr>
        <w:ind w:left="858" w:hanging="432"/>
      </w:pPr>
      <w:rPr>
        <w:rFonts w:cs="Times New Roman"/>
        <w:b/>
        <w:strike w:val="0"/>
      </w:rPr>
    </w:lvl>
    <w:lvl w:ilvl="2" w:tentative="0">
      <w:start w:val="1"/>
      <w:numFmt w:val="decimal"/>
      <w:pStyle w:val="375"/>
      <w:lvlText w:val="%1.%2.%3."/>
      <w:lvlJc w:val="left"/>
      <w:pPr>
        <w:ind w:left="1224" w:hanging="504"/>
      </w:pPr>
      <w:rPr>
        <w:rFonts w:cs="Times New Roman"/>
        <w:i w:val="0"/>
        <w:strike w:val="0"/>
      </w:rPr>
    </w:lvl>
    <w:lvl w:ilvl="3" w:tentative="0">
      <w:start w:val="1"/>
      <w:numFmt w:val="decimal"/>
      <w:pStyle w:val="376"/>
      <w:lvlText w:val="%1.%2.%3.%4."/>
      <w:lvlJc w:val="left"/>
      <w:pPr>
        <w:ind w:left="1499" w:hanging="648"/>
      </w:pPr>
      <w:rPr>
        <w:rFonts w:cs="Times New Roman"/>
      </w:rPr>
    </w:lvl>
    <w:lvl w:ilvl="4" w:tentative="0">
      <w:start w:val="1"/>
      <w:numFmt w:val="decimal"/>
      <w:pStyle w:val="377"/>
      <w:lvlText w:val="%1.%2.%3.%4.%5."/>
      <w:lvlJc w:val="left"/>
      <w:pPr>
        <w:ind w:left="4053" w:hanging="792"/>
      </w:pPr>
      <w:rPr>
        <w:rFonts w:cs="Times New Roman"/>
      </w:rPr>
    </w:lvl>
    <w:lvl w:ilvl="5" w:tentative="0">
      <w:start w:val="1"/>
      <w:numFmt w:val="decimal"/>
      <w:lvlText w:val="%1.%2.%3.%4.%5.%6."/>
      <w:lvlJc w:val="left"/>
      <w:pPr>
        <w:ind w:left="2736" w:hanging="936"/>
      </w:pPr>
      <w:rPr>
        <w:rFonts w:cs="Times New Roman"/>
      </w:rPr>
    </w:lvl>
    <w:lvl w:ilvl="6" w:tentative="0">
      <w:start w:val="1"/>
      <w:numFmt w:val="decimal"/>
      <w:lvlText w:val="%1.%2.%3.%4.%5.%6.%7."/>
      <w:lvlJc w:val="left"/>
      <w:pPr>
        <w:ind w:left="3240" w:hanging="1080"/>
      </w:pPr>
      <w:rPr>
        <w:rFonts w:cs="Times New Roman"/>
      </w:rPr>
    </w:lvl>
    <w:lvl w:ilvl="7" w:tentative="0">
      <w:start w:val="1"/>
      <w:numFmt w:val="decimal"/>
      <w:lvlText w:val="%1.%2.%3.%4.%5.%6.%7.%8."/>
      <w:lvlJc w:val="left"/>
      <w:pPr>
        <w:ind w:left="3744" w:hanging="1224"/>
      </w:pPr>
      <w:rPr>
        <w:rFonts w:cs="Times New Roman"/>
      </w:rPr>
    </w:lvl>
    <w:lvl w:ilvl="8" w:tentative="0">
      <w:start w:val="1"/>
      <w:numFmt w:val="decimal"/>
      <w:lvlText w:val="%1.%2.%3.%4.%5.%6.%7.%8.%9."/>
      <w:lvlJc w:val="left"/>
      <w:pPr>
        <w:ind w:left="4320" w:hanging="1440"/>
      </w:pPr>
      <w:rPr>
        <w:rFonts w:cs="Times New Roman"/>
      </w:rPr>
    </w:lvl>
  </w:abstractNum>
  <w:abstractNum w:abstractNumId="20">
    <w:nsid w:val="5CF56AFA"/>
    <w:multiLevelType w:val="multilevel"/>
    <w:tmpl w:val="5CF56AFA"/>
    <w:lvl w:ilvl="0" w:tentative="0">
      <w:start w:val="9"/>
      <w:numFmt w:val="decimal"/>
      <w:lvlText w:val="%1."/>
      <w:lvlJc w:val="left"/>
      <w:pPr>
        <w:ind w:left="576" w:hanging="576"/>
      </w:pPr>
      <w:rPr>
        <w:rFonts w:hint="default" w:cs="Times New Roman"/>
      </w:rPr>
    </w:lvl>
    <w:lvl w:ilvl="1" w:tentative="0">
      <w:start w:val="1"/>
      <w:numFmt w:val="decimal"/>
      <w:lvlText w:val="%1.%2."/>
      <w:lvlJc w:val="left"/>
      <w:pPr>
        <w:ind w:left="1288" w:hanging="720"/>
      </w:pPr>
      <w:rPr>
        <w:rFonts w:hint="default" w:cs="Times New Roman"/>
        <w:b/>
      </w:rPr>
    </w:lvl>
    <w:lvl w:ilvl="2" w:tentative="0">
      <w:start w:val="1"/>
      <w:numFmt w:val="decimal"/>
      <w:lvlText w:val="%1.%2.%3."/>
      <w:lvlJc w:val="left"/>
      <w:pPr>
        <w:ind w:left="1440" w:hanging="720"/>
      </w:pPr>
      <w:rPr>
        <w:rFonts w:hint="default" w:cs="Times New Roman"/>
        <w:b/>
      </w:rPr>
    </w:lvl>
    <w:lvl w:ilvl="3" w:tentative="0">
      <w:start w:val="1"/>
      <w:numFmt w:val="decimal"/>
      <w:lvlText w:val="%1.%2.%3.%4."/>
      <w:lvlJc w:val="left"/>
      <w:pPr>
        <w:ind w:left="1648" w:hanging="1080"/>
      </w:pPr>
      <w:rPr>
        <w:rFonts w:hint="default" w:cs="Times New Roman"/>
        <w:b/>
      </w:rPr>
    </w:lvl>
    <w:lvl w:ilvl="4" w:tentative="0">
      <w:start w:val="1"/>
      <w:numFmt w:val="decimal"/>
      <w:lvlText w:val="%1.%2.%3.%4.%5."/>
      <w:lvlJc w:val="left"/>
      <w:pPr>
        <w:ind w:left="2150" w:hanging="1440"/>
      </w:pPr>
      <w:rPr>
        <w:rFonts w:hint="default" w:cs="Times New Roman"/>
        <w:b/>
      </w:rPr>
    </w:lvl>
    <w:lvl w:ilvl="5" w:tentative="0">
      <w:start w:val="1"/>
      <w:numFmt w:val="decimal"/>
      <w:lvlText w:val="%1.%2.%3.%4.%5.%6."/>
      <w:lvlJc w:val="left"/>
      <w:pPr>
        <w:ind w:left="3240" w:hanging="1440"/>
      </w:pPr>
      <w:rPr>
        <w:rFonts w:hint="default" w:cs="Times New Roman"/>
      </w:rPr>
    </w:lvl>
    <w:lvl w:ilvl="6" w:tentative="0">
      <w:start w:val="1"/>
      <w:numFmt w:val="decimal"/>
      <w:lvlText w:val="%1.%2.%3.%4.%5.%6.%7."/>
      <w:lvlJc w:val="left"/>
      <w:pPr>
        <w:ind w:left="3960" w:hanging="1800"/>
      </w:pPr>
      <w:rPr>
        <w:rFonts w:hint="default" w:cs="Times New Roman"/>
      </w:rPr>
    </w:lvl>
    <w:lvl w:ilvl="7" w:tentative="0">
      <w:start w:val="1"/>
      <w:numFmt w:val="decimal"/>
      <w:lvlText w:val="%1.%2.%3.%4.%5.%6.%7.%8."/>
      <w:lvlJc w:val="left"/>
      <w:pPr>
        <w:ind w:left="4680" w:hanging="2160"/>
      </w:pPr>
      <w:rPr>
        <w:rFonts w:hint="default" w:cs="Times New Roman"/>
      </w:rPr>
    </w:lvl>
    <w:lvl w:ilvl="8" w:tentative="0">
      <w:start w:val="1"/>
      <w:numFmt w:val="decimal"/>
      <w:lvlText w:val="%1.%2.%3.%4.%5.%6.%7.%8.%9."/>
      <w:lvlJc w:val="left"/>
      <w:pPr>
        <w:ind w:left="5040" w:hanging="2160"/>
      </w:pPr>
      <w:rPr>
        <w:rFonts w:hint="default" w:cs="Times New Roman"/>
      </w:rPr>
    </w:lvl>
  </w:abstractNum>
  <w:abstractNum w:abstractNumId="21">
    <w:nsid w:val="5E203973"/>
    <w:multiLevelType w:val="multilevel"/>
    <w:tmpl w:val="5E203973"/>
    <w:lvl w:ilvl="0" w:tentative="0">
      <w:start w:val="1"/>
      <w:numFmt w:val="upperRoman"/>
      <w:pStyle w:val="366"/>
      <w:lvlText w:val="%1."/>
      <w:lvlJc w:val="left"/>
      <w:pPr>
        <w:ind w:left="720" w:hanging="360"/>
      </w:pPr>
      <w:rPr>
        <w:rFonts w:hint="default" w:ascii="Arial" w:hAnsi="Arial" w:cs="Arial"/>
      </w:rPr>
    </w:lvl>
    <w:lvl w:ilvl="1" w:tentative="0">
      <w:start w:val="1"/>
      <w:numFmt w:val="lowerRoman"/>
      <w:lvlText w:val="(%2)"/>
      <w:lvlJc w:val="left"/>
      <w:pPr>
        <w:ind w:left="1800" w:hanging="72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608D3FA5"/>
    <w:multiLevelType w:val="multilevel"/>
    <w:tmpl w:val="608D3FA5"/>
    <w:lvl w:ilvl="0" w:tentative="0">
      <w:start w:val="1"/>
      <w:numFmt w:val="lowerLetter"/>
      <w:lvlText w:val="%1)"/>
      <w:lvlJc w:val="left"/>
      <w:pPr>
        <w:ind w:left="1647" w:hanging="360"/>
      </w:pPr>
      <w:rPr>
        <w:rFonts w:hint="default"/>
      </w:rPr>
    </w:lvl>
    <w:lvl w:ilvl="1" w:tentative="0">
      <w:start w:val="1"/>
      <w:numFmt w:val="lowerLetter"/>
      <w:lvlText w:val="%2."/>
      <w:lvlJc w:val="left"/>
      <w:pPr>
        <w:ind w:left="2367" w:hanging="360"/>
      </w:pPr>
    </w:lvl>
    <w:lvl w:ilvl="2" w:tentative="0">
      <w:start w:val="1"/>
      <w:numFmt w:val="lowerRoman"/>
      <w:lvlText w:val="%3."/>
      <w:lvlJc w:val="right"/>
      <w:pPr>
        <w:ind w:left="3087" w:hanging="180"/>
      </w:pPr>
    </w:lvl>
    <w:lvl w:ilvl="3" w:tentative="0">
      <w:start w:val="1"/>
      <w:numFmt w:val="decimal"/>
      <w:lvlText w:val="%4."/>
      <w:lvlJc w:val="left"/>
      <w:pPr>
        <w:ind w:left="3807" w:hanging="360"/>
      </w:pPr>
    </w:lvl>
    <w:lvl w:ilvl="4" w:tentative="0">
      <w:start w:val="1"/>
      <w:numFmt w:val="lowerLetter"/>
      <w:lvlText w:val="%5."/>
      <w:lvlJc w:val="left"/>
      <w:pPr>
        <w:ind w:left="4527" w:hanging="360"/>
      </w:pPr>
    </w:lvl>
    <w:lvl w:ilvl="5" w:tentative="0">
      <w:start w:val="1"/>
      <w:numFmt w:val="lowerRoman"/>
      <w:lvlText w:val="%6."/>
      <w:lvlJc w:val="right"/>
      <w:pPr>
        <w:ind w:left="5247" w:hanging="180"/>
      </w:pPr>
    </w:lvl>
    <w:lvl w:ilvl="6" w:tentative="0">
      <w:start w:val="1"/>
      <w:numFmt w:val="decimal"/>
      <w:lvlText w:val="%7."/>
      <w:lvlJc w:val="left"/>
      <w:pPr>
        <w:ind w:left="5967" w:hanging="360"/>
      </w:pPr>
    </w:lvl>
    <w:lvl w:ilvl="7" w:tentative="0">
      <w:start w:val="1"/>
      <w:numFmt w:val="lowerLetter"/>
      <w:lvlText w:val="%8."/>
      <w:lvlJc w:val="left"/>
      <w:pPr>
        <w:ind w:left="6687" w:hanging="360"/>
      </w:pPr>
    </w:lvl>
    <w:lvl w:ilvl="8" w:tentative="0">
      <w:start w:val="1"/>
      <w:numFmt w:val="lowerRoman"/>
      <w:lvlText w:val="%9."/>
      <w:lvlJc w:val="right"/>
      <w:pPr>
        <w:ind w:left="7407" w:hanging="180"/>
      </w:pPr>
    </w:lvl>
  </w:abstractNum>
  <w:abstractNum w:abstractNumId="23">
    <w:nsid w:val="61DD361E"/>
    <w:multiLevelType w:val="multilevel"/>
    <w:tmpl w:val="61DD361E"/>
    <w:lvl w:ilvl="0" w:tentative="0">
      <w:start w:val="1"/>
      <w:numFmt w:val="decimal"/>
      <w:suff w:val="space"/>
      <w:lvlText w:val="%1."/>
      <w:lvlJc w:val="left"/>
      <w:rPr>
        <w:rFonts w:hint="default" w:cs="Times New Roman"/>
        <w:b/>
        <w:i w:val="0"/>
        <w:sz w:val="24"/>
        <w:szCs w:val="24"/>
      </w:rPr>
    </w:lvl>
    <w:lvl w:ilvl="1" w:tentative="0">
      <w:start w:val="1"/>
      <w:numFmt w:val="decimal"/>
      <w:suff w:val="space"/>
      <w:lvlText w:val="%1.%2."/>
      <w:lvlJc w:val="left"/>
      <w:pPr>
        <w:ind w:left="0"/>
      </w:pPr>
      <w:rPr>
        <w:rFonts w:hint="default" w:ascii="Arial" w:hAnsi="Arial" w:cs="Arial"/>
        <w:b/>
        <w:i w:val="0"/>
        <w:color w:val="auto"/>
        <w:sz w:val="24"/>
        <w:szCs w:val="24"/>
      </w:rPr>
    </w:lvl>
    <w:lvl w:ilvl="2" w:tentative="0">
      <w:start w:val="1"/>
      <w:numFmt w:val="decimal"/>
      <w:suff w:val="space"/>
      <w:lvlText w:val="%1.%2.%3."/>
      <w:lvlJc w:val="left"/>
      <w:pPr>
        <w:ind w:left="710"/>
      </w:pPr>
      <w:rPr>
        <w:rFonts w:hint="default" w:cs="Times New Roman"/>
        <w:b/>
        <w:i w:val="0"/>
        <w:sz w:val="24"/>
        <w:szCs w:val="24"/>
      </w:rPr>
    </w:lvl>
    <w:lvl w:ilvl="3" w:tentative="0">
      <w:start w:val="1"/>
      <w:numFmt w:val="decimal"/>
      <w:suff w:val="space"/>
      <w:lvlText w:val="%1.%2.%3.%4."/>
      <w:lvlJc w:val="left"/>
      <w:pPr>
        <w:ind w:left="851"/>
      </w:pPr>
      <w:rPr>
        <w:rFonts w:hint="default" w:cs="Times New Roman"/>
        <w:b/>
        <w:i w:val="0"/>
      </w:rPr>
    </w:lvl>
    <w:lvl w:ilvl="4" w:tentative="0">
      <w:start w:val="1"/>
      <w:numFmt w:val="decimal"/>
      <w:suff w:val="space"/>
      <w:lvlText w:val="%1.%2.%3.%4.%5."/>
      <w:lvlJc w:val="left"/>
      <w:pPr>
        <w:ind w:left="1134"/>
      </w:pPr>
      <w:rPr>
        <w:rFonts w:hint="default" w:cs="Times New Roman"/>
        <w:b/>
        <w:i w:val="0"/>
      </w:rPr>
    </w:lvl>
    <w:lvl w:ilvl="5" w:tentative="0">
      <w:start w:val="1"/>
      <w:numFmt w:val="decimal"/>
      <w:lvlText w:val="%1.%2.%3.%4.%5.%6."/>
      <w:lvlJc w:val="left"/>
      <w:pPr>
        <w:tabs>
          <w:tab w:val="left" w:pos="2880"/>
        </w:tabs>
        <w:ind w:left="2736" w:hanging="936"/>
      </w:pPr>
      <w:rPr>
        <w:rFonts w:hint="default" w:cs="Times New Roman"/>
      </w:rPr>
    </w:lvl>
    <w:lvl w:ilvl="6" w:tentative="0">
      <w:start w:val="1"/>
      <w:numFmt w:val="decimal"/>
      <w:lvlText w:val="%1.%2.%3.%4.%5.%6.%7."/>
      <w:lvlJc w:val="left"/>
      <w:pPr>
        <w:tabs>
          <w:tab w:val="left" w:pos="3600"/>
        </w:tabs>
        <w:ind w:left="3240" w:hanging="1080"/>
      </w:pPr>
      <w:rPr>
        <w:rFonts w:hint="default" w:cs="Times New Roman"/>
      </w:rPr>
    </w:lvl>
    <w:lvl w:ilvl="7" w:tentative="0">
      <w:start w:val="1"/>
      <w:numFmt w:val="decimal"/>
      <w:lvlText w:val="%1.%2.%3.%4.%5.%6.%7.%8."/>
      <w:lvlJc w:val="left"/>
      <w:pPr>
        <w:tabs>
          <w:tab w:val="left" w:pos="3960"/>
        </w:tabs>
        <w:ind w:left="3744" w:hanging="1224"/>
      </w:pPr>
      <w:rPr>
        <w:rFonts w:hint="default" w:cs="Times New Roman"/>
      </w:rPr>
    </w:lvl>
    <w:lvl w:ilvl="8" w:tentative="0">
      <w:start w:val="1"/>
      <w:numFmt w:val="decimal"/>
      <w:lvlText w:val="%1.%2.%3.%4.%5.%6.%7.%8.%9."/>
      <w:lvlJc w:val="left"/>
      <w:pPr>
        <w:tabs>
          <w:tab w:val="left" w:pos="4680"/>
        </w:tabs>
        <w:ind w:left="4320" w:hanging="1440"/>
      </w:pPr>
      <w:rPr>
        <w:rFonts w:hint="default" w:cs="Times New Roman"/>
      </w:rPr>
    </w:lvl>
  </w:abstractNum>
  <w:abstractNum w:abstractNumId="24">
    <w:nsid w:val="653910D5"/>
    <w:multiLevelType w:val="singleLevel"/>
    <w:tmpl w:val="653910D5"/>
    <w:lvl w:ilvl="0" w:tentative="0">
      <w:start w:val="1"/>
      <w:numFmt w:val="bullet"/>
      <w:pStyle w:val="322"/>
      <w:lvlText w:val="-"/>
      <w:lvlJc w:val="left"/>
      <w:pPr>
        <w:tabs>
          <w:tab w:val="left" w:pos="360"/>
        </w:tabs>
        <w:ind w:left="360" w:hanging="360"/>
      </w:pPr>
      <w:rPr>
        <w:rFonts w:hint="default" w:ascii="Tahoma" w:hAnsi="Tahoma"/>
      </w:rPr>
    </w:lvl>
  </w:abstractNum>
  <w:abstractNum w:abstractNumId="25">
    <w:nsid w:val="654E1F3C"/>
    <w:multiLevelType w:val="multilevel"/>
    <w:tmpl w:val="654E1F3C"/>
    <w:lvl w:ilvl="0" w:tentative="0">
      <w:start w:val="1"/>
      <w:numFmt w:val="lowerLetter"/>
      <w:lvlText w:val="%1)"/>
      <w:lvlJc w:val="left"/>
      <w:pPr>
        <w:ind w:left="1212" w:hanging="360"/>
      </w:pPr>
      <w:rPr>
        <w:b/>
      </w:rPr>
    </w:lvl>
    <w:lvl w:ilvl="1" w:tentative="0">
      <w:start w:val="1"/>
      <w:numFmt w:val="lowerLetter"/>
      <w:lvlText w:val="%2."/>
      <w:lvlJc w:val="left"/>
      <w:pPr>
        <w:ind w:left="1932" w:hanging="360"/>
      </w:pPr>
    </w:lvl>
    <w:lvl w:ilvl="2" w:tentative="0">
      <w:start w:val="1"/>
      <w:numFmt w:val="lowerRoman"/>
      <w:lvlText w:val="%3."/>
      <w:lvlJc w:val="right"/>
      <w:pPr>
        <w:ind w:left="2652" w:hanging="180"/>
      </w:pPr>
    </w:lvl>
    <w:lvl w:ilvl="3" w:tentative="0">
      <w:start w:val="1"/>
      <w:numFmt w:val="decimal"/>
      <w:lvlText w:val="%4."/>
      <w:lvlJc w:val="left"/>
      <w:pPr>
        <w:ind w:left="3372" w:hanging="360"/>
      </w:pPr>
    </w:lvl>
    <w:lvl w:ilvl="4" w:tentative="0">
      <w:start w:val="1"/>
      <w:numFmt w:val="lowerLetter"/>
      <w:lvlText w:val="%5."/>
      <w:lvlJc w:val="left"/>
      <w:pPr>
        <w:ind w:left="4092" w:hanging="360"/>
      </w:pPr>
    </w:lvl>
    <w:lvl w:ilvl="5" w:tentative="0">
      <w:start w:val="1"/>
      <w:numFmt w:val="lowerRoman"/>
      <w:lvlText w:val="%6."/>
      <w:lvlJc w:val="right"/>
      <w:pPr>
        <w:ind w:left="4812" w:hanging="180"/>
      </w:pPr>
    </w:lvl>
    <w:lvl w:ilvl="6" w:tentative="0">
      <w:start w:val="1"/>
      <w:numFmt w:val="decimal"/>
      <w:lvlText w:val="%7."/>
      <w:lvlJc w:val="left"/>
      <w:pPr>
        <w:ind w:left="5532" w:hanging="360"/>
      </w:pPr>
    </w:lvl>
    <w:lvl w:ilvl="7" w:tentative="0">
      <w:start w:val="1"/>
      <w:numFmt w:val="lowerLetter"/>
      <w:lvlText w:val="%8."/>
      <w:lvlJc w:val="left"/>
      <w:pPr>
        <w:ind w:left="6252" w:hanging="360"/>
      </w:pPr>
    </w:lvl>
    <w:lvl w:ilvl="8" w:tentative="0">
      <w:start w:val="1"/>
      <w:numFmt w:val="lowerRoman"/>
      <w:lvlText w:val="%9."/>
      <w:lvlJc w:val="right"/>
      <w:pPr>
        <w:ind w:left="6972" w:hanging="180"/>
      </w:pPr>
    </w:lvl>
  </w:abstractNum>
  <w:abstractNum w:abstractNumId="26">
    <w:nsid w:val="689394CC"/>
    <w:multiLevelType w:val="singleLevel"/>
    <w:tmpl w:val="689394CC"/>
    <w:lvl w:ilvl="0" w:tentative="0">
      <w:start w:val="1"/>
      <w:numFmt w:val="bullet"/>
      <w:lvlText w:val=""/>
      <w:lvlJc w:val="left"/>
      <w:pPr>
        <w:tabs>
          <w:tab w:val="left" w:pos="420"/>
        </w:tabs>
        <w:ind w:left="420" w:hanging="420"/>
      </w:pPr>
      <w:rPr>
        <w:rFonts w:hint="default" w:ascii="Wingdings" w:hAnsi="Wingdings"/>
      </w:rPr>
    </w:lvl>
  </w:abstractNum>
  <w:abstractNum w:abstractNumId="27">
    <w:nsid w:val="694FCD46"/>
    <w:multiLevelType w:val="multilevel"/>
    <w:tmpl w:val="694FCD46"/>
    <w:lvl w:ilvl="0" w:tentative="0">
      <w:start w:val="13"/>
      <w:numFmt w:val="decimal"/>
      <w:suff w:val="space"/>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8">
    <w:nsid w:val="72CCA8C9"/>
    <w:multiLevelType w:val="multilevel"/>
    <w:tmpl w:val="72CCA8C9"/>
    <w:lvl w:ilvl="0" w:tentative="0">
      <w:start w:val="20"/>
      <w:numFmt w:val="decimal"/>
      <w:suff w:val="space"/>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9">
    <w:nsid w:val="73957309"/>
    <w:multiLevelType w:val="multilevel"/>
    <w:tmpl w:val="73957309"/>
    <w:lvl w:ilvl="0" w:tentative="0">
      <w:start w:val="1"/>
      <w:numFmt w:val="decimal"/>
      <w:lvlText w:val="%1."/>
      <w:lvlJc w:val="left"/>
      <w:pPr>
        <w:tabs>
          <w:tab w:val="left" w:pos="720"/>
        </w:tabs>
        <w:ind w:left="720" w:hanging="360"/>
      </w:pPr>
      <w:rPr>
        <w:rFonts w:hint="default" w:cs="Times New Roman"/>
        <w:b/>
      </w:rPr>
    </w:lvl>
    <w:lvl w:ilvl="1" w:tentative="0">
      <w:start w:val="1"/>
      <w:numFmt w:val="decimal"/>
      <w:pStyle w:val="368"/>
      <w:isLgl/>
      <w:lvlText w:val="%1.%2."/>
      <w:lvlJc w:val="left"/>
      <w:pPr>
        <w:ind w:left="1004" w:hanging="720"/>
      </w:pPr>
      <w:rPr>
        <w:rFonts w:hint="default" w:ascii="Calibri" w:hAnsi="Calibri"/>
        <w:b/>
        <w:sz w:val="22"/>
        <w:szCs w:val="22"/>
      </w:rPr>
    </w:lvl>
    <w:lvl w:ilvl="2" w:tentative="0">
      <w:start w:val="1"/>
      <w:numFmt w:val="decimal"/>
      <w:pStyle w:val="369"/>
      <w:isLgl/>
      <w:lvlText w:val="%1.%2.%3."/>
      <w:lvlJc w:val="left"/>
      <w:pPr>
        <w:ind w:left="1440" w:hanging="1080"/>
      </w:pPr>
      <w:rPr>
        <w:rFonts w:hint="default" w:ascii="Calibri" w:hAnsi="Calibri"/>
        <w:b/>
        <w:color w:val="auto"/>
        <w:sz w:val="22"/>
      </w:rPr>
    </w:lvl>
    <w:lvl w:ilvl="3" w:tentative="0">
      <w:start w:val="1"/>
      <w:numFmt w:val="decimal"/>
      <w:isLgl/>
      <w:lvlText w:val="%1.%2.%3.%4."/>
      <w:lvlJc w:val="left"/>
      <w:pPr>
        <w:ind w:left="1800" w:hanging="1440"/>
      </w:pPr>
      <w:rPr>
        <w:rFonts w:hint="default"/>
        <w:b/>
      </w:rPr>
    </w:lvl>
    <w:lvl w:ilvl="4" w:tentative="0">
      <w:start w:val="1"/>
      <w:numFmt w:val="decimal"/>
      <w:isLgl/>
      <w:lvlText w:val="%1.%2.%3.%4.%5."/>
      <w:lvlJc w:val="left"/>
      <w:pPr>
        <w:ind w:left="1800" w:hanging="1440"/>
      </w:pPr>
      <w:rPr>
        <w:rFonts w:hint="default"/>
        <w:b/>
      </w:rPr>
    </w:lvl>
    <w:lvl w:ilvl="5" w:tentative="0">
      <w:start w:val="1"/>
      <w:numFmt w:val="decimal"/>
      <w:isLgl/>
      <w:lvlText w:val="%1.%2.%3.%4.%5.%6."/>
      <w:lvlJc w:val="left"/>
      <w:pPr>
        <w:ind w:left="2160" w:hanging="1800"/>
      </w:pPr>
      <w:rPr>
        <w:rFonts w:hint="default"/>
      </w:rPr>
    </w:lvl>
    <w:lvl w:ilvl="6" w:tentative="0">
      <w:start w:val="1"/>
      <w:numFmt w:val="decimal"/>
      <w:isLgl/>
      <w:lvlText w:val="%1.%2.%3.%4.%5.%6.%7."/>
      <w:lvlJc w:val="left"/>
      <w:pPr>
        <w:ind w:left="2520" w:hanging="2160"/>
      </w:pPr>
      <w:rPr>
        <w:rFonts w:hint="default"/>
      </w:rPr>
    </w:lvl>
    <w:lvl w:ilvl="7" w:tentative="0">
      <w:start w:val="1"/>
      <w:numFmt w:val="decimal"/>
      <w:isLgl/>
      <w:lvlText w:val="%1.%2.%3.%4.%5.%6.%7.%8."/>
      <w:lvlJc w:val="left"/>
      <w:pPr>
        <w:ind w:left="2880" w:hanging="2520"/>
      </w:pPr>
      <w:rPr>
        <w:rFonts w:hint="default"/>
      </w:rPr>
    </w:lvl>
    <w:lvl w:ilvl="8" w:tentative="0">
      <w:start w:val="1"/>
      <w:numFmt w:val="decimal"/>
      <w:isLgl/>
      <w:lvlText w:val="%1.%2.%3.%4.%5.%6.%7.%8.%9."/>
      <w:lvlJc w:val="left"/>
      <w:pPr>
        <w:ind w:left="2880" w:hanging="2520"/>
      </w:pPr>
      <w:rPr>
        <w:rFonts w:hint="default"/>
      </w:rPr>
    </w:lvl>
  </w:abstractNum>
  <w:abstractNum w:abstractNumId="30">
    <w:nsid w:val="746B78BA"/>
    <w:multiLevelType w:val="multilevel"/>
    <w:tmpl w:val="746B78BA"/>
    <w:lvl w:ilvl="0" w:tentative="0">
      <w:start w:val="1"/>
      <w:numFmt w:val="lowerLetter"/>
      <w:lvlText w:val="%1)"/>
      <w:lvlJc w:val="left"/>
      <w:pPr>
        <w:ind w:left="1004" w:hanging="360"/>
      </w:pPr>
      <w:rPr>
        <w:rFonts w:hint="default"/>
        <w:b/>
      </w:rPr>
    </w:lvl>
    <w:lvl w:ilvl="1" w:tentative="0">
      <w:start w:val="1"/>
      <w:numFmt w:val="lowerLetter"/>
      <w:lvlText w:val="%2."/>
      <w:lvlJc w:val="left"/>
      <w:pPr>
        <w:ind w:left="1724" w:hanging="360"/>
      </w:pPr>
    </w:lvl>
    <w:lvl w:ilvl="2" w:tentative="0">
      <w:start w:val="1"/>
      <w:numFmt w:val="lowerRoman"/>
      <w:lvlText w:val="%3."/>
      <w:lvlJc w:val="right"/>
      <w:pPr>
        <w:ind w:left="2444" w:hanging="180"/>
      </w:pPr>
    </w:lvl>
    <w:lvl w:ilvl="3" w:tentative="0">
      <w:start w:val="1"/>
      <w:numFmt w:val="decimal"/>
      <w:lvlText w:val="%4."/>
      <w:lvlJc w:val="left"/>
      <w:pPr>
        <w:ind w:left="3164" w:hanging="360"/>
      </w:pPr>
    </w:lvl>
    <w:lvl w:ilvl="4" w:tentative="0">
      <w:start w:val="1"/>
      <w:numFmt w:val="lowerLetter"/>
      <w:lvlText w:val="%5."/>
      <w:lvlJc w:val="left"/>
      <w:pPr>
        <w:ind w:left="3884" w:hanging="360"/>
      </w:pPr>
    </w:lvl>
    <w:lvl w:ilvl="5" w:tentative="0">
      <w:start w:val="1"/>
      <w:numFmt w:val="lowerRoman"/>
      <w:lvlText w:val="%6."/>
      <w:lvlJc w:val="right"/>
      <w:pPr>
        <w:ind w:left="4604" w:hanging="180"/>
      </w:pPr>
    </w:lvl>
    <w:lvl w:ilvl="6" w:tentative="0">
      <w:start w:val="1"/>
      <w:numFmt w:val="decimal"/>
      <w:lvlText w:val="%7."/>
      <w:lvlJc w:val="left"/>
      <w:pPr>
        <w:ind w:left="5324" w:hanging="360"/>
      </w:pPr>
    </w:lvl>
    <w:lvl w:ilvl="7" w:tentative="0">
      <w:start w:val="1"/>
      <w:numFmt w:val="lowerLetter"/>
      <w:lvlText w:val="%8."/>
      <w:lvlJc w:val="left"/>
      <w:pPr>
        <w:ind w:left="6044" w:hanging="360"/>
      </w:pPr>
    </w:lvl>
    <w:lvl w:ilvl="8" w:tentative="0">
      <w:start w:val="1"/>
      <w:numFmt w:val="lowerRoman"/>
      <w:lvlText w:val="%9."/>
      <w:lvlJc w:val="right"/>
      <w:pPr>
        <w:ind w:left="6764" w:hanging="180"/>
      </w:pPr>
    </w:lvl>
  </w:abstractNum>
  <w:abstractNum w:abstractNumId="31">
    <w:nsid w:val="74B7700F"/>
    <w:multiLevelType w:val="multilevel"/>
    <w:tmpl w:val="74B7700F"/>
    <w:lvl w:ilvl="0" w:tentative="0">
      <w:start w:val="1"/>
      <w:numFmt w:val="bullet"/>
      <w:lvlText w:val="•"/>
      <w:lvlJc w:val="left"/>
      <w:pPr>
        <w:ind w:left="720" w:hanging="360"/>
      </w:pPr>
      <w:rPr>
        <w:rFonts w:ascii="Arial" w:hAnsi="Arial" w:eastAsia="Arial" w:cs="Arial"/>
        <w:b w:val="0"/>
        <w:i w:val="0"/>
        <w:strike w:val="0"/>
        <w:dstrike w:val="0"/>
        <w:color w:val="000000"/>
        <w:sz w:val="24"/>
        <w:szCs w:val="24"/>
        <w:u w:val="none" w:color="000000"/>
        <w:shd w:val="clear" w:color="auto" w:fill="auto"/>
        <w:vertAlign w:val="baseline"/>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79B67B79"/>
    <w:multiLevelType w:val="multilevel"/>
    <w:tmpl w:val="79B67B79"/>
    <w:lvl w:ilvl="0" w:tentative="0">
      <w:start w:val="1"/>
      <w:numFmt w:val="decimalZero"/>
      <w:lvlText w:val="%1."/>
      <w:lvlJc w:val="left"/>
      <w:pPr>
        <w:ind w:left="-180" w:hanging="360"/>
      </w:pPr>
      <w:rPr>
        <w:rFonts w:hint="default"/>
      </w:rPr>
    </w:lvl>
    <w:lvl w:ilvl="1" w:tentative="0">
      <w:start w:val="1"/>
      <w:numFmt w:val="lowerLetter"/>
      <w:lvlText w:val="%2."/>
      <w:lvlJc w:val="left"/>
      <w:pPr>
        <w:ind w:left="540" w:hanging="360"/>
      </w:pPr>
    </w:lvl>
    <w:lvl w:ilvl="2" w:tentative="0">
      <w:start w:val="1"/>
      <w:numFmt w:val="lowerRoman"/>
      <w:lvlText w:val="%3."/>
      <w:lvlJc w:val="right"/>
      <w:pPr>
        <w:ind w:left="1260" w:hanging="180"/>
      </w:pPr>
    </w:lvl>
    <w:lvl w:ilvl="3" w:tentative="0">
      <w:start w:val="1"/>
      <w:numFmt w:val="decimal"/>
      <w:lvlText w:val="%4."/>
      <w:lvlJc w:val="left"/>
      <w:pPr>
        <w:ind w:left="1980" w:hanging="360"/>
      </w:pPr>
    </w:lvl>
    <w:lvl w:ilvl="4" w:tentative="0">
      <w:start w:val="1"/>
      <w:numFmt w:val="lowerLetter"/>
      <w:lvlText w:val="%5."/>
      <w:lvlJc w:val="left"/>
      <w:pPr>
        <w:ind w:left="2700" w:hanging="360"/>
      </w:pPr>
    </w:lvl>
    <w:lvl w:ilvl="5" w:tentative="0">
      <w:start w:val="1"/>
      <w:numFmt w:val="lowerRoman"/>
      <w:lvlText w:val="%6."/>
      <w:lvlJc w:val="right"/>
      <w:pPr>
        <w:ind w:left="3420" w:hanging="180"/>
      </w:pPr>
    </w:lvl>
    <w:lvl w:ilvl="6" w:tentative="0">
      <w:start w:val="1"/>
      <w:numFmt w:val="decimal"/>
      <w:lvlText w:val="%7."/>
      <w:lvlJc w:val="left"/>
      <w:pPr>
        <w:ind w:left="4140" w:hanging="360"/>
      </w:pPr>
    </w:lvl>
    <w:lvl w:ilvl="7" w:tentative="0">
      <w:start w:val="1"/>
      <w:numFmt w:val="lowerLetter"/>
      <w:lvlText w:val="%8."/>
      <w:lvlJc w:val="left"/>
      <w:pPr>
        <w:ind w:left="4860" w:hanging="360"/>
      </w:pPr>
    </w:lvl>
    <w:lvl w:ilvl="8" w:tentative="0">
      <w:start w:val="1"/>
      <w:numFmt w:val="lowerRoman"/>
      <w:lvlText w:val="%9."/>
      <w:lvlJc w:val="right"/>
      <w:pPr>
        <w:ind w:left="5580" w:hanging="180"/>
      </w:pPr>
    </w:lvl>
  </w:abstractNum>
  <w:abstractNum w:abstractNumId="33">
    <w:nsid w:val="7B9A1764"/>
    <w:multiLevelType w:val="multilevel"/>
    <w:tmpl w:val="7B9A1764"/>
    <w:lvl w:ilvl="0" w:tentative="0">
      <w:start w:val="1"/>
      <w:numFmt w:val="lowerLetter"/>
      <w:pStyle w:val="363"/>
      <w:lvlText w:val="%1)"/>
      <w:lvlJc w:val="left"/>
      <w:pPr>
        <w:ind w:left="720" w:hanging="360"/>
      </w:pPr>
      <w:rPr>
        <w:rFonts w:hint="defaul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7E1F2A20"/>
    <w:multiLevelType w:val="multilevel"/>
    <w:tmpl w:val="7E1F2A20"/>
    <w:lvl w:ilvl="0" w:tentative="0">
      <w:start w:val="2"/>
      <w:numFmt w:val="decimal"/>
      <w:suff w:val="space"/>
      <w:lvlText w:val="%1."/>
      <w:lvlJc w:val="left"/>
      <w:rPr>
        <w:rFonts w:hint="default"/>
        <w:u w:val="none" w:color="auto"/>
      </w:rPr>
    </w:lvl>
    <w:lvl w:ilvl="1" w:tentative="0">
      <w:start w:val="1"/>
      <w:numFmt w:val="decimal"/>
      <w:suff w:val="space"/>
      <w:lvlText w:val="%1.%2."/>
      <w:lvlJc w:val="left"/>
      <w:pPr>
        <w:ind w:left="0" w:firstLine="0"/>
      </w:pPr>
      <w:rPr>
        <w:rFonts w:hint="default"/>
        <w:u w:val="none" w:color="auto"/>
      </w:rPr>
    </w:lvl>
    <w:lvl w:ilvl="2" w:tentative="0">
      <w:start w:val="1"/>
      <w:numFmt w:val="decimal"/>
      <w:suff w:val="space"/>
      <w:lvlText w:val="%1.%2.%3."/>
      <w:lvlJc w:val="left"/>
      <w:pPr>
        <w:ind w:left="0" w:firstLine="0"/>
      </w:pPr>
      <w:rPr>
        <w:rFonts w:hint="default"/>
        <w:u w:val="none" w:color="auto"/>
      </w:rPr>
    </w:lvl>
    <w:lvl w:ilvl="3" w:tentative="0">
      <w:start w:val="1"/>
      <w:numFmt w:val="decimal"/>
      <w:suff w:val="space"/>
      <w:lvlText w:val="%1.%2.%3.%4."/>
      <w:lvlJc w:val="left"/>
      <w:pPr>
        <w:ind w:left="0" w:firstLine="0"/>
      </w:pPr>
      <w:rPr>
        <w:rFonts w:hint="default"/>
        <w:u w:val="none" w:color="auto"/>
      </w:rPr>
    </w:lvl>
    <w:lvl w:ilvl="4" w:tentative="0">
      <w:start w:val="1"/>
      <w:numFmt w:val="decimal"/>
      <w:suff w:val="space"/>
      <w:lvlText w:val="%1.%2.%3.%4.%5."/>
      <w:lvlJc w:val="left"/>
      <w:pPr>
        <w:ind w:left="0" w:firstLine="0"/>
      </w:pPr>
      <w:rPr>
        <w:rFonts w:hint="default"/>
        <w:u w:val="none" w:color="auto"/>
      </w:rPr>
    </w:lvl>
    <w:lvl w:ilvl="5" w:tentative="0">
      <w:start w:val="1"/>
      <w:numFmt w:val="decimal"/>
      <w:suff w:val="space"/>
      <w:lvlText w:val="%1.%2.%3.%4.%5.%6."/>
      <w:lvlJc w:val="left"/>
      <w:pPr>
        <w:ind w:left="0" w:firstLine="0"/>
      </w:pPr>
      <w:rPr>
        <w:rFonts w:hint="default"/>
        <w:u w:val="none" w:color="auto"/>
      </w:rPr>
    </w:lvl>
    <w:lvl w:ilvl="6" w:tentative="0">
      <w:start w:val="1"/>
      <w:numFmt w:val="decimal"/>
      <w:suff w:val="space"/>
      <w:lvlText w:val="%1.%2.%3.%4.%5.%6.%7."/>
      <w:lvlJc w:val="left"/>
      <w:pPr>
        <w:ind w:left="0" w:firstLine="0"/>
      </w:pPr>
      <w:rPr>
        <w:rFonts w:hint="default"/>
        <w:u w:val="none" w:color="auto"/>
      </w:rPr>
    </w:lvl>
    <w:lvl w:ilvl="7" w:tentative="0">
      <w:start w:val="1"/>
      <w:numFmt w:val="decimal"/>
      <w:suff w:val="space"/>
      <w:lvlText w:val="%1.%2.%3.%4.%5.%6.%7.%8."/>
      <w:lvlJc w:val="left"/>
      <w:pPr>
        <w:ind w:left="0" w:firstLine="0"/>
      </w:pPr>
      <w:rPr>
        <w:rFonts w:hint="default"/>
        <w:u w:val="none" w:color="auto"/>
      </w:rPr>
    </w:lvl>
    <w:lvl w:ilvl="8" w:tentative="0">
      <w:start w:val="1"/>
      <w:numFmt w:val="decimal"/>
      <w:suff w:val="space"/>
      <w:lvlText w:val="%1.%2.%3.%4.%5.%6.%7.%8.%9."/>
      <w:lvlJc w:val="left"/>
      <w:pPr>
        <w:ind w:left="0" w:firstLine="0"/>
      </w:pPr>
      <w:rPr>
        <w:rFonts w:hint="default"/>
        <w:u w:val="none" w:color="auto"/>
      </w:rPr>
    </w:lvl>
  </w:abstractNum>
  <w:num w:numId="1">
    <w:abstractNumId w:val="10"/>
  </w:num>
  <w:num w:numId="2">
    <w:abstractNumId w:val="2"/>
  </w:num>
  <w:num w:numId="3">
    <w:abstractNumId w:val="1"/>
  </w:num>
  <w:num w:numId="4">
    <w:abstractNumId w:val="4"/>
  </w:num>
  <w:num w:numId="5">
    <w:abstractNumId w:val="9"/>
  </w:num>
  <w:num w:numId="6">
    <w:abstractNumId w:val="7"/>
  </w:num>
  <w:num w:numId="7">
    <w:abstractNumId w:val="18"/>
  </w:num>
  <w:num w:numId="8">
    <w:abstractNumId w:val="6"/>
  </w:num>
  <w:num w:numId="9">
    <w:abstractNumId w:val="8"/>
  </w:num>
  <w:num w:numId="10">
    <w:abstractNumId w:val="3"/>
  </w:num>
  <w:num w:numId="11">
    <w:abstractNumId w:val="24"/>
  </w:num>
  <w:num w:numId="12">
    <w:abstractNumId w:val="33"/>
  </w:num>
  <w:num w:numId="13">
    <w:abstractNumId w:val="21"/>
  </w:num>
  <w:num w:numId="14">
    <w:abstractNumId w:val="29"/>
  </w:num>
  <w:num w:numId="15">
    <w:abstractNumId w:val="19"/>
  </w:num>
  <w:num w:numId="16">
    <w:abstractNumId w:val="11"/>
  </w:num>
  <w:num w:numId="17">
    <w:abstractNumId w:val="25"/>
  </w:num>
  <w:num w:numId="18">
    <w:abstractNumId w:val="20"/>
  </w:num>
  <w:num w:numId="19">
    <w:abstractNumId w:val="12"/>
  </w:num>
  <w:num w:numId="20">
    <w:abstractNumId w:val="31"/>
  </w:num>
  <w:num w:numId="21">
    <w:abstractNumId w:val="30"/>
  </w:num>
  <w:num w:numId="22">
    <w:abstractNumId w:val="16"/>
  </w:num>
  <w:num w:numId="23">
    <w:abstractNumId w:val="17"/>
  </w:num>
  <w:num w:numId="24">
    <w:abstractNumId w:val="34"/>
  </w:num>
  <w:num w:numId="25">
    <w:abstractNumId w:val="26"/>
  </w:num>
  <w:num w:numId="26">
    <w:abstractNumId w:val="14"/>
  </w:num>
  <w:num w:numId="27">
    <w:abstractNumId w:val="15"/>
  </w:num>
  <w:num w:numId="28">
    <w:abstractNumId w:val="27"/>
  </w:num>
  <w:num w:numId="29">
    <w:abstractNumId w:val="13"/>
  </w:num>
  <w:num w:numId="30">
    <w:abstractNumId w:val="0"/>
  </w:num>
  <w:num w:numId="31">
    <w:abstractNumId w:val="28"/>
  </w:num>
  <w:num w:numId="32">
    <w:abstractNumId w:val="32"/>
  </w:num>
  <w:num w:numId="33">
    <w:abstractNumId w:val="22"/>
  </w:num>
  <w:num w:numId="34">
    <w:abstractNumId w:val="23"/>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hyphenationZone w:val="425"/>
  <w:displayHorizontalDrawingGridEvery w:val="1"/>
  <w:displayVerticalDrawingGridEvery w:val="1"/>
  <w:noPunctuationKerning w:val="1"/>
  <w:characterSpacingControl w:val="doNotCompress"/>
  <w:compat>
    <w:doNotExpandShiftReturn/>
    <w:doNotWrapTextWithPunct/>
    <w:doNotUseEastAsianBreakRules/>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625"/>
    <w:rsid w:val="00000999"/>
    <w:rsid w:val="00000B95"/>
    <w:rsid w:val="000013E9"/>
    <w:rsid w:val="000014FA"/>
    <w:rsid w:val="0000185E"/>
    <w:rsid w:val="00001A51"/>
    <w:rsid w:val="00001ECE"/>
    <w:rsid w:val="0000210B"/>
    <w:rsid w:val="00002377"/>
    <w:rsid w:val="000025A5"/>
    <w:rsid w:val="0000302D"/>
    <w:rsid w:val="0000347C"/>
    <w:rsid w:val="00003673"/>
    <w:rsid w:val="00003BC8"/>
    <w:rsid w:val="00003CA0"/>
    <w:rsid w:val="00003FCE"/>
    <w:rsid w:val="000044B8"/>
    <w:rsid w:val="00004832"/>
    <w:rsid w:val="00004899"/>
    <w:rsid w:val="00004A67"/>
    <w:rsid w:val="00004E6E"/>
    <w:rsid w:val="00004EA1"/>
    <w:rsid w:val="00004F10"/>
    <w:rsid w:val="000053C9"/>
    <w:rsid w:val="0000544D"/>
    <w:rsid w:val="000056FB"/>
    <w:rsid w:val="00005897"/>
    <w:rsid w:val="00005CA4"/>
    <w:rsid w:val="00005D8D"/>
    <w:rsid w:val="00005F11"/>
    <w:rsid w:val="000060DD"/>
    <w:rsid w:val="00006414"/>
    <w:rsid w:val="0000670A"/>
    <w:rsid w:val="000068B9"/>
    <w:rsid w:val="00006CB3"/>
    <w:rsid w:val="00006FA9"/>
    <w:rsid w:val="00007179"/>
    <w:rsid w:val="00007655"/>
    <w:rsid w:val="0000786D"/>
    <w:rsid w:val="000079F4"/>
    <w:rsid w:val="00007FF9"/>
    <w:rsid w:val="000103E7"/>
    <w:rsid w:val="000111CA"/>
    <w:rsid w:val="00011460"/>
    <w:rsid w:val="000115F2"/>
    <w:rsid w:val="00011695"/>
    <w:rsid w:val="00011A09"/>
    <w:rsid w:val="00011A56"/>
    <w:rsid w:val="00011CB8"/>
    <w:rsid w:val="0001255D"/>
    <w:rsid w:val="000126FA"/>
    <w:rsid w:val="00012EA4"/>
    <w:rsid w:val="00012EE4"/>
    <w:rsid w:val="00013027"/>
    <w:rsid w:val="00013104"/>
    <w:rsid w:val="000136CC"/>
    <w:rsid w:val="00013CE0"/>
    <w:rsid w:val="00013E89"/>
    <w:rsid w:val="00014745"/>
    <w:rsid w:val="00014782"/>
    <w:rsid w:val="00014D18"/>
    <w:rsid w:val="000153DA"/>
    <w:rsid w:val="000156A2"/>
    <w:rsid w:val="00015C09"/>
    <w:rsid w:val="00015E66"/>
    <w:rsid w:val="0001604A"/>
    <w:rsid w:val="000163B5"/>
    <w:rsid w:val="000164CD"/>
    <w:rsid w:val="00016796"/>
    <w:rsid w:val="00016AE6"/>
    <w:rsid w:val="0001724C"/>
    <w:rsid w:val="00017284"/>
    <w:rsid w:val="000174A8"/>
    <w:rsid w:val="00017807"/>
    <w:rsid w:val="000179B0"/>
    <w:rsid w:val="00017EE4"/>
    <w:rsid w:val="00020283"/>
    <w:rsid w:val="00020A2B"/>
    <w:rsid w:val="00020B4E"/>
    <w:rsid w:val="00020BF0"/>
    <w:rsid w:val="0002146C"/>
    <w:rsid w:val="00021670"/>
    <w:rsid w:val="0002183D"/>
    <w:rsid w:val="00021DE9"/>
    <w:rsid w:val="00021E65"/>
    <w:rsid w:val="00021FEE"/>
    <w:rsid w:val="0002215F"/>
    <w:rsid w:val="0002221E"/>
    <w:rsid w:val="000233DD"/>
    <w:rsid w:val="000236BD"/>
    <w:rsid w:val="0002370E"/>
    <w:rsid w:val="00023E8F"/>
    <w:rsid w:val="00024137"/>
    <w:rsid w:val="00024AC5"/>
    <w:rsid w:val="00024D88"/>
    <w:rsid w:val="0002529B"/>
    <w:rsid w:val="000252A0"/>
    <w:rsid w:val="0002539D"/>
    <w:rsid w:val="0002545D"/>
    <w:rsid w:val="000259B2"/>
    <w:rsid w:val="00025B0A"/>
    <w:rsid w:val="00025B49"/>
    <w:rsid w:val="000263E4"/>
    <w:rsid w:val="00026520"/>
    <w:rsid w:val="00026C96"/>
    <w:rsid w:val="00026EE8"/>
    <w:rsid w:val="00027067"/>
    <w:rsid w:val="000270E8"/>
    <w:rsid w:val="0002715A"/>
    <w:rsid w:val="0002718A"/>
    <w:rsid w:val="00027200"/>
    <w:rsid w:val="00027816"/>
    <w:rsid w:val="0002786C"/>
    <w:rsid w:val="00027F9D"/>
    <w:rsid w:val="0003016D"/>
    <w:rsid w:val="000306C2"/>
    <w:rsid w:val="000318C2"/>
    <w:rsid w:val="00031A88"/>
    <w:rsid w:val="00031CFF"/>
    <w:rsid w:val="00031D31"/>
    <w:rsid w:val="0003217B"/>
    <w:rsid w:val="000327A3"/>
    <w:rsid w:val="00032828"/>
    <w:rsid w:val="00032A2E"/>
    <w:rsid w:val="00032D6C"/>
    <w:rsid w:val="00032E0D"/>
    <w:rsid w:val="00032E23"/>
    <w:rsid w:val="00033510"/>
    <w:rsid w:val="00033574"/>
    <w:rsid w:val="00033787"/>
    <w:rsid w:val="000339BF"/>
    <w:rsid w:val="00034048"/>
    <w:rsid w:val="0003417B"/>
    <w:rsid w:val="00034671"/>
    <w:rsid w:val="00034856"/>
    <w:rsid w:val="00034EA2"/>
    <w:rsid w:val="00034F54"/>
    <w:rsid w:val="000351A2"/>
    <w:rsid w:val="000356CA"/>
    <w:rsid w:val="00035702"/>
    <w:rsid w:val="00035EC4"/>
    <w:rsid w:val="00035F2B"/>
    <w:rsid w:val="00036011"/>
    <w:rsid w:val="00036206"/>
    <w:rsid w:val="00036747"/>
    <w:rsid w:val="00036B8E"/>
    <w:rsid w:val="00036DFA"/>
    <w:rsid w:val="000372D8"/>
    <w:rsid w:val="000400BC"/>
    <w:rsid w:val="00040369"/>
    <w:rsid w:val="0004063F"/>
    <w:rsid w:val="00040861"/>
    <w:rsid w:val="00041054"/>
    <w:rsid w:val="00041405"/>
    <w:rsid w:val="00041437"/>
    <w:rsid w:val="0004185E"/>
    <w:rsid w:val="000419DD"/>
    <w:rsid w:val="00041AF9"/>
    <w:rsid w:val="00041B46"/>
    <w:rsid w:val="00042036"/>
    <w:rsid w:val="00042A66"/>
    <w:rsid w:val="00042B02"/>
    <w:rsid w:val="00042FC8"/>
    <w:rsid w:val="00043072"/>
    <w:rsid w:val="0004318A"/>
    <w:rsid w:val="00043450"/>
    <w:rsid w:val="000437C5"/>
    <w:rsid w:val="00043CE9"/>
    <w:rsid w:val="00043E6D"/>
    <w:rsid w:val="000448C9"/>
    <w:rsid w:val="00044E0C"/>
    <w:rsid w:val="00044F6D"/>
    <w:rsid w:val="00045146"/>
    <w:rsid w:val="000454F2"/>
    <w:rsid w:val="0004562A"/>
    <w:rsid w:val="0004572C"/>
    <w:rsid w:val="00045A3E"/>
    <w:rsid w:val="00045AE8"/>
    <w:rsid w:val="00045F6F"/>
    <w:rsid w:val="00045FAF"/>
    <w:rsid w:val="00046175"/>
    <w:rsid w:val="00046298"/>
    <w:rsid w:val="00046C15"/>
    <w:rsid w:val="00046F1F"/>
    <w:rsid w:val="00046F9C"/>
    <w:rsid w:val="0004710E"/>
    <w:rsid w:val="0004725B"/>
    <w:rsid w:val="000473D7"/>
    <w:rsid w:val="0004743F"/>
    <w:rsid w:val="0004779E"/>
    <w:rsid w:val="00047A9F"/>
    <w:rsid w:val="00047E8D"/>
    <w:rsid w:val="000501E5"/>
    <w:rsid w:val="00050415"/>
    <w:rsid w:val="00050577"/>
    <w:rsid w:val="000507DE"/>
    <w:rsid w:val="00051180"/>
    <w:rsid w:val="00051227"/>
    <w:rsid w:val="0005145E"/>
    <w:rsid w:val="0005183D"/>
    <w:rsid w:val="000518D8"/>
    <w:rsid w:val="00051F73"/>
    <w:rsid w:val="000520A4"/>
    <w:rsid w:val="00052146"/>
    <w:rsid w:val="00052BCB"/>
    <w:rsid w:val="0005310C"/>
    <w:rsid w:val="00053482"/>
    <w:rsid w:val="00053791"/>
    <w:rsid w:val="00053832"/>
    <w:rsid w:val="00053A0F"/>
    <w:rsid w:val="00053A6D"/>
    <w:rsid w:val="00053B43"/>
    <w:rsid w:val="00054313"/>
    <w:rsid w:val="00054316"/>
    <w:rsid w:val="00054339"/>
    <w:rsid w:val="000549C6"/>
    <w:rsid w:val="00054E01"/>
    <w:rsid w:val="00055F69"/>
    <w:rsid w:val="00056775"/>
    <w:rsid w:val="0005686F"/>
    <w:rsid w:val="00056D26"/>
    <w:rsid w:val="00056DFD"/>
    <w:rsid w:val="00057056"/>
    <w:rsid w:val="000572E9"/>
    <w:rsid w:val="000573FB"/>
    <w:rsid w:val="00057826"/>
    <w:rsid w:val="00057AE5"/>
    <w:rsid w:val="00057BBA"/>
    <w:rsid w:val="00057F9B"/>
    <w:rsid w:val="000604AE"/>
    <w:rsid w:val="000605B5"/>
    <w:rsid w:val="000605F8"/>
    <w:rsid w:val="00060F66"/>
    <w:rsid w:val="000610EC"/>
    <w:rsid w:val="00061C97"/>
    <w:rsid w:val="00061CB7"/>
    <w:rsid w:val="00061F01"/>
    <w:rsid w:val="0006201E"/>
    <w:rsid w:val="000621C1"/>
    <w:rsid w:val="000626AB"/>
    <w:rsid w:val="00062728"/>
    <w:rsid w:val="00062882"/>
    <w:rsid w:val="00063083"/>
    <w:rsid w:val="00063282"/>
    <w:rsid w:val="000635FA"/>
    <w:rsid w:val="00063609"/>
    <w:rsid w:val="000637BE"/>
    <w:rsid w:val="000641EA"/>
    <w:rsid w:val="000643F2"/>
    <w:rsid w:val="000644F7"/>
    <w:rsid w:val="000645EC"/>
    <w:rsid w:val="00064619"/>
    <w:rsid w:val="0006465C"/>
    <w:rsid w:val="000646C9"/>
    <w:rsid w:val="00064CE2"/>
    <w:rsid w:val="00064E56"/>
    <w:rsid w:val="00064EA7"/>
    <w:rsid w:val="00065468"/>
    <w:rsid w:val="000654B8"/>
    <w:rsid w:val="000656B5"/>
    <w:rsid w:val="00065831"/>
    <w:rsid w:val="00065C12"/>
    <w:rsid w:val="00065CF0"/>
    <w:rsid w:val="00065D16"/>
    <w:rsid w:val="00066016"/>
    <w:rsid w:val="0006619B"/>
    <w:rsid w:val="000665AF"/>
    <w:rsid w:val="000667F1"/>
    <w:rsid w:val="00066DA2"/>
    <w:rsid w:val="00066DD2"/>
    <w:rsid w:val="00066DF9"/>
    <w:rsid w:val="0006743C"/>
    <w:rsid w:val="0006750A"/>
    <w:rsid w:val="000675BE"/>
    <w:rsid w:val="00067784"/>
    <w:rsid w:val="00067952"/>
    <w:rsid w:val="00067F6A"/>
    <w:rsid w:val="000700F0"/>
    <w:rsid w:val="0007014A"/>
    <w:rsid w:val="00070599"/>
    <w:rsid w:val="00070B9F"/>
    <w:rsid w:val="00070E82"/>
    <w:rsid w:val="00070EAB"/>
    <w:rsid w:val="0007106C"/>
    <w:rsid w:val="00071829"/>
    <w:rsid w:val="000718F4"/>
    <w:rsid w:val="00071A06"/>
    <w:rsid w:val="00071B13"/>
    <w:rsid w:val="00071C16"/>
    <w:rsid w:val="00072235"/>
    <w:rsid w:val="00072A22"/>
    <w:rsid w:val="00072B7B"/>
    <w:rsid w:val="00072BE1"/>
    <w:rsid w:val="00072BE4"/>
    <w:rsid w:val="00072FAE"/>
    <w:rsid w:val="00073140"/>
    <w:rsid w:val="00073233"/>
    <w:rsid w:val="000733E5"/>
    <w:rsid w:val="000734E5"/>
    <w:rsid w:val="00073614"/>
    <w:rsid w:val="00073732"/>
    <w:rsid w:val="000738BC"/>
    <w:rsid w:val="000744A4"/>
    <w:rsid w:val="000744F6"/>
    <w:rsid w:val="000745C1"/>
    <w:rsid w:val="00074743"/>
    <w:rsid w:val="00074FF4"/>
    <w:rsid w:val="000750C7"/>
    <w:rsid w:val="00075634"/>
    <w:rsid w:val="0007596D"/>
    <w:rsid w:val="00075975"/>
    <w:rsid w:val="000759DE"/>
    <w:rsid w:val="00075AB8"/>
    <w:rsid w:val="00075B3A"/>
    <w:rsid w:val="00075D44"/>
    <w:rsid w:val="0007622E"/>
    <w:rsid w:val="0007637F"/>
    <w:rsid w:val="0007678C"/>
    <w:rsid w:val="00076F30"/>
    <w:rsid w:val="00076FF2"/>
    <w:rsid w:val="00077544"/>
    <w:rsid w:val="00077597"/>
    <w:rsid w:val="000778C3"/>
    <w:rsid w:val="00077F45"/>
    <w:rsid w:val="00080284"/>
    <w:rsid w:val="0008068D"/>
    <w:rsid w:val="000807AB"/>
    <w:rsid w:val="000807D0"/>
    <w:rsid w:val="000808E9"/>
    <w:rsid w:val="00080A98"/>
    <w:rsid w:val="00080B70"/>
    <w:rsid w:val="00080DE7"/>
    <w:rsid w:val="00080F49"/>
    <w:rsid w:val="00081707"/>
    <w:rsid w:val="000817AC"/>
    <w:rsid w:val="00081AF7"/>
    <w:rsid w:val="0008204B"/>
    <w:rsid w:val="000823DF"/>
    <w:rsid w:val="00082786"/>
    <w:rsid w:val="000828AB"/>
    <w:rsid w:val="00082983"/>
    <w:rsid w:val="00082994"/>
    <w:rsid w:val="00082B56"/>
    <w:rsid w:val="00082BE2"/>
    <w:rsid w:val="00082C9B"/>
    <w:rsid w:val="00083343"/>
    <w:rsid w:val="000833C6"/>
    <w:rsid w:val="00083516"/>
    <w:rsid w:val="000838D2"/>
    <w:rsid w:val="0008395D"/>
    <w:rsid w:val="00083F3C"/>
    <w:rsid w:val="000842E8"/>
    <w:rsid w:val="000847B2"/>
    <w:rsid w:val="000853D3"/>
    <w:rsid w:val="000857F2"/>
    <w:rsid w:val="00085A24"/>
    <w:rsid w:val="0008604B"/>
    <w:rsid w:val="00086110"/>
    <w:rsid w:val="00086167"/>
    <w:rsid w:val="0008646E"/>
    <w:rsid w:val="000865DA"/>
    <w:rsid w:val="0008681F"/>
    <w:rsid w:val="000868B5"/>
    <w:rsid w:val="00086A3C"/>
    <w:rsid w:val="00086B80"/>
    <w:rsid w:val="00086CE4"/>
    <w:rsid w:val="00086D47"/>
    <w:rsid w:val="00086DD5"/>
    <w:rsid w:val="00087203"/>
    <w:rsid w:val="000872AA"/>
    <w:rsid w:val="00087AB9"/>
    <w:rsid w:val="00087B95"/>
    <w:rsid w:val="00087F5D"/>
    <w:rsid w:val="00090166"/>
    <w:rsid w:val="00090918"/>
    <w:rsid w:val="00090A6D"/>
    <w:rsid w:val="00090AC8"/>
    <w:rsid w:val="00090CFD"/>
    <w:rsid w:val="00090EA0"/>
    <w:rsid w:val="000911FD"/>
    <w:rsid w:val="000917A9"/>
    <w:rsid w:val="0009202C"/>
    <w:rsid w:val="00092B3C"/>
    <w:rsid w:val="00092E3D"/>
    <w:rsid w:val="00092F40"/>
    <w:rsid w:val="00092F57"/>
    <w:rsid w:val="00093147"/>
    <w:rsid w:val="000933A6"/>
    <w:rsid w:val="00093646"/>
    <w:rsid w:val="00093960"/>
    <w:rsid w:val="00093AC0"/>
    <w:rsid w:val="0009419A"/>
    <w:rsid w:val="000949B2"/>
    <w:rsid w:val="00094A56"/>
    <w:rsid w:val="00095143"/>
    <w:rsid w:val="00096217"/>
    <w:rsid w:val="000962C2"/>
    <w:rsid w:val="00096E5A"/>
    <w:rsid w:val="000972EF"/>
    <w:rsid w:val="00097414"/>
    <w:rsid w:val="00097972"/>
    <w:rsid w:val="0009797E"/>
    <w:rsid w:val="00097CD6"/>
    <w:rsid w:val="00097DEE"/>
    <w:rsid w:val="000A0025"/>
    <w:rsid w:val="000A00E5"/>
    <w:rsid w:val="000A03C2"/>
    <w:rsid w:val="000A03DE"/>
    <w:rsid w:val="000A05CF"/>
    <w:rsid w:val="000A0DA8"/>
    <w:rsid w:val="000A10F9"/>
    <w:rsid w:val="000A12CE"/>
    <w:rsid w:val="000A1394"/>
    <w:rsid w:val="000A1498"/>
    <w:rsid w:val="000A2223"/>
    <w:rsid w:val="000A2326"/>
    <w:rsid w:val="000A2365"/>
    <w:rsid w:val="000A27A6"/>
    <w:rsid w:val="000A27FC"/>
    <w:rsid w:val="000A2A01"/>
    <w:rsid w:val="000A2B03"/>
    <w:rsid w:val="000A2C71"/>
    <w:rsid w:val="000A310E"/>
    <w:rsid w:val="000A32CB"/>
    <w:rsid w:val="000A330E"/>
    <w:rsid w:val="000A36D2"/>
    <w:rsid w:val="000A38EE"/>
    <w:rsid w:val="000A3EEC"/>
    <w:rsid w:val="000A434C"/>
    <w:rsid w:val="000A44B2"/>
    <w:rsid w:val="000A4580"/>
    <w:rsid w:val="000A45C4"/>
    <w:rsid w:val="000A4827"/>
    <w:rsid w:val="000A4958"/>
    <w:rsid w:val="000A49FD"/>
    <w:rsid w:val="000A50AE"/>
    <w:rsid w:val="000A51FF"/>
    <w:rsid w:val="000A5A1B"/>
    <w:rsid w:val="000A61E0"/>
    <w:rsid w:val="000A643A"/>
    <w:rsid w:val="000A740E"/>
    <w:rsid w:val="000A7AB7"/>
    <w:rsid w:val="000A7B7B"/>
    <w:rsid w:val="000A7EDA"/>
    <w:rsid w:val="000B03A7"/>
    <w:rsid w:val="000B0423"/>
    <w:rsid w:val="000B0440"/>
    <w:rsid w:val="000B05C1"/>
    <w:rsid w:val="000B090D"/>
    <w:rsid w:val="000B0B03"/>
    <w:rsid w:val="000B1513"/>
    <w:rsid w:val="000B16D5"/>
    <w:rsid w:val="000B1CFA"/>
    <w:rsid w:val="000B24D4"/>
    <w:rsid w:val="000B2563"/>
    <w:rsid w:val="000B2A68"/>
    <w:rsid w:val="000B2E48"/>
    <w:rsid w:val="000B2EC8"/>
    <w:rsid w:val="000B3076"/>
    <w:rsid w:val="000B337C"/>
    <w:rsid w:val="000B3456"/>
    <w:rsid w:val="000B352C"/>
    <w:rsid w:val="000B3E71"/>
    <w:rsid w:val="000B4522"/>
    <w:rsid w:val="000B486D"/>
    <w:rsid w:val="000B490B"/>
    <w:rsid w:val="000B4B31"/>
    <w:rsid w:val="000B4C9D"/>
    <w:rsid w:val="000B4FC2"/>
    <w:rsid w:val="000B5117"/>
    <w:rsid w:val="000B521D"/>
    <w:rsid w:val="000B528D"/>
    <w:rsid w:val="000B5324"/>
    <w:rsid w:val="000B58BA"/>
    <w:rsid w:val="000B5ED8"/>
    <w:rsid w:val="000B5FAB"/>
    <w:rsid w:val="000B64F5"/>
    <w:rsid w:val="000B7370"/>
    <w:rsid w:val="000B79BC"/>
    <w:rsid w:val="000C00C0"/>
    <w:rsid w:val="000C0110"/>
    <w:rsid w:val="000C0259"/>
    <w:rsid w:val="000C0318"/>
    <w:rsid w:val="000C060E"/>
    <w:rsid w:val="000C0780"/>
    <w:rsid w:val="000C09AF"/>
    <w:rsid w:val="000C0BB0"/>
    <w:rsid w:val="000C0C1B"/>
    <w:rsid w:val="000C155A"/>
    <w:rsid w:val="000C15CB"/>
    <w:rsid w:val="000C17CC"/>
    <w:rsid w:val="000C1868"/>
    <w:rsid w:val="000C1A2F"/>
    <w:rsid w:val="000C1B74"/>
    <w:rsid w:val="000C1BA7"/>
    <w:rsid w:val="000C1D4D"/>
    <w:rsid w:val="000C1E38"/>
    <w:rsid w:val="000C23D7"/>
    <w:rsid w:val="000C3743"/>
    <w:rsid w:val="000C39AF"/>
    <w:rsid w:val="000C3C11"/>
    <w:rsid w:val="000C3D34"/>
    <w:rsid w:val="000C40B1"/>
    <w:rsid w:val="000C428F"/>
    <w:rsid w:val="000C4810"/>
    <w:rsid w:val="000C4914"/>
    <w:rsid w:val="000C4CC4"/>
    <w:rsid w:val="000C4DEB"/>
    <w:rsid w:val="000C4FAE"/>
    <w:rsid w:val="000C545B"/>
    <w:rsid w:val="000C5484"/>
    <w:rsid w:val="000C54EA"/>
    <w:rsid w:val="000C580C"/>
    <w:rsid w:val="000C5959"/>
    <w:rsid w:val="000C59C3"/>
    <w:rsid w:val="000C5D97"/>
    <w:rsid w:val="000C5F2C"/>
    <w:rsid w:val="000C6132"/>
    <w:rsid w:val="000C621A"/>
    <w:rsid w:val="000C6514"/>
    <w:rsid w:val="000C66F0"/>
    <w:rsid w:val="000C67BC"/>
    <w:rsid w:val="000C68CA"/>
    <w:rsid w:val="000C70D4"/>
    <w:rsid w:val="000C777D"/>
    <w:rsid w:val="000C77FF"/>
    <w:rsid w:val="000C7B2B"/>
    <w:rsid w:val="000C7BDA"/>
    <w:rsid w:val="000C7C8C"/>
    <w:rsid w:val="000C7D6D"/>
    <w:rsid w:val="000C7DE5"/>
    <w:rsid w:val="000D0011"/>
    <w:rsid w:val="000D0456"/>
    <w:rsid w:val="000D04CF"/>
    <w:rsid w:val="000D05FB"/>
    <w:rsid w:val="000D0601"/>
    <w:rsid w:val="000D0CA4"/>
    <w:rsid w:val="000D198A"/>
    <w:rsid w:val="000D1F83"/>
    <w:rsid w:val="000D247E"/>
    <w:rsid w:val="000D24EA"/>
    <w:rsid w:val="000D2C96"/>
    <w:rsid w:val="000D2EFE"/>
    <w:rsid w:val="000D3115"/>
    <w:rsid w:val="000D3681"/>
    <w:rsid w:val="000D3D82"/>
    <w:rsid w:val="000D40B0"/>
    <w:rsid w:val="000D4503"/>
    <w:rsid w:val="000D5DA4"/>
    <w:rsid w:val="000D629E"/>
    <w:rsid w:val="000D63BB"/>
    <w:rsid w:val="000D6AEF"/>
    <w:rsid w:val="000D70C3"/>
    <w:rsid w:val="000D7163"/>
    <w:rsid w:val="000D7250"/>
    <w:rsid w:val="000D765A"/>
    <w:rsid w:val="000D7B10"/>
    <w:rsid w:val="000E0728"/>
    <w:rsid w:val="000E07D5"/>
    <w:rsid w:val="000E0D62"/>
    <w:rsid w:val="000E0D86"/>
    <w:rsid w:val="000E16A7"/>
    <w:rsid w:val="000E189C"/>
    <w:rsid w:val="000E192E"/>
    <w:rsid w:val="000E197C"/>
    <w:rsid w:val="000E21D6"/>
    <w:rsid w:val="000E240F"/>
    <w:rsid w:val="000E253C"/>
    <w:rsid w:val="000E2558"/>
    <w:rsid w:val="000E265A"/>
    <w:rsid w:val="000E2B08"/>
    <w:rsid w:val="000E2BA9"/>
    <w:rsid w:val="000E2DAD"/>
    <w:rsid w:val="000E2FEC"/>
    <w:rsid w:val="000E365F"/>
    <w:rsid w:val="000E3660"/>
    <w:rsid w:val="000E3875"/>
    <w:rsid w:val="000E3AE3"/>
    <w:rsid w:val="000E3CFF"/>
    <w:rsid w:val="000E3D42"/>
    <w:rsid w:val="000E4043"/>
    <w:rsid w:val="000E4590"/>
    <w:rsid w:val="000E4993"/>
    <w:rsid w:val="000E4A1E"/>
    <w:rsid w:val="000E4B0E"/>
    <w:rsid w:val="000E4B77"/>
    <w:rsid w:val="000E5336"/>
    <w:rsid w:val="000E5468"/>
    <w:rsid w:val="000E555A"/>
    <w:rsid w:val="000E56B8"/>
    <w:rsid w:val="000E64E9"/>
    <w:rsid w:val="000E6CBA"/>
    <w:rsid w:val="000E6F7E"/>
    <w:rsid w:val="000E73B6"/>
    <w:rsid w:val="000F00BF"/>
    <w:rsid w:val="000F0262"/>
    <w:rsid w:val="000F030B"/>
    <w:rsid w:val="000F035A"/>
    <w:rsid w:val="000F0735"/>
    <w:rsid w:val="000F0960"/>
    <w:rsid w:val="000F0A12"/>
    <w:rsid w:val="000F0A83"/>
    <w:rsid w:val="000F1258"/>
    <w:rsid w:val="000F127D"/>
    <w:rsid w:val="000F12E0"/>
    <w:rsid w:val="000F15FB"/>
    <w:rsid w:val="000F16AA"/>
    <w:rsid w:val="000F16F8"/>
    <w:rsid w:val="000F188B"/>
    <w:rsid w:val="000F1C50"/>
    <w:rsid w:val="000F1C6A"/>
    <w:rsid w:val="000F1F68"/>
    <w:rsid w:val="000F2617"/>
    <w:rsid w:val="000F26B5"/>
    <w:rsid w:val="000F2983"/>
    <w:rsid w:val="000F2B50"/>
    <w:rsid w:val="000F2E34"/>
    <w:rsid w:val="000F35B4"/>
    <w:rsid w:val="000F397A"/>
    <w:rsid w:val="000F3B73"/>
    <w:rsid w:val="000F3D5C"/>
    <w:rsid w:val="000F3EF3"/>
    <w:rsid w:val="000F3FDA"/>
    <w:rsid w:val="000F4619"/>
    <w:rsid w:val="000F4688"/>
    <w:rsid w:val="000F4704"/>
    <w:rsid w:val="000F4719"/>
    <w:rsid w:val="000F48BD"/>
    <w:rsid w:val="000F4993"/>
    <w:rsid w:val="000F49C0"/>
    <w:rsid w:val="000F4BC2"/>
    <w:rsid w:val="000F508B"/>
    <w:rsid w:val="000F50D0"/>
    <w:rsid w:val="000F5427"/>
    <w:rsid w:val="000F6058"/>
    <w:rsid w:val="000F61B1"/>
    <w:rsid w:val="000F6794"/>
    <w:rsid w:val="000F6853"/>
    <w:rsid w:val="000F6B33"/>
    <w:rsid w:val="000F70C2"/>
    <w:rsid w:val="000F7243"/>
    <w:rsid w:val="000F739A"/>
    <w:rsid w:val="000F7820"/>
    <w:rsid w:val="000F7B39"/>
    <w:rsid w:val="000F7EC4"/>
    <w:rsid w:val="000F7F23"/>
    <w:rsid w:val="0010079E"/>
    <w:rsid w:val="00100B57"/>
    <w:rsid w:val="001011B2"/>
    <w:rsid w:val="001013DD"/>
    <w:rsid w:val="0010169C"/>
    <w:rsid w:val="001019BF"/>
    <w:rsid w:val="00101BBB"/>
    <w:rsid w:val="00101EF6"/>
    <w:rsid w:val="00102313"/>
    <w:rsid w:val="00102371"/>
    <w:rsid w:val="00102515"/>
    <w:rsid w:val="00102566"/>
    <w:rsid w:val="0010283B"/>
    <w:rsid w:val="001031E2"/>
    <w:rsid w:val="001034AA"/>
    <w:rsid w:val="00103BB8"/>
    <w:rsid w:val="00103CB4"/>
    <w:rsid w:val="00103DFB"/>
    <w:rsid w:val="00103EEE"/>
    <w:rsid w:val="00104024"/>
    <w:rsid w:val="00104102"/>
    <w:rsid w:val="0010429F"/>
    <w:rsid w:val="00104573"/>
    <w:rsid w:val="00104D72"/>
    <w:rsid w:val="00105038"/>
    <w:rsid w:val="001053F7"/>
    <w:rsid w:val="00105682"/>
    <w:rsid w:val="00105755"/>
    <w:rsid w:val="00105D19"/>
    <w:rsid w:val="0010610E"/>
    <w:rsid w:val="001063BA"/>
    <w:rsid w:val="00106841"/>
    <w:rsid w:val="00106956"/>
    <w:rsid w:val="00106959"/>
    <w:rsid w:val="00106E59"/>
    <w:rsid w:val="00107553"/>
    <w:rsid w:val="00107658"/>
    <w:rsid w:val="001076E2"/>
    <w:rsid w:val="001079A5"/>
    <w:rsid w:val="00107BDA"/>
    <w:rsid w:val="00107C75"/>
    <w:rsid w:val="00107E9F"/>
    <w:rsid w:val="00110349"/>
    <w:rsid w:val="0011060F"/>
    <w:rsid w:val="001112B8"/>
    <w:rsid w:val="0011138B"/>
    <w:rsid w:val="0011191E"/>
    <w:rsid w:val="00111976"/>
    <w:rsid w:val="00111C85"/>
    <w:rsid w:val="00111E9F"/>
    <w:rsid w:val="0011210D"/>
    <w:rsid w:val="00112135"/>
    <w:rsid w:val="001128A5"/>
    <w:rsid w:val="00112E85"/>
    <w:rsid w:val="00113083"/>
    <w:rsid w:val="00113A7C"/>
    <w:rsid w:val="00113ECB"/>
    <w:rsid w:val="0011418D"/>
    <w:rsid w:val="001142BF"/>
    <w:rsid w:val="001142FF"/>
    <w:rsid w:val="00114413"/>
    <w:rsid w:val="001146F8"/>
    <w:rsid w:val="0011470F"/>
    <w:rsid w:val="00114721"/>
    <w:rsid w:val="001156EF"/>
    <w:rsid w:val="00115AF6"/>
    <w:rsid w:val="00115B54"/>
    <w:rsid w:val="00115E3C"/>
    <w:rsid w:val="00116260"/>
    <w:rsid w:val="00116847"/>
    <w:rsid w:val="001172AB"/>
    <w:rsid w:val="00117ED5"/>
    <w:rsid w:val="00117ED7"/>
    <w:rsid w:val="001205FC"/>
    <w:rsid w:val="00120708"/>
    <w:rsid w:val="00120980"/>
    <w:rsid w:val="00120D94"/>
    <w:rsid w:val="001212C3"/>
    <w:rsid w:val="00121344"/>
    <w:rsid w:val="001214C5"/>
    <w:rsid w:val="0012184B"/>
    <w:rsid w:val="001219C1"/>
    <w:rsid w:val="00121C33"/>
    <w:rsid w:val="00121D10"/>
    <w:rsid w:val="00122177"/>
    <w:rsid w:val="00122253"/>
    <w:rsid w:val="001223BF"/>
    <w:rsid w:val="001225B6"/>
    <w:rsid w:val="001233B1"/>
    <w:rsid w:val="00123563"/>
    <w:rsid w:val="00123B34"/>
    <w:rsid w:val="00123CDF"/>
    <w:rsid w:val="00123EBC"/>
    <w:rsid w:val="00123EC4"/>
    <w:rsid w:val="00124077"/>
    <w:rsid w:val="00124462"/>
    <w:rsid w:val="00124602"/>
    <w:rsid w:val="0012489B"/>
    <w:rsid w:val="00124BEE"/>
    <w:rsid w:val="00124D68"/>
    <w:rsid w:val="001251A3"/>
    <w:rsid w:val="0012529C"/>
    <w:rsid w:val="0012542F"/>
    <w:rsid w:val="00125447"/>
    <w:rsid w:val="00125478"/>
    <w:rsid w:val="00125685"/>
    <w:rsid w:val="0012587A"/>
    <w:rsid w:val="00125999"/>
    <w:rsid w:val="00125B4E"/>
    <w:rsid w:val="00125D9A"/>
    <w:rsid w:val="00125F02"/>
    <w:rsid w:val="00125FD5"/>
    <w:rsid w:val="00126111"/>
    <w:rsid w:val="00126A3F"/>
    <w:rsid w:val="00127858"/>
    <w:rsid w:val="001279A2"/>
    <w:rsid w:val="001302D7"/>
    <w:rsid w:val="00130AAF"/>
    <w:rsid w:val="00130B2C"/>
    <w:rsid w:val="00130DC9"/>
    <w:rsid w:val="00130E19"/>
    <w:rsid w:val="00131292"/>
    <w:rsid w:val="0013158F"/>
    <w:rsid w:val="0013176D"/>
    <w:rsid w:val="001317C2"/>
    <w:rsid w:val="00131832"/>
    <w:rsid w:val="00131B06"/>
    <w:rsid w:val="0013209C"/>
    <w:rsid w:val="001321CE"/>
    <w:rsid w:val="00132552"/>
    <w:rsid w:val="001325FA"/>
    <w:rsid w:val="00132925"/>
    <w:rsid w:val="0013297B"/>
    <w:rsid w:val="00133123"/>
    <w:rsid w:val="00133408"/>
    <w:rsid w:val="00133CB5"/>
    <w:rsid w:val="00134068"/>
    <w:rsid w:val="00134104"/>
    <w:rsid w:val="00134249"/>
    <w:rsid w:val="001342A2"/>
    <w:rsid w:val="0013451A"/>
    <w:rsid w:val="001345AF"/>
    <w:rsid w:val="00134698"/>
    <w:rsid w:val="0013479F"/>
    <w:rsid w:val="00134BE2"/>
    <w:rsid w:val="00134E48"/>
    <w:rsid w:val="001351E4"/>
    <w:rsid w:val="00135968"/>
    <w:rsid w:val="00135DD5"/>
    <w:rsid w:val="0013684B"/>
    <w:rsid w:val="00136B25"/>
    <w:rsid w:val="00137558"/>
    <w:rsid w:val="00137A44"/>
    <w:rsid w:val="00137F43"/>
    <w:rsid w:val="00137F79"/>
    <w:rsid w:val="00140027"/>
    <w:rsid w:val="0014003C"/>
    <w:rsid w:val="00140581"/>
    <w:rsid w:val="001406A7"/>
    <w:rsid w:val="0014109C"/>
    <w:rsid w:val="0014121D"/>
    <w:rsid w:val="00141271"/>
    <w:rsid w:val="001414A9"/>
    <w:rsid w:val="001414DB"/>
    <w:rsid w:val="0014207A"/>
    <w:rsid w:val="00142968"/>
    <w:rsid w:val="00142B9F"/>
    <w:rsid w:val="0014310D"/>
    <w:rsid w:val="001432EB"/>
    <w:rsid w:val="001435BD"/>
    <w:rsid w:val="001435E3"/>
    <w:rsid w:val="0014370F"/>
    <w:rsid w:val="00143717"/>
    <w:rsid w:val="00143B38"/>
    <w:rsid w:val="00143BDC"/>
    <w:rsid w:val="00143DD3"/>
    <w:rsid w:val="0014403C"/>
    <w:rsid w:val="0014431D"/>
    <w:rsid w:val="00144550"/>
    <w:rsid w:val="0014457A"/>
    <w:rsid w:val="0014481A"/>
    <w:rsid w:val="001449B9"/>
    <w:rsid w:val="00144C69"/>
    <w:rsid w:val="00145702"/>
    <w:rsid w:val="00145DC2"/>
    <w:rsid w:val="00145E16"/>
    <w:rsid w:val="00145E63"/>
    <w:rsid w:val="0014631B"/>
    <w:rsid w:val="0014675A"/>
    <w:rsid w:val="001467F8"/>
    <w:rsid w:val="00146920"/>
    <w:rsid w:val="00146B4E"/>
    <w:rsid w:val="00146C71"/>
    <w:rsid w:val="00146E03"/>
    <w:rsid w:val="00146E4F"/>
    <w:rsid w:val="00146EE0"/>
    <w:rsid w:val="00147079"/>
    <w:rsid w:val="00147606"/>
    <w:rsid w:val="0014785E"/>
    <w:rsid w:val="00147F3E"/>
    <w:rsid w:val="001500FC"/>
    <w:rsid w:val="001501F1"/>
    <w:rsid w:val="00151154"/>
    <w:rsid w:val="0015199A"/>
    <w:rsid w:val="00151AD6"/>
    <w:rsid w:val="00151DA5"/>
    <w:rsid w:val="0015224F"/>
    <w:rsid w:val="001524DC"/>
    <w:rsid w:val="001528A3"/>
    <w:rsid w:val="00152CCC"/>
    <w:rsid w:val="00153397"/>
    <w:rsid w:val="0015373C"/>
    <w:rsid w:val="00153BA2"/>
    <w:rsid w:val="00153E82"/>
    <w:rsid w:val="00154100"/>
    <w:rsid w:val="00154179"/>
    <w:rsid w:val="00154829"/>
    <w:rsid w:val="001548E0"/>
    <w:rsid w:val="0015492B"/>
    <w:rsid w:val="001549CA"/>
    <w:rsid w:val="00154F02"/>
    <w:rsid w:val="00154F52"/>
    <w:rsid w:val="001555E5"/>
    <w:rsid w:val="00155D4D"/>
    <w:rsid w:val="00155F20"/>
    <w:rsid w:val="0015613C"/>
    <w:rsid w:val="0015642E"/>
    <w:rsid w:val="00156488"/>
    <w:rsid w:val="001564A6"/>
    <w:rsid w:val="0015666D"/>
    <w:rsid w:val="00156BC9"/>
    <w:rsid w:val="00156BEC"/>
    <w:rsid w:val="0015718B"/>
    <w:rsid w:val="0015727B"/>
    <w:rsid w:val="001576BE"/>
    <w:rsid w:val="00157B78"/>
    <w:rsid w:val="00157C74"/>
    <w:rsid w:val="00160036"/>
    <w:rsid w:val="0016049C"/>
    <w:rsid w:val="0016073F"/>
    <w:rsid w:val="0016093C"/>
    <w:rsid w:val="00160B88"/>
    <w:rsid w:val="00160CF9"/>
    <w:rsid w:val="00160E17"/>
    <w:rsid w:val="00160FE3"/>
    <w:rsid w:val="001611D6"/>
    <w:rsid w:val="0016183D"/>
    <w:rsid w:val="00161893"/>
    <w:rsid w:val="00161A11"/>
    <w:rsid w:val="00161B0B"/>
    <w:rsid w:val="00161C0B"/>
    <w:rsid w:val="00161C79"/>
    <w:rsid w:val="00161E4A"/>
    <w:rsid w:val="00162250"/>
    <w:rsid w:val="001622C5"/>
    <w:rsid w:val="001622E0"/>
    <w:rsid w:val="00162629"/>
    <w:rsid w:val="0016276C"/>
    <w:rsid w:val="0016280B"/>
    <w:rsid w:val="001632D4"/>
    <w:rsid w:val="001633C6"/>
    <w:rsid w:val="001636C9"/>
    <w:rsid w:val="00163944"/>
    <w:rsid w:val="00163A15"/>
    <w:rsid w:val="00163D83"/>
    <w:rsid w:val="00163EEB"/>
    <w:rsid w:val="00163EFA"/>
    <w:rsid w:val="001645C1"/>
    <w:rsid w:val="0016491D"/>
    <w:rsid w:val="00164C54"/>
    <w:rsid w:val="00164C60"/>
    <w:rsid w:val="00164DF7"/>
    <w:rsid w:val="00165036"/>
    <w:rsid w:val="00165075"/>
    <w:rsid w:val="001651B9"/>
    <w:rsid w:val="00165224"/>
    <w:rsid w:val="001652C7"/>
    <w:rsid w:val="001653B6"/>
    <w:rsid w:val="00165B0A"/>
    <w:rsid w:val="00165E61"/>
    <w:rsid w:val="00165F5B"/>
    <w:rsid w:val="00166392"/>
    <w:rsid w:val="0016660B"/>
    <w:rsid w:val="001667B3"/>
    <w:rsid w:val="00166AF2"/>
    <w:rsid w:val="00167042"/>
    <w:rsid w:val="00167208"/>
    <w:rsid w:val="001679D3"/>
    <w:rsid w:val="0017040F"/>
    <w:rsid w:val="00170491"/>
    <w:rsid w:val="0017051F"/>
    <w:rsid w:val="0017075B"/>
    <w:rsid w:val="00170BF3"/>
    <w:rsid w:val="001717AF"/>
    <w:rsid w:val="00171E53"/>
    <w:rsid w:val="001721B5"/>
    <w:rsid w:val="00172525"/>
    <w:rsid w:val="001726B3"/>
    <w:rsid w:val="00172F23"/>
    <w:rsid w:val="00173296"/>
    <w:rsid w:val="0017365B"/>
    <w:rsid w:val="0017368F"/>
    <w:rsid w:val="001736FF"/>
    <w:rsid w:val="0017391C"/>
    <w:rsid w:val="00173FC4"/>
    <w:rsid w:val="0017425C"/>
    <w:rsid w:val="00174290"/>
    <w:rsid w:val="00174E02"/>
    <w:rsid w:val="00174E3E"/>
    <w:rsid w:val="00174F43"/>
    <w:rsid w:val="00175462"/>
    <w:rsid w:val="0017569F"/>
    <w:rsid w:val="00175763"/>
    <w:rsid w:val="00175C73"/>
    <w:rsid w:val="00176014"/>
    <w:rsid w:val="001762D5"/>
    <w:rsid w:val="00176B9F"/>
    <w:rsid w:val="00176BF1"/>
    <w:rsid w:val="00177101"/>
    <w:rsid w:val="001774BC"/>
    <w:rsid w:val="001800E6"/>
    <w:rsid w:val="001802C0"/>
    <w:rsid w:val="00180A5D"/>
    <w:rsid w:val="00180AB8"/>
    <w:rsid w:val="00180BCF"/>
    <w:rsid w:val="00180C03"/>
    <w:rsid w:val="00181236"/>
    <w:rsid w:val="00181311"/>
    <w:rsid w:val="00181906"/>
    <w:rsid w:val="00181B37"/>
    <w:rsid w:val="00181EF6"/>
    <w:rsid w:val="00182470"/>
    <w:rsid w:val="00182C8C"/>
    <w:rsid w:val="00182CBB"/>
    <w:rsid w:val="00183532"/>
    <w:rsid w:val="001836C2"/>
    <w:rsid w:val="001836F5"/>
    <w:rsid w:val="00183C0D"/>
    <w:rsid w:val="00183D4C"/>
    <w:rsid w:val="00183EDE"/>
    <w:rsid w:val="001840C6"/>
    <w:rsid w:val="001848EA"/>
    <w:rsid w:val="00185053"/>
    <w:rsid w:val="001851F2"/>
    <w:rsid w:val="0018536D"/>
    <w:rsid w:val="00185564"/>
    <w:rsid w:val="00185E76"/>
    <w:rsid w:val="001860EB"/>
    <w:rsid w:val="00186251"/>
    <w:rsid w:val="0018646D"/>
    <w:rsid w:val="00186AF1"/>
    <w:rsid w:val="00186B4A"/>
    <w:rsid w:val="00186CF7"/>
    <w:rsid w:val="00186E1D"/>
    <w:rsid w:val="00186FB7"/>
    <w:rsid w:val="00187568"/>
    <w:rsid w:val="00187AB2"/>
    <w:rsid w:val="00187B5D"/>
    <w:rsid w:val="00187BF9"/>
    <w:rsid w:val="00187E05"/>
    <w:rsid w:val="00187EE6"/>
    <w:rsid w:val="00187FAD"/>
    <w:rsid w:val="00190C34"/>
    <w:rsid w:val="00190D44"/>
    <w:rsid w:val="00191812"/>
    <w:rsid w:val="00191BA9"/>
    <w:rsid w:val="00191BFB"/>
    <w:rsid w:val="00191C30"/>
    <w:rsid w:val="00192338"/>
    <w:rsid w:val="00192493"/>
    <w:rsid w:val="0019268C"/>
    <w:rsid w:val="0019281C"/>
    <w:rsid w:val="001928E1"/>
    <w:rsid w:val="001929B3"/>
    <w:rsid w:val="00192D8C"/>
    <w:rsid w:val="0019315A"/>
    <w:rsid w:val="001934A8"/>
    <w:rsid w:val="001939F4"/>
    <w:rsid w:val="00193B2B"/>
    <w:rsid w:val="00193FE6"/>
    <w:rsid w:val="00194A46"/>
    <w:rsid w:val="00194A83"/>
    <w:rsid w:val="00194AD4"/>
    <w:rsid w:val="00194ECB"/>
    <w:rsid w:val="00195705"/>
    <w:rsid w:val="001957D9"/>
    <w:rsid w:val="00195C23"/>
    <w:rsid w:val="00195EFF"/>
    <w:rsid w:val="001962F7"/>
    <w:rsid w:val="00196870"/>
    <w:rsid w:val="00196871"/>
    <w:rsid w:val="001971BB"/>
    <w:rsid w:val="0019727D"/>
    <w:rsid w:val="00197360"/>
    <w:rsid w:val="001974A3"/>
    <w:rsid w:val="00197D30"/>
    <w:rsid w:val="001A04F5"/>
    <w:rsid w:val="001A071A"/>
    <w:rsid w:val="001A0842"/>
    <w:rsid w:val="001A0BD8"/>
    <w:rsid w:val="001A0E0A"/>
    <w:rsid w:val="001A0E14"/>
    <w:rsid w:val="001A1054"/>
    <w:rsid w:val="001A1450"/>
    <w:rsid w:val="001A173B"/>
    <w:rsid w:val="001A1A23"/>
    <w:rsid w:val="001A1A67"/>
    <w:rsid w:val="001A2282"/>
    <w:rsid w:val="001A23A7"/>
    <w:rsid w:val="001A244F"/>
    <w:rsid w:val="001A257D"/>
    <w:rsid w:val="001A2B9E"/>
    <w:rsid w:val="001A2BEB"/>
    <w:rsid w:val="001A2C35"/>
    <w:rsid w:val="001A2D5E"/>
    <w:rsid w:val="001A2E88"/>
    <w:rsid w:val="001A36C6"/>
    <w:rsid w:val="001A4563"/>
    <w:rsid w:val="001A48CB"/>
    <w:rsid w:val="001A49AF"/>
    <w:rsid w:val="001A4A8F"/>
    <w:rsid w:val="001A4CDA"/>
    <w:rsid w:val="001A4FC6"/>
    <w:rsid w:val="001A5059"/>
    <w:rsid w:val="001A52D4"/>
    <w:rsid w:val="001A5305"/>
    <w:rsid w:val="001A5597"/>
    <w:rsid w:val="001A5812"/>
    <w:rsid w:val="001A5A0B"/>
    <w:rsid w:val="001A5B0A"/>
    <w:rsid w:val="001A5BBA"/>
    <w:rsid w:val="001A63AA"/>
    <w:rsid w:val="001A68AB"/>
    <w:rsid w:val="001A6B2A"/>
    <w:rsid w:val="001A6B94"/>
    <w:rsid w:val="001A6DCD"/>
    <w:rsid w:val="001A70FF"/>
    <w:rsid w:val="001A71BA"/>
    <w:rsid w:val="001A74CC"/>
    <w:rsid w:val="001B064C"/>
    <w:rsid w:val="001B08B8"/>
    <w:rsid w:val="001B0953"/>
    <w:rsid w:val="001B0BCC"/>
    <w:rsid w:val="001B0D97"/>
    <w:rsid w:val="001B14B6"/>
    <w:rsid w:val="001B1D77"/>
    <w:rsid w:val="001B27DF"/>
    <w:rsid w:val="001B2B00"/>
    <w:rsid w:val="001B2BB3"/>
    <w:rsid w:val="001B2DC3"/>
    <w:rsid w:val="001B2E66"/>
    <w:rsid w:val="001B3111"/>
    <w:rsid w:val="001B3525"/>
    <w:rsid w:val="001B365F"/>
    <w:rsid w:val="001B382A"/>
    <w:rsid w:val="001B3E05"/>
    <w:rsid w:val="001B3E07"/>
    <w:rsid w:val="001B402B"/>
    <w:rsid w:val="001B406D"/>
    <w:rsid w:val="001B41DB"/>
    <w:rsid w:val="001B4368"/>
    <w:rsid w:val="001B43CE"/>
    <w:rsid w:val="001B456B"/>
    <w:rsid w:val="001B486C"/>
    <w:rsid w:val="001B490C"/>
    <w:rsid w:val="001B49C1"/>
    <w:rsid w:val="001B5380"/>
    <w:rsid w:val="001B54F6"/>
    <w:rsid w:val="001B6347"/>
    <w:rsid w:val="001B648C"/>
    <w:rsid w:val="001B652A"/>
    <w:rsid w:val="001B65E4"/>
    <w:rsid w:val="001B7097"/>
    <w:rsid w:val="001B71D3"/>
    <w:rsid w:val="001B762D"/>
    <w:rsid w:val="001B795A"/>
    <w:rsid w:val="001B79BF"/>
    <w:rsid w:val="001C009C"/>
    <w:rsid w:val="001C01B4"/>
    <w:rsid w:val="001C0607"/>
    <w:rsid w:val="001C0ACB"/>
    <w:rsid w:val="001C0BA3"/>
    <w:rsid w:val="001C0E7D"/>
    <w:rsid w:val="001C0F03"/>
    <w:rsid w:val="001C10BB"/>
    <w:rsid w:val="001C10E0"/>
    <w:rsid w:val="001C145C"/>
    <w:rsid w:val="001C197A"/>
    <w:rsid w:val="001C1A0B"/>
    <w:rsid w:val="001C1AE1"/>
    <w:rsid w:val="001C285E"/>
    <w:rsid w:val="001C3221"/>
    <w:rsid w:val="001C333E"/>
    <w:rsid w:val="001C353B"/>
    <w:rsid w:val="001C3FB0"/>
    <w:rsid w:val="001C4294"/>
    <w:rsid w:val="001C4343"/>
    <w:rsid w:val="001C450A"/>
    <w:rsid w:val="001C4AB3"/>
    <w:rsid w:val="001C508C"/>
    <w:rsid w:val="001C5538"/>
    <w:rsid w:val="001C597A"/>
    <w:rsid w:val="001C5A1F"/>
    <w:rsid w:val="001C5A49"/>
    <w:rsid w:val="001C5B23"/>
    <w:rsid w:val="001C5B45"/>
    <w:rsid w:val="001C5DCC"/>
    <w:rsid w:val="001C5E77"/>
    <w:rsid w:val="001C5F49"/>
    <w:rsid w:val="001C5FFE"/>
    <w:rsid w:val="001C60D5"/>
    <w:rsid w:val="001C672D"/>
    <w:rsid w:val="001C6F68"/>
    <w:rsid w:val="001C705B"/>
    <w:rsid w:val="001C7322"/>
    <w:rsid w:val="001C7A9A"/>
    <w:rsid w:val="001C7BB5"/>
    <w:rsid w:val="001C7DD3"/>
    <w:rsid w:val="001D050B"/>
    <w:rsid w:val="001D08A0"/>
    <w:rsid w:val="001D08AB"/>
    <w:rsid w:val="001D14E7"/>
    <w:rsid w:val="001D17A9"/>
    <w:rsid w:val="001D1F25"/>
    <w:rsid w:val="001D23CB"/>
    <w:rsid w:val="001D287F"/>
    <w:rsid w:val="001D2C4D"/>
    <w:rsid w:val="001D34C2"/>
    <w:rsid w:val="001D3761"/>
    <w:rsid w:val="001D3780"/>
    <w:rsid w:val="001D38B5"/>
    <w:rsid w:val="001D39FB"/>
    <w:rsid w:val="001D3A41"/>
    <w:rsid w:val="001D3E43"/>
    <w:rsid w:val="001D3E92"/>
    <w:rsid w:val="001D3F41"/>
    <w:rsid w:val="001D3FDF"/>
    <w:rsid w:val="001D53FB"/>
    <w:rsid w:val="001D5682"/>
    <w:rsid w:val="001D5FEF"/>
    <w:rsid w:val="001D60F2"/>
    <w:rsid w:val="001D67B4"/>
    <w:rsid w:val="001D6950"/>
    <w:rsid w:val="001D6E14"/>
    <w:rsid w:val="001D76C8"/>
    <w:rsid w:val="001E08F7"/>
    <w:rsid w:val="001E09EC"/>
    <w:rsid w:val="001E0B9B"/>
    <w:rsid w:val="001E0FF1"/>
    <w:rsid w:val="001E1117"/>
    <w:rsid w:val="001E15A5"/>
    <w:rsid w:val="001E1664"/>
    <w:rsid w:val="001E173F"/>
    <w:rsid w:val="001E17B0"/>
    <w:rsid w:val="001E181A"/>
    <w:rsid w:val="001E1A1A"/>
    <w:rsid w:val="001E1B59"/>
    <w:rsid w:val="001E1E71"/>
    <w:rsid w:val="001E1EA5"/>
    <w:rsid w:val="001E1F4E"/>
    <w:rsid w:val="001E247D"/>
    <w:rsid w:val="001E2A01"/>
    <w:rsid w:val="001E2A81"/>
    <w:rsid w:val="001E2E59"/>
    <w:rsid w:val="001E2E83"/>
    <w:rsid w:val="001E308F"/>
    <w:rsid w:val="001E3137"/>
    <w:rsid w:val="001E3726"/>
    <w:rsid w:val="001E378D"/>
    <w:rsid w:val="001E43AE"/>
    <w:rsid w:val="001E4E9A"/>
    <w:rsid w:val="001E5289"/>
    <w:rsid w:val="001E54E0"/>
    <w:rsid w:val="001E595F"/>
    <w:rsid w:val="001E59D7"/>
    <w:rsid w:val="001E5A87"/>
    <w:rsid w:val="001E601F"/>
    <w:rsid w:val="001E6020"/>
    <w:rsid w:val="001E6132"/>
    <w:rsid w:val="001E63F2"/>
    <w:rsid w:val="001E66C9"/>
    <w:rsid w:val="001E682C"/>
    <w:rsid w:val="001E6858"/>
    <w:rsid w:val="001E68CC"/>
    <w:rsid w:val="001E69AB"/>
    <w:rsid w:val="001E7652"/>
    <w:rsid w:val="001E76A6"/>
    <w:rsid w:val="001F0259"/>
    <w:rsid w:val="001F04B9"/>
    <w:rsid w:val="001F0633"/>
    <w:rsid w:val="001F0BBC"/>
    <w:rsid w:val="001F15B2"/>
    <w:rsid w:val="001F17F3"/>
    <w:rsid w:val="001F1B70"/>
    <w:rsid w:val="001F200C"/>
    <w:rsid w:val="001F2221"/>
    <w:rsid w:val="001F27CF"/>
    <w:rsid w:val="001F30E7"/>
    <w:rsid w:val="001F3857"/>
    <w:rsid w:val="001F40B2"/>
    <w:rsid w:val="001F41C1"/>
    <w:rsid w:val="001F43B8"/>
    <w:rsid w:val="001F4574"/>
    <w:rsid w:val="001F4855"/>
    <w:rsid w:val="001F4E0C"/>
    <w:rsid w:val="001F5009"/>
    <w:rsid w:val="001F5106"/>
    <w:rsid w:val="001F523D"/>
    <w:rsid w:val="001F530C"/>
    <w:rsid w:val="001F5516"/>
    <w:rsid w:val="001F5731"/>
    <w:rsid w:val="001F589B"/>
    <w:rsid w:val="001F5AB0"/>
    <w:rsid w:val="001F5F09"/>
    <w:rsid w:val="001F5F0F"/>
    <w:rsid w:val="001F5F98"/>
    <w:rsid w:val="001F623B"/>
    <w:rsid w:val="001F639B"/>
    <w:rsid w:val="001F6821"/>
    <w:rsid w:val="001F70AD"/>
    <w:rsid w:val="001F70E7"/>
    <w:rsid w:val="001F7191"/>
    <w:rsid w:val="001F74D3"/>
    <w:rsid w:val="001F76B7"/>
    <w:rsid w:val="001F79E2"/>
    <w:rsid w:val="001F7DED"/>
    <w:rsid w:val="001F7EAB"/>
    <w:rsid w:val="002000F5"/>
    <w:rsid w:val="002000FF"/>
    <w:rsid w:val="00200532"/>
    <w:rsid w:val="00200680"/>
    <w:rsid w:val="00200C1B"/>
    <w:rsid w:val="002012AE"/>
    <w:rsid w:val="0020133C"/>
    <w:rsid w:val="00201496"/>
    <w:rsid w:val="0020279F"/>
    <w:rsid w:val="00202990"/>
    <w:rsid w:val="00202D5E"/>
    <w:rsid w:val="00203595"/>
    <w:rsid w:val="0020372C"/>
    <w:rsid w:val="002038C4"/>
    <w:rsid w:val="00203D13"/>
    <w:rsid w:val="002043E1"/>
    <w:rsid w:val="0020452D"/>
    <w:rsid w:val="00204CDF"/>
    <w:rsid w:val="002052F5"/>
    <w:rsid w:val="0020559C"/>
    <w:rsid w:val="00205964"/>
    <w:rsid w:val="00205EC0"/>
    <w:rsid w:val="00205EC1"/>
    <w:rsid w:val="00206949"/>
    <w:rsid w:val="00206C8B"/>
    <w:rsid w:val="00206CBC"/>
    <w:rsid w:val="002071D8"/>
    <w:rsid w:val="0020749E"/>
    <w:rsid w:val="00207A9A"/>
    <w:rsid w:val="00207ADD"/>
    <w:rsid w:val="00207B20"/>
    <w:rsid w:val="00207BC8"/>
    <w:rsid w:val="00207F57"/>
    <w:rsid w:val="0021002C"/>
    <w:rsid w:val="0021005B"/>
    <w:rsid w:val="00210147"/>
    <w:rsid w:val="002104AD"/>
    <w:rsid w:val="002105C3"/>
    <w:rsid w:val="002108DC"/>
    <w:rsid w:val="0021090B"/>
    <w:rsid w:val="00210A1A"/>
    <w:rsid w:val="00210F9E"/>
    <w:rsid w:val="00211014"/>
    <w:rsid w:val="0021142E"/>
    <w:rsid w:val="00211696"/>
    <w:rsid w:val="00211887"/>
    <w:rsid w:val="00211905"/>
    <w:rsid w:val="00211918"/>
    <w:rsid w:val="00211B65"/>
    <w:rsid w:val="00211D6D"/>
    <w:rsid w:val="00212050"/>
    <w:rsid w:val="002123C4"/>
    <w:rsid w:val="002126BD"/>
    <w:rsid w:val="002129E5"/>
    <w:rsid w:val="00212A22"/>
    <w:rsid w:val="00212A4D"/>
    <w:rsid w:val="00213157"/>
    <w:rsid w:val="00213261"/>
    <w:rsid w:val="0021326F"/>
    <w:rsid w:val="00213532"/>
    <w:rsid w:val="002136AD"/>
    <w:rsid w:val="0021370F"/>
    <w:rsid w:val="00213802"/>
    <w:rsid w:val="00213B94"/>
    <w:rsid w:val="00213BB7"/>
    <w:rsid w:val="00213DD6"/>
    <w:rsid w:val="00214925"/>
    <w:rsid w:val="00214950"/>
    <w:rsid w:val="0021517F"/>
    <w:rsid w:val="002152A7"/>
    <w:rsid w:val="00215849"/>
    <w:rsid w:val="0021618A"/>
    <w:rsid w:val="0021625B"/>
    <w:rsid w:val="00216713"/>
    <w:rsid w:val="00216A23"/>
    <w:rsid w:val="00216A93"/>
    <w:rsid w:val="00216B6A"/>
    <w:rsid w:val="00216B8A"/>
    <w:rsid w:val="00216CEB"/>
    <w:rsid w:val="00217073"/>
    <w:rsid w:val="00217133"/>
    <w:rsid w:val="0021727D"/>
    <w:rsid w:val="00217452"/>
    <w:rsid w:val="002175C7"/>
    <w:rsid w:val="002179F5"/>
    <w:rsid w:val="00217C09"/>
    <w:rsid w:val="00217C68"/>
    <w:rsid w:val="00217D7B"/>
    <w:rsid w:val="00217E9C"/>
    <w:rsid w:val="0022040E"/>
    <w:rsid w:val="0022075C"/>
    <w:rsid w:val="00220D2D"/>
    <w:rsid w:val="00220D96"/>
    <w:rsid w:val="002211E2"/>
    <w:rsid w:val="002214EE"/>
    <w:rsid w:val="00221A7C"/>
    <w:rsid w:val="00221C62"/>
    <w:rsid w:val="00221D30"/>
    <w:rsid w:val="00222166"/>
    <w:rsid w:val="00222430"/>
    <w:rsid w:val="0022258B"/>
    <w:rsid w:val="00222780"/>
    <w:rsid w:val="00222BC9"/>
    <w:rsid w:val="0022325A"/>
    <w:rsid w:val="002232C2"/>
    <w:rsid w:val="00223634"/>
    <w:rsid w:val="0022376B"/>
    <w:rsid w:val="00223F4C"/>
    <w:rsid w:val="00224917"/>
    <w:rsid w:val="00224DA9"/>
    <w:rsid w:val="002251B3"/>
    <w:rsid w:val="00225533"/>
    <w:rsid w:val="0022576F"/>
    <w:rsid w:val="00225B1E"/>
    <w:rsid w:val="00225DBD"/>
    <w:rsid w:val="00226414"/>
    <w:rsid w:val="00226471"/>
    <w:rsid w:val="002269E8"/>
    <w:rsid w:val="00226DFD"/>
    <w:rsid w:val="00227032"/>
    <w:rsid w:val="00227084"/>
    <w:rsid w:val="00227209"/>
    <w:rsid w:val="0022768F"/>
    <w:rsid w:val="002276CB"/>
    <w:rsid w:val="00227875"/>
    <w:rsid w:val="00227CE5"/>
    <w:rsid w:val="00227F9A"/>
    <w:rsid w:val="002303C8"/>
    <w:rsid w:val="002303DA"/>
    <w:rsid w:val="0023043E"/>
    <w:rsid w:val="00230754"/>
    <w:rsid w:val="00230A1E"/>
    <w:rsid w:val="00230ACE"/>
    <w:rsid w:val="00230B39"/>
    <w:rsid w:val="00230FC8"/>
    <w:rsid w:val="00231078"/>
    <w:rsid w:val="002310BD"/>
    <w:rsid w:val="002310F1"/>
    <w:rsid w:val="002312A3"/>
    <w:rsid w:val="0023132A"/>
    <w:rsid w:val="00231334"/>
    <w:rsid w:val="00231345"/>
    <w:rsid w:val="002313FC"/>
    <w:rsid w:val="0023147D"/>
    <w:rsid w:val="002314F1"/>
    <w:rsid w:val="00231CFD"/>
    <w:rsid w:val="00231DB7"/>
    <w:rsid w:val="002322F1"/>
    <w:rsid w:val="0023275B"/>
    <w:rsid w:val="00233A53"/>
    <w:rsid w:val="00233AD9"/>
    <w:rsid w:val="00233B07"/>
    <w:rsid w:val="00233B0D"/>
    <w:rsid w:val="00233F70"/>
    <w:rsid w:val="002345B0"/>
    <w:rsid w:val="00234711"/>
    <w:rsid w:val="00234D9A"/>
    <w:rsid w:val="00235775"/>
    <w:rsid w:val="002357EC"/>
    <w:rsid w:val="00235A35"/>
    <w:rsid w:val="00235A51"/>
    <w:rsid w:val="00235AF2"/>
    <w:rsid w:val="00235D06"/>
    <w:rsid w:val="00236090"/>
    <w:rsid w:val="00236146"/>
    <w:rsid w:val="002361FE"/>
    <w:rsid w:val="00236327"/>
    <w:rsid w:val="00236347"/>
    <w:rsid w:val="0023648E"/>
    <w:rsid w:val="00236819"/>
    <w:rsid w:val="00236FD8"/>
    <w:rsid w:val="0023739C"/>
    <w:rsid w:val="00237493"/>
    <w:rsid w:val="002375FF"/>
    <w:rsid w:val="0023784D"/>
    <w:rsid w:val="00237EA5"/>
    <w:rsid w:val="00240098"/>
    <w:rsid w:val="00240206"/>
    <w:rsid w:val="00240238"/>
    <w:rsid w:val="002402B7"/>
    <w:rsid w:val="002402B8"/>
    <w:rsid w:val="00240552"/>
    <w:rsid w:val="0024081F"/>
    <w:rsid w:val="002410C1"/>
    <w:rsid w:val="0024119B"/>
    <w:rsid w:val="0024169A"/>
    <w:rsid w:val="00241A29"/>
    <w:rsid w:val="00241D4B"/>
    <w:rsid w:val="002420AB"/>
    <w:rsid w:val="0024214B"/>
    <w:rsid w:val="00243D3F"/>
    <w:rsid w:val="00243DC6"/>
    <w:rsid w:val="002442AA"/>
    <w:rsid w:val="0024438E"/>
    <w:rsid w:val="002447E5"/>
    <w:rsid w:val="0024498B"/>
    <w:rsid w:val="00244A67"/>
    <w:rsid w:val="0024510D"/>
    <w:rsid w:val="00245B2F"/>
    <w:rsid w:val="00245B92"/>
    <w:rsid w:val="002462C3"/>
    <w:rsid w:val="0024638A"/>
    <w:rsid w:val="002464FE"/>
    <w:rsid w:val="00246AEA"/>
    <w:rsid w:val="00246CF6"/>
    <w:rsid w:val="00246F76"/>
    <w:rsid w:val="002475CB"/>
    <w:rsid w:val="00247721"/>
    <w:rsid w:val="002479D8"/>
    <w:rsid w:val="002500DB"/>
    <w:rsid w:val="00250128"/>
    <w:rsid w:val="002501AB"/>
    <w:rsid w:val="00250439"/>
    <w:rsid w:val="002508F7"/>
    <w:rsid w:val="002515F3"/>
    <w:rsid w:val="002516A8"/>
    <w:rsid w:val="0025182E"/>
    <w:rsid w:val="00251AD8"/>
    <w:rsid w:val="00252689"/>
    <w:rsid w:val="00252869"/>
    <w:rsid w:val="00252875"/>
    <w:rsid w:val="00252C02"/>
    <w:rsid w:val="002532A1"/>
    <w:rsid w:val="002539CA"/>
    <w:rsid w:val="00253C55"/>
    <w:rsid w:val="00253ECB"/>
    <w:rsid w:val="00254304"/>
    <w:rsid w:val="0025436D"/>
    <w:rsid w:val="0025440A"/>
    <w:rsid w:val="00254C3E"/>
    <w:rsid w:val="00254E25"/>
    <w:rsid w:val="002552F3"/>
    <w:rsid w:val="00255313"/>
    <w:rsid w:val="002555E9"/>
    <w:rsid w:val="00255820"/>
    <w:rsid w:val="002558A6"/>
    <w:rsid w:val="00255BAB"/>
    <w:rsid w:val="002560D9"/>
    <w:rsid w:val="00256426"/>
    <w:rsid w:val="00256B8E"/>
    <w:rsid w:val="00256DCB"/>
    <w:rsid w:val="00257213"/>
    <w:rsid w:val="00257AAF"/>
    <w:rsid w:val="00257BBE"/>
    <w:rsid w:val="00257D82"/>
    <w:rsid w:val="00257DC7"/>
    <w:rsid w:val="00257E5F"/>
    <w:rsid w:val="002602B8"/>
    <w:rsid w:val="00260358"/>
    <w:rsid w:val="00260465"/>
    <w:rsid w:val="00260497"/>
    <w:rsid w:val="002605EA"/>
    <w:rsid w:val="0026068D"/>
    <w:rsid w:val="0026097F"/>
    <w:rsid w:val="00260E2E"/>
    <w:rsid w:val="0026133F"/>
    <w:rsid w:val="00261649"/>
    <w:rsid w:val="00261664"/>
    <w:rsid w:val="00261A3B"/>
    <w:rsid w:val="00262265"/>
    <w:rsid w:val="002623EC"/>
    <w:rsid w:val="00262B4C"/>
    <w:rsid w:val="00262ECC"/>
    <w:rsid w:val="00263040"/>
    <w:rsid w:val="002630E6"/>
    <w:rsid w:val="00263632"/>
    <w:rsid w:val="0026375B"/>
    <w:rsid w:val="00263BDB"/>
    <w:rsid w:val="00264215"/>
    <w:rsid w:val="00264605"/>
    <w:rsid w:val="002648FE"/>
    <w:rsid w:val="0026490F"/>
    <w:rsid w:val="00264B40"/>
    <w:rsid w:val="00264F33"/>
    <w:rsid w:val="00265108"/>
    <w:rsid w:val="002651FD"/>
    <w:rsid w:val="002652B7"/>
    <w:rsid w:val="0026538F"/>
    <w:rsid w:val="0026548B"/>
    <w:rsid w:val="00265492"/>
    <w:rsid w:val="00265603"/>
    <w:rsid w:val="0026568B"/>
    <w:rsid w:val="002665AC"/>
    <w:rsid w:val="00266724"/>
    <w:rsid w:val="0026674D"/>
    <w:rsid w:val="00266B3D"/>
    <w:rsid w:val="00267338"/>
    <w:rsid w:val="00267F53"/>
    <w:rsid w:val="0027053F"/>
    <w:rsid w:val="00270BA5"/>
    <w:rsid w:val="00270D71"/>
    <w:rsid w:val="002716D2"/>
    <w:rsid w:val="00272B2B"/>
    <w:rsid w:val="0027303B"/>
    <w:rsid w:val="002732FC"/>
    <w:rsid w:val="0027383A"/>
    <w:rsid w:val="00273AEB"/>
    <w:rsid w:val="00273BC5"/>
    <w:rsid w:val="00273CA3"/>
    <w:rsid w:val="00273E65"/>
    <w:rsid w:val="0027413D"/>
    <w:rsid w:val="00274335"/>
    <w:rsid w:val="002743F2"/>
    <w:rsid w:val="002744E5"/>
    <w:rsid w:val="00274A81"/>
    <w:rsid w:val="00274B43"/>
    <w:rsid w:val="00274B85"/>
    <w:rsid w:val="00275174"/>
    <w:rsid w:val="002758B2"/>
    <w:rsid w:val="00275ADF"/>
    <w:rsid w:val="00275D9B"/>
    <w:rsid w:val="00276169"/>
    <w:rsid w:val="0027617D"/>
    <w:rsid w:val="002766DF"/>
    <w:rsid w:val="00276886"/>
    <w:rsid w:val="002768FC"/>
    <w:rsid w:val="00277379"/>
    <w:rsid w:val="002773B4"/>
    <w:rsid w:val="002773EB"/>
    <w:rsid w:val="002774CF"/>
    <w:rsid w:val="00277554"/>
    <w:rsid w:val="0027755F"/>
    <w:rsid w:val="00277C1B"/>
    <w:rsid w:val="00277C34"/>
    <w:rsid w:val="00277CF9"/>
    <w:rsid w:val="00277E3D"/>
    <w:rsid w:val="00277E62"/>
    <w:rsid w:val="002805F0"/>
    <w:rsid w:val="00280642"/>
    <w:rsid w:val="00280737"/>
    <w:rsid w:val="002808D0"/>
    <w:rsid w:val="00280B05"/>
    <w:rsid w:val="00281240"/>
    <w:rsid w:val="00281F5E"/>
    <w:rsid w:val="002824A7"/>
    <w:rsid w:val="002824D3"/>
    <w:rsid w:val="00282611"/>
    <w:rsid w:val="002828CD"/>
    <w:rsid w:val="00282A07"/>
    <w:rsid w:val="00282AD6"/>
    <w:rsid w:val="00282C5A"/>
    <w:rsid w:val="00282CAB"/>
    <w:rsid w:val="00283222"/>
    <w:rsid w:val="002833BE"/>
    <w:rsid w:val="002834BF"/>
    <w:rsid w:val="00283703"/>
    <w:rsid w:val="00283899"/>
    <w:rsid w:val="002838DC"/>
    <w:rsid w:val="00284469"/>
    <w:rsid w:val="002844BE"/>
    <w:rsid w:val="0028487C"/>
    <w:rsid w:val="002849BD"/>
    <w:rsid w:val="00284BB2"/>
    <w:rsid w:val="00284D0E"/>
    <w:rsid w:val="0028524A"/>
    <w:rsid w:val="0028545E"/>
    <w:rsid w:val="00285460"/>
    <w:rsid w:val="00285FAC"/>
    <w:rsid w:val="002860B2"/>
    <w:rsid w:val="00286976"/>
    <w:rsid w:val="00286DDC"/>
    <w:rsid w:val="0028704F"/>
    <w:rsid w:val="00287171"/>
    <w:rsid w:val="0028741B"/>
    <w:rsid w:val="0028793A"/>
    <w:rsid w:val="00287A35"/>
    <w:rsid w:val="00287A55"/>
    <w:rsid w:val="00287B0C"/>
    <w:rsid w:val="00287D27"/>
    <w:rsid w:val="00287D4B"/>
    <w:rsid w:val="00287DD3"/>
    <w:rsid w:val="0029001A"/>
    <w:rsid w:val="00290246"/>
    <w:rsid w:val="0029061D"/>
    <w:rsid w:val="002908D8"/>
    <w:rsid w:val="002916D1"/>
    <w:rsid w:val="00291880"/>
    <w:rsid w:val="00291AEC"/>
    <w:rsid w:val="00291F09"/>
    <w:rsid w:val="002921E4"/>
    <w:rsid w:val="002924F6"/>
    <w:rsid w:val="002925C4"/>
    <w:rsid w:val="0029261D"/>
    <w:rsid w:val="00292764"/>
    <w:rsid w:val="0029281C"/>
    <w:rsid w:val="0029285D"/>
    <w:rsid w:val="00292A5B"/>
    <w:rsid w:val="00292C84"/>
    <w:rsid w:val="00292DFB"/>
    <w:rsid w:val="00292E74"/>
    <w:rsid w:val="00292FAE"/>
    <w:rsid w:val="002939A1"/>
    <w:rsid w:val="00293B63"/>
    <w:rsid w:val="00293B86"/>
    <w:rsid w:val="002941FB"/>
    <w:rsid w:val="00294863"/>
    <w:rsid w:val="0029487B"/>
    <w:rsid w:val="00294B57"/>
    <w:rsid w:val="00294B99"/>
    <w:rsid w:val="00294CC3"/>
    <w:rsid w:val="00294DBC"/>
    <w:rsid w:val="00295AC9"/>
    <w:rsid w:val="00295F1A"/>
    <w:rsid w:val="002962C7"/>
    <w:rsid w:val="00296B32"/>
    <w:rsid w:val="00296E87"/>
    <w:rsid w:val="00296FB2"/>
    <w:rsid w:val="00297263"/>
    <w:rsid w:val="002974C7"/>
    <w:rsid w:val="00297563"/>
    <w:rsid w:val="00297D90"/>
    <w:rsid w:val="002A01B0"/>
    <w:rsid w:val="002A0749"/>
    <w:rsid w:val="002A0BF5"/>
    <w:rsid w:val="002A0E3F"/>
    <w:rsid w:val="002A1817"/>
    <w:rsid w:val="002A1E40"/>
    <w:rsid w:val="002A1FA9"/>
    <w:rsid w:val="002A206C"/>
    <w:rsid w:val="002A20A7"/>
    <w:rsid w:val="002A2302"/>
    <w:rsid w:val="002A2C24"/>
    <w:rsid w:val="002A2DAF"/>
    <w:rsid w:val="002A311D"/>
    <w:rsid w:val="002A3485"/>
    <w:rsid w:val="002A3682"/>
    <w:rsid w:val="002A3768"/>
    <w:rsid w:val="002A3D12"/>
    <w:rsid w:val="002A3D6B"/>
    <w:rsid w:val="002A45A0"/>
    <w:rsid w:val="002A4B59"/>
    <w:rsid w:val="002A4E21"/>
    <w:rsid w:val="002A4EE4"/>
    <w:rsid w:val="002A4FD0"/>
    <w:rsid w:val="002A501E"/>
    <w:rsid w:val="002A5628"/>
    <w:rsid w:val="002A5893"/>
    <w:rsid w:val="002A5A92"/>
    <w:rsid w:val="002A5CED"/>
    <w:rsid w:val="002A5F9A"/>
    <w:rsid w:val="002A6A8D"/>
    <w:rsid w:val="002A716D"/>
    <w:rsid w:val="002A71AD"/>
    <w:rsid w:val="002A7779"/>
    <w:rsid w:val="002A78E2"/>
    <w:rsid w:val="002A7AF1"/>
    <w:rsid w:val="002A7C44"/>
    <w:rsid w:val="002A7EAA"/>
    <w:rsid w:val="002B00AB"/>
    <w:rsid w:val="002B00F5"/>
    <w:rsid w:val="002B011C"/>
    <w:rsid w:val="002B0526"/>
    <w:rsid w:val="002B0919"/>
    <w:rsid w:val="002B0D94"/>
    <w:rsid w:val="002B0FFD"/>
    <w:rsid w:val="002B135F"/>
    <w:rsid w:val="002B146C"/>
    <w:rsid w:val="002B1719"/>
    <w:rsid w:val="002B1731"/>
    <w:rsid w:val="002B1B76"/>
    <w:rsid w:val="002B1D92"/>
    <w:rsid w:val="002B1D93"/>
    <w:rsid w:val="002B1FEB"/>
    <w:rsid w:val="002B2015"/>
    <w:rsid w:val="002B2073"/>
    <w:rsid w:val="002B2107"/>
    <w:rsid w:val="002B22EB"/>
    <w:rsid w:val="002B2627"/>
    <w:rsid w:val="002B2638"/>
    <w:rsid w:val="002B2896"/>
    <w:rsid w:val="002B2AD2"/>
    <w:rsid w:val="002B2FE8"/>
    <w:rsid w:val="002B3021"/>
    <w:rsid w:val="002B31F4"/>
    <w:rsid w:val="002B33AD"/>
    <w:rsid w:val="002B34A1"/>
    <w:rsid w:val="002B35EC"/>
    <w:rsid w:val="002B390B"/>
    <w:rsid w:val="002B3D32"/>
    <w:rsid w:val="002B3FA0"/>
    <w:rsid w:val="002B4409"/>
    <w:rsid w:val="002B458D"/>
    <w:rsid w:val="002B46B7"/>
    <w:rsid w:val="002B47F2"/>
    <w:rsid w:val="002B57E2"/>
    <w:rsid w:val="002B5F2A"/>
    <w:rsid w:val="002B603B"/>
    <w:rsid w:val="002B612E"/>
    <w:rsid w:val="002B626C"/>
    <w:rsid w:val="002B657F"/>
    <w:rsid w:val="002B6618"/>
    <w:rsid w:val="002B6A04"/>
    <w:rsid w:val="002B7049"/>
    <w:rsid w:val="002B70ED"/>
    <w:rsid w:val="002B73F4"/>
    <w:rsid w:val="002B7521"/>
    <w:rsid w:val="002C020C"/>
    <w:rsid w:val="002C04FF"/>
    <w:rsid w:val="002C08CE"/>
    <w:rsid w:val="002C0D10"/>
    <w:rsid w:val="002C0D59"/>
    <w:rsid w:val="002C131A"/>
    <w:rsid w:val="002C15FA"/>
    <w:rsid w:val="002C1AD4"/>
    <w:rsid w:val="002C1C9A"/>
    <w:rsid w:val="002C219B"/>
    <w:rsid w:val="002C21F0"/>
    <w:rsid w:val="002C2876"/>
    <w:rsid w:val="002C2B49"/>
    <w:rsid w:val="002C361C"/>
    <w:rsid w:val="002C36B5"/>
    <w:rsid w:val="002C4504"/>
    <w:rsid w:val="002C4607"/>
    <w:rsid w:val="002C463F"/>
    <w:rsid w:val="002C46D1"/>
    <w:rsid w:val="002C48D0"/>
    <w:rsid w:val="002C4D23"/>
    <w:rsid w:val="002C4E3A"/>
    <w:rsid w:val="002C53D6"/>
    <w:rsid w:val="002C5AC4"/>
    <w:rsid w:val="002C5BD9"/>
    <w:rsid w:val="002C5CE3"/>
    <w:rsid w:val="002C5CE5"/>
    <w:rsid w:val="002C62CE"/>
    <w:rsid w:val="002C6316"/>
    <w:rsid w:val="002C6F37"/>
    <w:rsid w:val="002C7065"/>
    <w:rsid w:val="002C72C5"/>
    <w:rsid w:val="002C7E0E"/>
    <w:rsid w:val="002C7FF5"/>
    <w:rsid w:val="002D00EF"/>
    <w:rsid w:val="002D0280"/>
    <w:rsid w:val="002D03F2"/>
    <w:rsid w:val="002D0B0C"/>
    <w:rsid w:val="002D0C81"/>
    <w:rsid w:val="002D13F2"/>
    <w:rsid w:val="002D14E5"/>
    <w:rsid w:val="002D15BC"/>
    <w:rsid w:val="002D1EA3"/>
    <w:rsid w:val="002D225C"/>
    <w:rsid w:val="002D2351"/>
    <w:rsid w:val="002D244B"/>
    <w:rsid w:val="002D2D0A"/>
    <w:rsid w:val="002D2DB9"/>
    <w:rsid w:val="002D3986"/>
    <w:rsid w:val="002D3CC5"/>
    <w:rsid w:val="002D3CEA"/>
    <w:rsid w:val="002D3DDC"/>
    <w:rsid w:val="002D4216"/>
    <w:rsid w:val="002D42F8"/>
    <w:rsid w:val="002D4486"/>
    <w:rsid w:val="002D4961"/>
    <w:rsid w:val="002D4A96"/>
    <w:rsid w:val="002D4DF5"/>
    <w:rsid w:val="002D4F40"/>
    <w:rsid w:val="002D5335"/>
    <w:rsid w:val="002D55B7"/>
    <w:rsid w:val="002D56B3"/>
    <w:rsid w:val="002D5723"/>
    <w:rsid w:val="002D5A3C"/>
    <w:rsid w:val="002D5AD8"/>
    <w:rsid w:val="002D5ADB"/>
    <w:rsid w:val="002D6201"/>
    <w:rsid w:val="002D6737"/>
    <w:rsid w:val="002D6E66"/>
    <w:rsid w:val="002D6EA8"/>
    <w:rsid w:val="002D709F"/>
    <w:rsid w:val="002D72AE"/>
    <w:rsid w:val="002D734E"/>
    <w:rsid w:val="002D74C6"/>
    <w:rsid w:val="002D755E"/>
    <w:rsid w:val="002D7DE0"/>
    <w:rsid w:val="002D7FAA"/>
    <w:rsid w:val="002E04D0"/>
    <w:rsid w:val="002E16C6"/>
    <w:rsid w:val="002E16F7"/>
    <w:rsid w:val="002E17FA"/>
    <w:rsid w:val="002E1A0A"/>
    <w:rsid w:val="002E1F2D"/>
    <w:rsid w:val="002E291A"/>
    <w:rsid w:val="002E2A7E"/>
    <w:rsid w:val="002E2BFB"/>
    <w:rsid w:val="002E321A"/>
    <w:rsid w:val="002E3A6A"/>
    <w:rsid w:val="002E3B1D"/>
    <w:rsid w:val="002E3E90"/>
    <w:rsid w:val="002E44A7"/>
    <w:rsid w:val="002E46C3"/>
    <w:rsid w:val="002E4878"/>
    <w:rsid w:val="002E4A6C"/>
    <w:rsid w:val="002E4B78"/>
    <w:rsid w:val="002E4BBD"/>
    <w:rsid w:val="002E5122"/>
    <w:rsid w:val="002E54CA"/>
    <w:rsid w:val="002E574D"/>
    <w:rsid w:val="002E5BC9"/>
    <w:rsid w:val="002E5D27"/>
    <w:rsid w:val="002E5F87"/>
    <w:rsid w:val="002E63AC"/>
    <w:rsid w:val="002E66EA"/>
    <w:rsid w:val="002E6769"/>
    <w:rsid w:val="002E6791"/>
    <w:rsid w:val="002E6792"/>
    <w:rsid w:val="002E6BD1"/>
    <w:rsid w:val="002E6C2C"/>
    <w:rsid w:val="002E6DDC"/>
    <w:rsid w:val="002E757A"/>
    <w:rsid w:val="002E7E88"/>
    <w:rsid w:val="002F0325"/>
    <w:rsid w:val="002F0461"/>
    <w:rsid w:val="002F058F"/>
    <w:rsid w:val="002F05C5"/>
    <w:rsid w:val="002F0789"/>
    <w:rsid w:val="002F13D3"/>
    <w:rsid w:val="002F1435"/>
    <w:rsid w:val="002F1581"/>
    <w:rsid w:val="002F1920"/>
    <w:rsid w:val="002F1B27"/>
    <w:rsid w:val="002F1EF3"/>
    <w:rsid w:val="002F20B8"/>
    <w:rsid w:val="002F21A8"/>
    <w:rsid w:val="002F23D1"/>
    <w:rsid w:val="002F23EC"/>
    <w:rsid w:val="002F2A99"/>
    <w:rsid w:val="002F2FC5"/>
    <w:rsid w:val="002F2FF3"/>
    <w:rsid w:val="002F3085"/>
    <w:rsid w:val="002F3A40"/>
    <w:rsid w:val="002F40A8"/>
    <w:rsid w:val="002F44B7"/>
    <w:rsid w:val="002F44CD"/>
    <w:rsid w:val="002F452A"/>
    <w:rsid w:val="002F463F"/>
    <w:rsid w:val="002F4837"/>
    <w:rsid w:val="002F4BEC"/>
    <w:rsid w:val="002F4D9B"/>
    <w:rsid w:val="002F516E"/>
    <w:rsid w:val="002F598C"/>
    <w:rsid w:val="002F59BB"/>
    <w:rsid w:val="002F5E8D"/>
    <w:rsid w:val="002F5FA8"/>
    <w:rsid w:val="002F6135"/>
    <w:rsid w:val="002F623B"/>
    <w:rsid w:val="002F6350"/>
    <w:rsid w:val="002F6443"/>
    <w:rsid w:val="002F6DEE"/>
    <w:rsid w:val="002F6F70"/>
    <w:rsid w:val="002F75D6"/>
    <w:rsid w:val="002F797F"/>
    <w:rsid w:val="002F7B71"/>
    <w:rsid w:val="002F7DCF"/>
    <w:rsid w:val="0030001A"/>
    <w:rsid w:val="00300AFA"/>
    <w:rsid w:val="00300C59"/>
    <w:rsid w:val="003013DE"/>
    <w:rsid w:val="00301876"/>
    <w:rsid w:val="00301AB3"/>
    <w:rsid w:val="00301D3A"/>
    <w:rsid w:val="00301D85"/>
    <w:rsid w:val="00301E5C"/>
    <w:rsid w:val="00301FFD"/>
    <w:rsid w:val="003020FB"/>
    <w:rsid w:val="00302158"/>
    <w:rsid w:val="003024A5"/>
    <w:rsid w:val="003025B6"/>
    <w:rsid w:val="0030271B"/>
    <w:rsid w:val="00302FD9"/>
    <w:rsid w:val="003030DB"/>
    <w:rsid w:val="00303255"/>
    <w:rsid w:val="003037FC"/>
    <w:rsid w:val="00303BEF"/>
    <w:rsid w:val="0030499E"/>
    <w:rsid w:val="00304BE7"/>
    <w:rsid w:val="00304E55"/>
    <w:rsid w:val="003050A7"/>
    <w:rsid w:val="00305BA1"/>
    <w:rsid w:val="00305E92"/>
    <w:rsid w:val="00305F5C"/>
    <w:rsid w:val="00305F83"/>
    <w:rsid w:val="00305FD8"/>
    <w:rsid w:val="00306045"/>
    <w:rsid w:val="003060A7"/>
    <w:rsid w:val="00306E43"/>
    <w:rsid w:val="003078A8"/>
    <w:rsid w:val="00307C76"/>
    <w:rsid w:val="00307DCF"/>
    <w:rsid w:val="00307F40"/>
    <w:rsid w:val="00307F60"/>
    <w:rsid w:val="003102AF"/>
    <w:rsid w:val="00310416"/>
    <w:rsid w:val="003105F8"/>
    <w:rsid w:val="00310609"/>
    <w:rsid w:val="003107F6"/>
    <w:rsid w:val="00310E37"/>
    <w:rsid w:val="00310EA9"/>
    <w:rsid w:val="00311732"/>
    <w:rsid w:val="00312284"/>
    <w:rsid w:val="003123E6"/>
    <w:rsid w:val="00312519"/>
    <w:rsid w:val="00312C6D"/>
    <w:rsid w:val="00312DCE"/>
    <w:rsid w:val="00313842"/>
    <w:rsid w:val="00313A41"/>
    <w:rsid w:val="00313E3B"/>
    <w:rsid w:val="00314288"/>
    <w:rsid w:val="003148F6"/>
    <w:rsid w:val="00314ADC"/>
    <w:rsid w:val="00314CF6"/>
    <w:rsid w:val="003152D7"/>
    <w:rsid w:val="00315415"/>
    <w:rsid w:val="00315B40"/>
    <w:rsid w:val="00315C18"/>
    <w:rsid w:val="00315C25"/>
    <w:rsid w:val="0031614A"/>
    <w:rsid w:val="00316A9E"/>
    <w:rsid w:val="00317093"/>
    <w:rsid w:val="0031730A"/>
    <w:rsid w:val="003175E0"/>
    <w:rsid w:val="00320034"/>
    <w:rsid w:val="00320511"/>
    <w:rsid w:val="00320736"/>
    <w:rsid w:val="00320883"/>
    <w:rsid w:val="00320B34"/>
    <w:rsid w:val="00320C98"/>
    <w:rsid w:val="00320ECB"/>
    <w:rsid w:val="003210D8"/>
    <w:rsid w:val="0032130B"/>
    <w:rsid w:val="0032157D"/>
    <w:rsid w:val="003216BF"/>
    <w:rsid w:val="00321B3B"/>
    <w:rsid w:val="00321C32"/>
    <w:rsid w:val="003222E2"/>
    <w:rsid w:val="0032235B"/>
    <w:rsid w:val="0032240A"/>
    <w:rsid w:val="00322849"/>
    <w:rsid w:val="00322FAD"/>
    <w:rsid w:val="003231B9"/>
    <w:rsid w:val="00323517"/>
    <w:rsid w:val="00323F38"/>
    <w:rsid w:val="00324211"/>
    <w:rsid w:val="00324549"/>
    <w:rsid w:val="0032471F"/>
    <w:rsid w:val="00324F73"/>
    <w:rsid w:val="00325127"/>
    <w:rsid w:val="003252AD"/>
    <w:rsid w:val="00325A76"/>
    <w:rsid w:val="00325B4C"/>
    <w:rsid w:val="00326B1A"/>
    <w:rsid w:val="00326D6F"/>
    <w:rsid w:val="00326E59"/>
    <w:rsid w:val="00327C80"/>
    <w:rsid w:val="00327F09"/>
    <w:rsid w:val="003306B5"/>
    <w:rsid w:val="00330717"/>
    <w:rsid w:val="00330866"/>
    <w:rsid w:val="00330B2E"/>
    <w:rsid w:val="00330B55"/>
    <w:rsid w:val="00330F76"/>
    <w:rsid w:val="00331192"/>
    <w:rsid w:val="00331222"/>
    <w:rsid w:val="0033139B"/>
    <w:rsid w:val="00331637"/>
    <w:rsid w:val="00331863"/>
    <w:rsid w:val="00331DDE"/>
    <w:rsid w:val="00331F25"/>
    <w:rsid w:val="0033245C"/>
    <w:rsid w:val="00332786"/>
    <w:rsid w:val="00332890"/>
    <w:rsid w:val="003328E7"/>
    <w:rsid w:val="00332C23"/>
    <w:rsid w:val="00332EB1"/>
    <w:rsid w:val="00332F75"/>
    <w:rsid w:val="0033321D"/>
    <w:rsid w:val="003335D6"/>
    <w:rsid w:val="0033363E"/>
    <w:rsid w:val="003336E1"/>
    <w:rsid w:val="00334113"/>
    <w:rsid w:val="003344D4"/>
    <w:rsid w:val="00334677"/>
    <w:rsid w:val="00334963"/>
    <w:rsid w:val="00334B25"/>
    <w:rsid w:val="00334E28"/>
    <w:rsid w:val="00334F4B"/>
    <w:rsid w:val="00335576"/>
    <w:rsid w:val="00335848"/>
    <w:rsid w:val="003359EE"/>
    <w:rsid w:val="00335A3E"/>
    <w:rsid w:val="00335E69"/>
    <w:rsid w:val="00335FE2"/>
    <w:rsid w:val="0033656D"/>
    <w:rsid w:val="003365BF"/>
    <w:rsid w:val="00336A37"/>
    <w:rsid w:val="00336EAB"/>
    <w:rsid w:val="003373EF"/>
    <w:rsid w:val="00337560"/>
    <w:rsid w:val="003376C9"/>
    <w:rsid w:val="00337C4F"/>
    <w:rsid w:val="00340165"/>
    <w:rsid w:val="00340487"/>
    <w:rsid w:val="003407E9"/>
    <w:rsid w:val="00340E12"/>
    <w:rsid w:val="0034137E"/>
    <w:rsid w:val="003417A2"/>
    <w:rsid w:val="00342773"/>
    <w:rsid w:val="00342930"/>
    <w:rsid w:val="00342E48"/>
    <w:rsid w:val="00343026"/>
    <w:rsid w:val="00343080"/>
    <w:rsid w:val="003432AF"/>
    <w:rsid w:val="00343405"/>
    <w:rsid w:val="0034359F"/>
    <w:rsid w:val="003443C1"/>
    <w:rsid w:val="00344C43"/>
    <w:rsid w:val="00344FCA"/>
    <w:rsid w:val="003451B4"/>
    <w:rsid w:val="003452F8"/>
    <w:rsid w:val="003453F5"/>
    <w:rsid w:val="003454ED"/>
    <w:rsid w:val="003456DB"/>
    <w:rsid w:val="003458CC"/>
    <w:rsid w:val="003458DE"/>
    <w:rsid w:val="003459BA"/>
    <w:rsid w:val="003459FE"/>
    <w:rsid w:val="00346004"/>
    <w:rsid w:val="0034609C"/>
    <w:rsid w:val="003464CE"/>
    <w:rsid w:val="0034666F"/>
    <w:rsid w:val="00347411"/>
    <w:rsid w:val="00347685"/>
    <w:rsid w:val="003477C3"/>
    <w:rsid w:val="00347DB5"/>
    <w:rsid w:val="00347EA2"/>
    <w:rsid w:val="00347F51"/>
    <w:rsid w:val="00347FE4"/>
    <w:rsid w:val="003501B9"/>
    <w:rsid w:val="0035021C"/>
    <w:rsid w:val="00350235"/>
    <w:rsid w:val="00350923"/>
    <w:rsid w:val="00350934"/>
    <w:rsid w:val="00350F51"/>
    <w:rsid w:val="00351343"/>
    <w:rsid w:val="003513E8"/>
    <w:rsid w:val="0035185F"/>
    <w:rsid w:val="00351C6B"/>
    <w:rsid w:val="00352238"/>
    <w:rsid w:val="00352C90"/>
    <w:rsid w:val="00352EAB"/>
    <w:rsid w:val="0035353C"/>
    <w:rsid w:val="00353933"/>
    <w:rsid w:val="00353B56"/>
    <w:rsid w:val="00354092"/>
    <w:rsid w:val="00354250"/>
    <w:rsid w:val="003542E0"/>
    <w:rsid w:val="00354366"/>
    <w:rsid w:val="00354AC8"/>
    <w:rsid w:val="00354F1A"/>
    <w:rsid w:val="0035510B"/>
    <w:rsid w:val="003553C2"/>
    <w:rsid w:val="00355978"/>
    <w:rsid w:val="00355A66"/>
    <w:rsid w:val="00355B85"/>
    <w:rsid w:val="00355E49"/>
    <w:rsid w:val="00355EA1"/>
    <w:rsid w:val="003560EC"/>
    <w:rsid w:val="00356204"/>
    <w:rsid w:val="0035620E"/>
    <w:rsid w:val="00356A54"/>
    <w:rsid w:val="00356C6B"/>
    <w:rsid w:val="00356FB7"/>
    <w:rsid w:val="0035717A"/>
    <w:rsid w:val="003574C2"/>
    <w:rsid w:val="00357656"/>
    <w:rsid w:val="003577B0"/>
    <w:rsid w:val="0035797B"/>
    <w:rsid w:val="00357DFC"/>
    <w:rsid w:val="00357F75"/>
    <w:rsid w:val="003601E5"/>
    <w:rsid w:val="00360502"/>
    <w:rsid w:val="003606B3"/>
    <w:rsid w:val="00360A56"/>
    <w:rsid w:val="00360B4B"/>
    <w:rsid w:val="00360FEB"/>
    <w:rsid w:val="00361242"/>
    <w:rsid w:val="00361256"/>
    <w:rsid w:val="003615A7"/>
    <w:rsid w:val="003619B1"/>
    <w:rsid w:val="00361AC6"/>
    <w:rsid w:val="003620A1"/>
    <w:rsid w:val="003621FF"/>
    <w:rsid w:val="003622E1"/>
    <w:rsid w:val="003624C5"/>
    <w:rsid w:val="00362574"/>
    <w:rsid w:val="00362717"/>
    <w:rsid w:val="00362B7F"/>
    <w:rsid w:val="00362E89"/>
    <w:rsid w:val="003630C4"/>
    <w:rsid w:val="003633B3"/>
    <w:rsid w:val="003634E0"/>
    <w:rsid w:val="00363523"/>
    <w:rsid w:val="00363695"/>
    <w:rsid w:val="00363941"/>
    <w:rsid w:val="00363A2E"/>
    <w:rsid w:val="00363A41"/>
    <w:rsid w:val="00363D5C"/>
    <w:rsid w:val="00363E8E"/>
    <w:rsid w:val="003642B6"/>
    <w:rsid w:val="00364745"/>
    <w:rsid w:val="00364EE1"/>
    <w:rsid w:val="00364F15"/>
    <w:rsid w:val="00364F6D"/>
    <w:rsid w:val="00365B90"/>
    <w:rsid w:val="003660CF"/>
    <w:rsid w:val="00366632"/>
    <w:rsid w:val="0036688B"/>
    <w:rsid w:val="00366C92"/>
    <w:rsid w:val="00366DA7"/>
    <w:rsid w:val="0036713B"/>
    <w:rsid w:val="003674F2"/>
    <w:rsid w:val="00367887"/>
    <w:rsid w:val="00367AB6"/>
    <w:rsid w:val="00367FA7"/>
    <w:rsid w:val="0037037B"/>
    <w:rsid w:val="00370B90"/>
    <w:rsid w:val="00370D90"/>
    <w:rsid w:val="003715DE"/>
    <w:rsid w:val="00371846"/>
    <w:rsid w:val="00371DEE"/>
    <w:rsid w:val="00371DFE"/>
    <w:rsid w:val="003726AE"/>
    <w:rsid w:val="0037284A"/>
    <w:rsid w:val="003729EF"/>
    <w:rsid w:val="00372ADB"/>
    <w:rsid w:val="00372D65"/>
    <w:rsid w:val="00372D83"/>
    <w:rsid w:val="003732AE"/>
    <w:rsid w:val="003736ED"/>
    <w:rsid w:val="00373791"/>
    <w:rsid w:val="00373B92"/>
    <w:rsid w:val="00373D54"/>
    <w:rsid w:val="00373EE1"/>
    <w:rsid w:val="0037405A"/>
    <w:rsid w:val="003741E7"/>
    <w:rsid w:val="00374422"/>
    <w:rsid w:val="0037478C"/>
    <w:rsid w:val="00374A42"/>
    <w:rsid w:val="00374AF5"/>
    <w:rsid w:val="00374C70"/>
    <w:rsid w:val="00374E4B"/>
    <w:rsid w:val="00374FCA"/>
    <w:rsid w:val="00375794"/>
    <w:rsid w:val="003759EB"/>
    <w:rsid w:val="00375C4F"/>
    <w:rsid w:val="00375F55"/>
    <w:rsid w:val="003761B4"/>
    <w:rsid w:val="00376326"/>
    <w:rsid w:val="003767C0"/>
    <w:rsid w:val="00376982"/>
    <w:rsid w:val="00376A7D"/>
    <w:rsid w:val="00376DE8"/>
    <w:rsid w:val="00376E57"/>
    <w:rsid w:val="00376FFF"/>
    <w:rsid w:val="00377192"/>
    <w:rsid w:val="0037731C"/>
    <w:rsid w:val="00377899"/>
    <w:rsid w:val="00377AA2"/>
    <w:rsid w:val="00380111"/>
    <w:rsid w:val="003802FA"/>
    <w:rsid w:val="003803D6"/>
    <w:rsid w:val="0038127E"/>
    <w:rsid w:val="0038134D"/>
    <w:rsid w:val="00381460"/>
    <w:rsid w:val="00381637"/>
    <w:rsid w:val="003816C3"/>
    <w:rsid w:val="00381D71"/>
    <w:rsid w:val="00381FB9"/>
    <w:rsid w:val="00382B83"/>
    <w:rsid w:val="00382C58"/>
    <w:rsid w:val="00382D4F"/>
    <w:rsid w:val="00382E5C"/>
    <w:rsid w:val="00382E7A"/>
    <w:rsid w:val="00383041"/>
    <w:rsid w:val="0038313D"/>
    <w:rsid w:val="00383A03"/>
    <w:rsid w:val="00383E2D"/>
    <w:rsid w:val="00384049"/>
    <w:rsid w:val="003841D2"/>
    <w:rsid w:val="00384268"/>
    <w:rsid w:val="003843B2"/>
    <w:rsid w:val="003847AA"/>
    <w:rsid w:val="00384F76"/>
    <w:rsid w:val="0038516E"/>
    <w:rsid w:val="0038534F"/>
    <w:rsid w:val="0038557A"/>
    <w:rsid w:val="00385E43"/>
    <w:rsid w:val="00386072"/>
    <w:rsid w:val="003867A3"/>
    <w:rsid w:val="0038693A"/>
    <w:rsid w:val="00386E65"/>
    <w:rsid w:val="003870BF"/>
    <w:rsid w:val="003874E7"/>
    <w:rsid w:val="003878CE"/>
    <w:rsid w:val="00387A5E"/>
    <w:rsid w:val="00390737"/>
    <w:rsid w:val="00390A7D"/>
    <w:rsid w:val="00390C37"/>
    <w:rsid w:val="00390F1A"/>
    <w:rsid w:val="00390F88"/>
    <w:rsid w:val="00390FE5"/>
    <w:rsid w:val="00391223"/>
    <w:rsid w:val="0039153E"/>
    <w:rsid w:val="00391CFA"/>
    <w:rsid w:val="0039251F"/>
    <w:rsid w:val="00392C4F"/>
    <w:rsid w:val="003938A9"/>
    <w:rsid w:val="003938F3"/>
    <w:rsid w:val="0039396E"/>
    <w:rsid w:val="00393A7A"/>
    <w:rsid w:val="00393D80"/>
    <w:rsid w:val="003941C1"/>
    <w:rsid w:val="003942A5"/>
    <w:rsid w:val="00394330"/>
    <w:rsid w:val="00394814"/>
    <w:rsid w:val="003950F9"/>
    <w:rsid w:val="00395249"/>
    <w:rsid w:val="00395309"/>
    <w:rsid w:val="00395503"/>
    <w:rsid w:val="003959D6"/>
    <w:rsid w:val="00395AFD"/>
    <w:rsid w:val="00395B02"/>
    <w:rsid w:val="00395CBC"/>
    <w:rsid w:val="00395D41"/>
    <w:rsid w:val="003960FA"/>
    <w:rsid w:val="0039636D"/>
    <w:rsid w:val="0039665E"/>
    <w:rsid w:val="003969A9"/>
    <w:rsid w:val="00396DD7"/>
    <w:rsid w:val="00396FFA"/>
    <w:rsid w:val="00397315"/>
    <w:rsid w:val="0039736A"/>
    <w:rsid w:val="0039740D"/>
    <w:rsid w:val="0039773B"/>
    <w:rsid w:val="00397936"/>
    <w:rsid w:val="00397C9D"/>
    <w:rsid w:val="00397D7E"/>
    <w:rsid w:val="00397ED3"/>
    <w:rsid w:val="003A0C49"/>
    <w:rsid w:val="003A0FF4"/>
    <w:rsid w:val="003A1116"/>
    <w:rsid w:val="003A165A"/>
    <w:rsid w:val="003A16B9"/>
    <w:rsid w:val="003A1950"/>
    <w:rsid w:val="003A19A5"/>
    <w:rsid w:val="003A1A98"/>
    <w:rsid w:val="003A1B50"/>
    <w:rsid w:val="003A1D8F"/>
    <w:rsid w:val="003A21F2"/>
    <w:rsid w:val="003A24B6"/>
    <w:rsid w:val="003A303C"/>
    <w:rsid w:val="003A34D2"/>
    <w:rsid w:val="003A384B"/>
    <w:rsid w:val="003A39DD"/>
    <w:rsid w:val="003A3A4D"/>
    <w:rsid w:val="003A3BEF"/>
    <w:rsid w:val="003A3D37"/>
    <w:rsid w:val="003A4005"/>
    <w:rsid w:val="003A40CB"/>
    <w:rsid w:val="003A451A"/>
    <w:rsid w:val="003A4753"/>
    <w:rsid w:val="003A4E19"/>
    <w:rsid w:val="003A4F6C"/>
    <w:rsid w:val="003A5109"/>
    <w:rsid w:val="003A5323"/>
    <w:rsid w:val="003A592A"/>
    <w:rsid w:val="003A5BE3"/>
    <w:rsid w:val="003A5C52"/>
    <w:rsid w:val="003A63CA"/>
    <w:rsid w:val="003A6478"/>
    <w:rsid w:val="003A6594"/>
    <w:rsid w:val="003A6ABD"/>
    <w:rsid w:val="003A6B89"/>
    <w:rsid w:val="003A6E22"/>
    <w:rsid w:val="003A6FD5"/>
    <w:rsid w:val="003A73B3"/>
    <w:rsid w:val="003A73B5"/>
    <w:rsid w:val="003A76BA"/>
    <w:rsid w:val="003A7834"/>
    <w:rsid w:val="003B03B4"/>
    <w:rsid w:val="003B0663"/>
    <w:rsid w:val="003B073E"/>
    <w:rsid w:val="003B0780"/>
    <w:rsid w:val="003B0B32"/>
    <w:rsid w:val="003B1C5A"/>
    <w:rsid w:val="003B2247"/>
    <w:rsid w:val="003B281A"/>
    <w:rsid w:val="003B2B04"/>
    <w:rsid w:val="003B2B2D"/>
    <w:rsid w:val="003B3115"/>
    <w:rsid w:val="003B31C7"/>
    <w:rsid w:val="003B3A50"/>
    <w:rsid w:val="003B3ABD"/>
    <w:rsid w:val="003B3CFF"/>
    <w:rsid w:val="003B3D27"/>
    <w:rsid w:val="003B3D6C"/>
    <w:rsid w:val="003B3E23"/>
    <w:rsid w:val="003B42FA"/>
    <w:rsid w:val="003B44C9"/>
    <w:rsid w:val="003B475D"/>
    <w:rsid w:val="003B4D02"/>
    <w:rsid w:val="003B53BA"/>
    <w:rsid w:val="003B54D1"/>
    <w:rsid w:val="003B55D2"/>
    <w:rsid w:val="003B5676"/>
    <w:rsid w:val="003B5E54"/>
    <w:rsid w:val="003B5E72"/>
    <w:rsid w:val="003B5FF4"/>
    <w:rsid w:val="003B6111"/>
    <w:rsid w:val="003B6377"/>
    <w:rsid w:val="003B6379"/>
    <w:rsid w:val="003B69DC"/>
    <w:rsid w:val="003B6C06"/>
    <w:rsid w:val="003B72F0"/>
    <w:rsid w:val="003B7891"/>
    <w:rsid w:val="003B7D68"/>
    <w:rsid w:val="003C02AC"/>
    <w:rsid w:val="003C0307"/>
    <w:rsid w:val="003C0C71"/>
    <w:rsid w:val="003C0DF4"/>
    <w:rsid w:val="003C12D0"/>
    <w:rsid w:val="003C1AB0"/>
    <w:rsid w:val="003C2774"/>
    <w:rsid w:val="003C29DF"/>
    <w:rsid w:val="003C32EE"/>
    <w:rsid w:val="003C337D"/>
    <w:rsid w:val="003C36AE"/>
    <w:rsid w:val="003C3B1B"/>
    <w:rsid w:val="003C3E36"/>
    <w:rsid w:val="003C4343"/>
    <w:rsid w:val="003C49A0"/>
    <w:rsid w:val="003C4D0D"/>
    <w:rsid w:val="003C4E35"/>
    <w:rsid w:val="003C536A"/>
    <w:rsid w:val="003C5370"/>
    <w:rsid w:val="003C53A6"/>
    <w:rsid w:val="003C53E4"/>
    <w:rsid w:val="003C5497"/>
    <w:rsid w:val="003C54ED"/>
    <w:rsid w:val="003C54FA"/>
    <w:rsid w:val="003C5611"/>
    <w:rsid w:val="003C6013"/>
    <w:rsid w:val="003C6227"/>
    <w:rsid w:val="003C653C"/>
    <w:rsid w:val="003C6CED"/>
    <w:rsid w:val="003C6D26"/>
    <w:rsid w:val="003C74FB"/>
    <w:rsid w:val="003C759B"/>
    <w:rsid w:val="003C75F3"/>
    <w:rsid w:val="003C76E1"/>
    <w:rsid w:val="003C77C8"/>
    <w:rsid w:val="003C7A6F"/>
    <w:rsid w:val="003C7D10"/>
    <w:rsid w:val="003D031A"/>
    <w:rsid w:val="003D03C9"/>
    <w:rsid w:val="003D08D0"/>
    <w:rsid w:val="003D0EDD"/>
    <w:rsid w:val="003D13B0"/>
    <w:rsid w:val="003D1610"/>
    <w:rsid w:val="003D1842"/>
    <w:rsid w:val="003D23A4"/>
    <w:rsid w:val="003D242C"/>
    <w:rsid w:val="003D255A"/>
    <w:rsid w:val="003D2DAE"/>
    <w:rsid w:val="003D2E69"/>
    <w:rsid w:val="003D3AB3"/>
    <w:rsid w:val="003D3B73"/>
    <w:rsid w:val="003D3BFA"/>
    <w:rsid w:val="003D3D90"/>
    <w:rsid w:val="003D40F3"/>
    <w:rsid w:val="003D457F"/>
    <w:rsid w:val="003D4AB6"/>
    <w:rsid w:val="003D4D6E"/>
    <w:rsid w:val="003D5203"/>
    <w:rsid w:val="003D5326"/>
    <w:rsid w:val="003D5DFC"/>
    <w:rsid w:val="003D68F3"/>
    <w:rsid w:val="003D71D5"/>
    <w:rsid w:val="003D7422"/>
    <w:rsid w:val="003D7C84"/>
    <w:rsid w:val="003D7D3F"/>
    <w:rsid w:val="003D7E46"/>
    <w:rsid w:val="003D7E71"/>
    <w:rsid w:val="003D7F84"/>
    <w:rsid w:val="003E03A4"/>
    <w:rsid w:val="003E0401"/>
    <w:rsid w:val="003E0B9B"/>
    <w:rsid w:val="003E0FA4"/>
    <w:rsid w:val="003E101A"/>
    <w:rsid w:val="003E17C7"/>
    <w:rsid w:val="003E1AF2"/>
    <w:rsid w:val="003E1CC3"/>
    <w:rsid w:val="003E2556"/>
    <w:rsid w:val="003E2644"/>
    <w:rsid w:val="003E2A79"/>
    <w:rsid w:val="003E3136"/>
    <w:rsid w:val="003E3422"/>
    <w:rsid w:val="003E3AC9"/>
    <w:rsid w:val="003E42E3"/>
    <w:rsid w:val="003E43C1"/>
    <w:rsid w:val="003E4D94"/>
    <w:rsid w:val="003E4E2A"/>
    <w:rsid w:val="003E4FF3"/>
    <w:rsid w:val="003E5042"/>
    <w:rsid w:val="003E5898"/>
    <w:rsid w:val="003E5E06"/>
    <w:rsid w:val="003E5EB6"/>
    <w:rsid w:val="003E619C"/>
    <w:rsid w:val="003E696C"/>
    <w:rsid w:val="003E7136"/>
    <w:rsid w:val="003E7A0B"/>
    <w:rsid w:val="003F02A4"/>
    <w:rsid w:val="003F05F5"/>
    <w:rsid w:val="003F06DA"/>
    <w:rsid w:val="003F06EB"/>
    <w:rsid w:val="003F08EE"/>
    <w:rsid w:val="003F0968"/>
    <w:rsid w:val="003F0B5A"/>
    <w:rsid w:val="003F0FE6"/>
    <w:rsid w:val="003F115B"/>
    <w:rsid w:val="003F130A"/>
    <w:rsid w:val="003F1827"/>
    <w:rsid w:val="003F1ADF"/>
    <w:rsid w:val="003F1D0D"/>
    <w:rsid w:val="003F1FED"/>
    <w:rsid w:val="003F21FE"/>
    <w:rsid w:val="003F2313"/>
    <w:rsid w:val="003F29ED"/>
    <w:rsid w:val="003F2CA8"/>
    <w:rsid w:val="003F2E1F"/>
    <w:rsid w:val="003F2F5B"/>
    <w:rsid w:val="003F33A9"/>
    <w:rsid w:val="003F35C1"/>
    <w:rsid w:val="003F40E5"/>
    <w:rsid w:val="003F420F"/>
    <w:rsid w:val="003F4320"/>
    <w:rsid w:val="003F4512"/>
    <w:rsid w:val="003F498C"/>
    <w:rsid w:val="003F5302"/>
    <w:rsid w:val="003F5576"/>
    <w:rsid w:val="003F55B0"/>
    <w:rsid w:val="003F5789"/>
    <w:rsid w:val="003F5D3D"/>
    <w:rsid w:val="003F605A"/>
    <w:rsid w:val="003F629D"/>
    <w:rsid w:val="003F649D"/>
    <w:rsid w:val="003F696F"/>
    <w:rsid w:val="003F6A3B"/>
    <w:rsid w:val="003F6A6A"/>
    <w:rsid w:val="003F6EB1"/>
    <w:rsid w:val="003F6F08"/>
    <w:rsid w:val="003F72DA"/>
    <w:rsid w:val="003F7626"/>
    <w:rsid w:val="003F790A"/>
    <w:rsid w:val="003F7B18"/>
    <w:rsid w:val="003F7CA7"/>
    <w:rsid w:val="0040055E"/>
    <w:rsid w:val="00400838"/>
    <w:rsid w:val="004008B3"/>
    <w:rsid w:val="00401145"/>
    <w:rsid w:val="004017EE"/>
    <w:rsid w:val="004018FF"/>
    <w:rsid w:val="00401CA8"/>
    <w:rsid w:val="00401EBD"/>
    <w:rsid w:val="00402473"/>
    <w:rsid w:val="004030ED"/>
    <w:rsid w:val="00403397"/>
    <w:rsid w:val="0040344C"/>
    <w:rsid w:val="0040369A"/>
    <w:rsid w:val="00403781"/>
    <w:rsid w:val="0040391A"/>
    <w:rsid w:val="00403B1C"/>
    <w:rsid w:val="00404303"/>
    <w:rsid w:val="00404347"/>
    <w:rsid w:val="004046A8"/>
    <w:rsid w:val="00404712"/>
    <w:rsid w:val="004051A1"/>
    <w:rsid w:val="00405628"/>
    <w:rsid w:val="00405700"/>
    <w:rsid w:val="0040622E"/>
    <w:rsid w:val="004062AF"/>
    <w:rsid w:val="004068D9"/>
    <w:rsid w:val="00406AFF"/>
    <w:rsid w:val="0040701C"/>
    <w:rsid w:val="004071B7"/>
    <w:rsid w:val="0040734B"/>
    <w:rsid w:val="004078F1"/>
    <w:rsid w:val="00407913"/>
    <w:rsid w:val="00407B95"/>
    <w:rsid w:val="00407BDA"/>
    <w:rsid w:val="00407BE4"/>
    <w:rsid w:val="004103E0"/>
    <w:rsid w:val="00410727"/>
    <w:rsid w:val="00410B30"/>
    <w:rsid w:val="00410CCB"/>
    <w:rsid w:val="00410D31"/>
    <w:rsid w:val="00411135"/>
    <w:rsid w:val="00411200"/>
    <w:rsid w:val="004113B3"/>
    <w:rsid w:val="004119D5"/>
    <w:rsid w:val="00411C87"/>
    <w:rsid w:val="0041221B"/>
    <w:rsid w:val="00412734"/>
    <w:rsid w:val="00412A8B"/>
    <w:rsid w:val="00412F1A"/>
    <w:rsid w:val="00413071"/>
    <w:rsid w:val="004130C1"/>
    <w:rsid w:val="0041339D"/>
    <w:rsid w:val="0041357C"/>
    <w:rsid w:val="00413B65"/>
    <w:rsid w:val="00413BF0"/>
    <w:rsid w:val="0041445D"/>
    <w:rsid w:val="004144C8"/>
    <w:rsid w:val="004147F7"/>
    <w:rsid w:val="00414932"/>
    <w:rsid w:val="00414BBA"/>
    <w:rsid w:val="00414BE8"/>
    <w:rsid w:val="00414DB8"/>
    <w:rsid w:val="004150D0"/>
    <w:rsid w:val="0041558C"/>
    <w:rsid w:val="004156AB"/>
    <w:rsid w:val="004159CB"/>
    <w:rsid w:val="00415AB5"/>
    <w:rsid w:val="00415DEA"/>
    <w:rsid w:val="00416A46"/>
    <w:rsid w:val="00416AC6"/>
    <w:rsid w:val="0041729A"/>
    <w:rsid w:val="00417C4E"/>
    <w:rsid w:val="00417F7C"/>
    <w:rsid w:val="00420504"/>
    <w:rsid w:val="00420A1F"/>
    <w:rsid w:val="00420B60"/>
    <w:rsid w:val="00420E14"/>
    <w:rsid w:val="00420F0A"/>
    <w:rsid w:val="00421076"/>
    <w:rsid w:val="0042108A"/>
    <w:rsid w:val="004211FC"/>
    <w:rsid w:val="0042121D"/>
    <w:rsid w:val="004212C7"/>
    <w:rsid w:val="004212FD"/>
    <w:rsid w:val="00421420"/>
    <w:rsid w:val="00421900"/>
    <w:rsid w:val="00421BA6"/>
    <w:rsid w:val="004222B1"/>
    <w:rsid w:val="0042253B"/>
    <w:rsid w:val="00422767"/>
    <w:rsid w:val="00422A51"/>
    <w:rsid w:val="00422D16"/>
    <w:rsid w:val="00422FAA"/>
    <w:rsid w:val="00423043"/>
    <w:rsid w:val="0042356E"/>
    <w:rsid w:val="00423A94"/>
    <w:rsid w:val="00423B03"/>
    <w:rsid w:val="00423D86"/>
    <w:rsid w:val="00423F6D"/>
    <w:rsid w:val="00423FB2"/>
    <w:rsid w:val="004243D1"/>
    <w:rsid w:val="00424449"/>
    <w:rsid w:val="00424498"/>
    <w:rsid w:val="00424524"/>
    <w:rsid w:val="00424766"/>
    <w:rsid w:val="00424A88"/>
    <w:rsid w:val="00424BFF"/>
    <w:rsid w:val="00425046"/>
    <w:rsid w:val="004253EF"/>
    <w:rsid w:val="00425459"/>
    <w:rsid w:val="004254A5"/>
    <w:rsid w:val="00425A5E"/>
    <w:rsid w:val="00425C69"/>
    <w:rsid w:val="004269F7"/>
    <w:rsid w:val="00426BD9"/>
    <w:rsid w:val="00426D25"/>
    <w:rsid w:val="00426DFD"/>
    <w:rsid w:val="00430480"/>
    <w:rsid w:val="00430581"/>
    <w:rsid w:val="004305AB"/>
    <w:rsid w:val="00430A1A"/>
    <w:rsid w:val="00431127"/>
    <w:rsid w:val="00431AA4"/>
    <w:rsid w:val="00431BCA"/>
    <w:rsid w:val="00431FE7"/>
    <w:rsid w:val="00432052"/>
    <w:rsid w:val="0043213A"/>
    <w:rsid w:val="00432719"/>
    <w:rsid w:val="00432AB0"/>
    <w:rsid w:val="00432DF6"/>
    <w:rsid w:val="00432EF4"/>
    <w:rsid w:val="00432F15"/>
    <w:rsid w:val="00432FE6"/>
    <w:rsid w:val="00433620"/>
    <w:rsid w:val="0043378D"/>
    <w:rsid w:val="00433820"/>
    <w:rsid w:val="00433EEF"/>
    <w:rsid w:val="004340CF"/>
    <w:rsid w:val="004340ED"/>
    <w:rsid w:val="0043411E"/>
    <w:rsid w:val="004343C8"/>
    <w:rsid w:val="004349E1"/>
    <w:rsid w:val="00434C06"/>
    <w:rsid w:val="00434FBB"/>
    <w:rsid w:val="004352E4"/>
    <w:rsid w:val="00435481"/>
    <w:rsid w:val="00435D16"/>
    <w:rsid w:val="00435DE2"/>
    <w:rsid w:val="00435F2F"/>
    <w:rsid w:val="00435FD9"/>
    <w:rsid w:val="0043686D"/>
    <w:rsid w:val="004368CB"/>
    <w:rsid w:val="00436AA0"/>
    <w:rsid w:val="00436B71"/>
    <w:rsid w:val="00436C8C"/>
    <w:rsid w:val="00437A6F"/>
    <w:rsid w:val="00440175"/>
    <w:rsid w:val="004407B7"/>
    <w:rsid w:val="00440A1C"/>
    <w:rsid w:val="00440D9E"/>
    <w:rsid w:val="00441213"/>
    <w:rsid w:val="0044122F"/>
    <w:rsid w:val="004418A0"/>
    <w:rsid w:val="00441AAD"/>
    <w:rsid w:val="00442467"/>
    <w:rsid w:val="0044266C"/>
    <w:rsid w:val="0044288D"/>
    <w:rsid w:val="0044289C"/>
    <w:rsid w:val="00442D43"/>
    <w:rsid w:val="0044347A"/>
    <w:rsid w:val="00443609"/>
    <w:rsid w:val="00443A4B"/>
    <w:rsid w:val="00443A77"/>
    <w:rsid w:val="00443EBF"/>
    <w:rsid w:val="00443FB0"/>
    <w:rsid w:val="00444214"/>
    <w:rsid w:val="00444731"/>
    <w:rsid w:val="00444A2A"/>
    <w:rsid w:val="00444F78"/>
    <w:rsid w:val="00445070"/>
    <w:rsid w:val="00445A60"/>
    <w:rsid w:val="00445C02"/>
    <w:rsid w:val="00445DCA"/>
    <w:rsid w:val="00445FC4"/>
    <w:rsid w:val="004461FC"/>
    <w:rsid w:val="00446738"/>
    <w:rsid w:val="00446A8A"/>
    <w:rsid w:val="00446AEA"/>
    <w:rsid w:val="00446F56"/>
    <w:rsid w:val="00447064"/>
    <w:rsid w:val="0044727D"/>
    <w:rsid w:val="0044731F"/>
    <w:rsid w:val="0044787C"/>
    <w:rsid w:val="00447A81"/>
    <w:rsid w:val="00450050"/>
    <w:rsid w:val="004501BD"/>
    <w:rsid w:val="00450347"/>
    <w:rsid w:val="004504F4"/>
    <w:rsid w:val="004504F9"/>
    <w:rsid w:val="0045073A"/>
    <w:rsid w:val="004508DD"/>
    <w:rsid w:val="00450D08"/>
    <w:rsid w:val="00450D67"/>
    <w:rsid w:val="00451166"/>
    <w:rsid w:val="00451656"/>
    <w:rsid w:val="00451663"/>
    <w:rsid w:val="00451695"/>
    <w:rsid w:val="004516BD"/>
    <w:rsid w:val="00451943"/>
    <w:rsid w:val="00451CB1"/>
    <w:rsid w:val="00451CC9"/>
    <w:rsid w:val="00451DB4"/>
    <w:rsid w:val="00452025"/>
    <w:rsid w:val="0045214C"/>
    <w:rsid w:val="0045243C"/>
    <w:rsid w:val="00452706"/>
    <w:rsid w:val="00452950"/>
    <w:rsid w:val="00452C89"/>
    <w:rsid w:val="00452CD1"/>
    <w:rsid w:val="00452F39"/>
    <w:rsid w:val="00453090"/>
    <w:rsid w:val="0045316B"/>
    <w:rsid w:val="004532F6"/>
    <w:rsid w:val="00453421"/>
    <w:rsid w:val="004535DF"/>
    <w:rsid w:val="0045374B"/>
    <w:rsid w:val="00454131"/>
    <w:rsid w:val="004546D3"/>
    <w:rsid w:val="00454733"/>
    <w:rsid w:val="00455F31"/>
    <w:rsid w:val="004561CD"/>
    <w:rsid w:val="0045647E"/>
    <w:rsid w:val="00456755"/>
    <w:rsid w:val="00457179"/>
    <w:rsid w:val="004577DB"/>
    <w:rsid w:val="00457A75"/>
    <w:rsid w:val="00457BFE"/>
    <w:rsid w:val="00457CDC"/>
    <w:rsid w:val="00457D7E"/>
    <w:rsid w:val="00457E7F"/>
    <w:rsid w:val="00457F27"/>
    <w:rsid w:val="00457F95"/>
    <w:rsid w:val="004617E0"/>
    <w:rsid w:val="0046262A"/>
    <w:rsid w:val="00462972"/>
    <w:rsid w:val="00462C4D"/>
    <w:rsid w:val="00462D0E"/>
    <w:rsid w:val="00463C0A"/>
    <w:rsid w:val="004646DF"/>
    <w:rsid w:val="004647FB"/>
    <w:rsid w:val="004649E9"/>
    <w:rsid w:val="00464CBA"/>
    <w:rsid w:val="004652C7"/>
    <w:rsid w:val="00465371"/>
    <w:rsid w:val="00465A6C"/>
    <w:rsid w:val="00465B69"/>
    <w:rsid w:val="00465DBA"/>
    <w:rsid w:val="004667D2"/>
    <w:rsid w:val="0046688D"/>
    <w:rsid w:val="00466D4E"/>
    <w:rsid w:val="0046747F"/>
    <w:rsid w:val="00467CA5"/>
    <w:rsid w:val="00467DD3"/>
    <w:rsid w:val="004707B5"/>
    <w:rsid w:val="00470A6B"/>
    <w:rsid w:val="00471729"/>
    <w:rsid w:val="0047175C"/>
    <w:rsid w:val="00471829"/>
    <w:rsid w:val="00471900"/>
    <w:rsid w:val="00471D72"/>
    <w:rsid w:val="00472060"/>
    <w:rsid w:val="00472431"/>
    <w:rsid w:val="00472771"/>
    <w:rsid w:val="00472A6B"/>
    <w:rsid w:val="00472D12"/>
    <w:rsid w:val="00472D2E"/>
    <w:rsid w:val="00472E9E"/>
    <w:rsid w:val="00472FC2"/>
    <w:rsid w:val="0047337C"/>
    <w:rsid w:val="0047364B"/>
    <w:rsid w:val="00473657"/>
    <w:rsid w:val="004737A5"/>
    <w:rsid w:val="004737A9"/>
    <w:rsid w:val="00473A40"/>
    <w:rsid w:val="00473AA2"/>
    <w:rsid w:val="00473C69"/>
    <w:rsid w:val="0047424D"/>
    <w:rsid w:val="00474827"/>
    <w:rsid w:val="00474C41"/>
    <w:rsid w:val="00475FA9"/>
    <w:rsid w:val="00476315"/>
    <w:rsid w:val="0047655F"/>
    <w:rsid w:val="004765AE"/>
    <w:rsid w:val="004765B4"/>
    <w:rsid w:val="00476828"/>
    <w:rsid w:val="00476831"/>
    <w:rsid w:val="00476BB4"/>
    <w:rsid w:val="004779E5"/>
    <w:rsid w:val="00477F05"/>
    <w:rsid w:val="00480169"/>
    <w:rsid w:val="00480238"/>
    <w:rsid w:val="00480526"/>
    <w:rsid w:val="00480670"/>
    <w:rsid w:val="00480A86"/>
    <w:rsid w:val="00480FDB"/>
    <w:rsid w:val="004815A8"/>
    <w:rsid w:val="00481B43"/>
    <w:rsid w:val="00481DB9"/>
    <w:rsid w:val="00482116"/>
    <w:rsid w:val="004828C1"/>
    <w:rsid w:val="00483033"/>
    <w:rsid w:val="0048392F"/>
    <w:rsid w:val="00483965"/>
    <w:rsid w:val="00483989"/>
    <w:rsid w:val="00483C4A"/>
    <w:rsid w:val="00484589"/>
    <w:rsid w:val="0048474F"/>
    <w:rsid w:val="004848F0"/>
    <w:rsid w:val="00484954"/>
    <w:rsid w:val="00485688"/>
    <w:rsid w:val="00485C2B"/>
    <w:rsid w:val="00485E45"/>
    <w:rsid w:val="004863BD"/>
    <w:rsid w:val="0048655B"/>
    <w:rsid w:val="004866E6"/>
    <w:rsid w:val="00486835"/>
    <w:rsid w:val="00486FF3"/>
    <w:rsid w:val="0048714F"/>
    <w:rsid w:val="00487251"/>
    <w:rsid w:val="0048773B"/>
    <w:rsid w:val="004877B5"/>
    <w:rsid w:val="00487BE8"/>
    <w:rsid w:val="00487CAA"/>
    <w:rsid w:val="004903C7"/>
    <w:rsid w:val="00490D02"/>
    <w:rsid w:val="00491092"/>
    <w:rsid w:val="004910BC"/>
    <w:rsid w:val="004910E0"/>
    <w:rsid w:val="00491252"/>
    <w:rsid w:val="00491464"/>
    <w:rsid w:val="00491DE1"/>
    <w:rsid w:val="0049214A"/>
    <w:rsid w:val="004922EF"/>
    <w:rsid w:val="00492356"/>
    <w:rsid w:val="00492584"/>
    <w:rsid w:val="00492656"/>
    <w:rsid w:val="00492E16"/>
    <w:rsid w:val="00492F20"/>
    <w:rsid w:val="0049301A"/>
    <w:rsid w:val="004931A8"/>
    <w:rsid w:val="004936E5"/>
    <w:rsid w:val="00493D12"/>
    <w:rsid w:val="004942BD"/>
    <w:rsid w:val="004943C0"/>
    <w:rsid w:val="004943CC"/>
    <w:rsid w:val="004944FA"/>
    <w:rsid w:val="00494A41"/>
    <w:rsid w:val="00494A44"/>
    <w:rsid w:val="00494A66"/>
    <w:rsid w:val="00494ACF"/>
    <w:rsid w:val="00494D42"/>
    <w:rsid w:val="00494D8B"/>
    <w:rsid w:val="00495084"/>
    <w:rsid w:val="004951FB"/>
    <w:rsid w:val="00495615"/>
    <w:rsid w:val="004958F1"/>
    <w:rsid w:val="004960E8"/>
    <w:rsid w:val="004965C7"/>
    <w:rsid w:val="00496921"/>
    <w:rsid w:val="004969A4"/>
    <w:rsid w:val="00496AE9"/>
    <w:rsid w:val="00496BFD"/>
    <w:rsid w:val="00496D9D"/>
    <w:rsid w:val="00497300"/>
    <w:rsid w:val="004973D1"/>
    <w:rsid w:val="004975F3"/>
    <w:rsid w:val="00497745"/>
    <w:rsid w:val="0049789C"/>
    <w:rsid w:val="0049797C"/>
    <w:rsid w:val="00497B83"/>
    <w:rsid w:val="00497E0D"/>
    <w:rsid w:val="004A006B"/>
    <w:rsid w:val="004A05B7"/>
    <w:rsid w:val="004A0606"/>
    <w:rsid w:val="004A0CB2"/>
    <w:rsid w:val="004A1176"/>
    <w:rsid w:val="004A1287"/>
    <w:rsid w:val="004A1383"/>
    <w:rsid w:val="004A1481"/>
    <w:rsid w:val="004A1489"/>
    <w:rsid w:val="004A1611"/>
    <w:rsid w:val="004A191A"/>
    <w:rsid w:val="004A1B22"/>
    <w:rsid w:val="004A1B9D"/>
    <w:rsid w:val="004A1D21"/>
    <w:rsid w:val="004A26D9"/>
    <w:rsid w:val="004A2784"/>
    <w:rsid w:val="004A2FA3"/>
    <w:rsid w:val="004A372A"/>
    <w:rsid w:val="004A3B97"/>
    <w:rsid w:val="004A45CF"/>
    <w:rsid w:val="004A471D"/>
    <w:rsid w:val="004A4750"/>
    <w:rsid w:val="004A491E"/>
    <w:rsid w:val="004A4CE4"/>
    <w:rsid w:val="004A4F1C"/>
    <w:rsid w:val="004A5015"/>
    <w:rsid w:val="004A50BC"/>
    <w:rsid w:val="004A50C7"/>
    <w:rsid w:val="004A516B"/>
    <w:rsid w:val="004A51EF"/>
    <w:rsid w:val="004A55BB"/>
    <w:rsid w:val="004A5743"/>
    <w:rsid w:val="004A5948"/>
    <w:rsid w:val="004A5A5F"/>
    <w:rsid w:val="004A5DBA"/>
    <w:rsid w:val="004A5F1F"/>
    <w:rsid w:val="004A5FD5"/>
    <w:rsid w:val="004A61FA"/>
    <w:rsid w:val="004A710F"/>
    <w:rsid w:val="004A7164"/>
    <w:rsid w:val="004A71ED"/>
    <w:rsid w:val="004A71F2"/>
    <w:rsid w:val="004A72F3"/>
    <w:rsid w:val="004A7649"/>
    <w:rsid w:val="004A77E7"/>
    <w:rsid w:val="004A7AD4"/>
    <w:rsid w:val="004A7BD4"/>
    <w:rsid w:val="004A7F0D"/>
    <w:rsid w:val="004A7F8C"/>
    <w:rsid w:val="004B026A"/>
    <w:rsid w:val="004B06B3"/>
    <w:rsid w:val="004B0817"/>
    <w:rsid w:val="004B09AC"/>
    <w:rsid w:val="004B0B7D"/>
    <w:rsid w:val="004B0BFA"/>
    <w:rsid w:val="004B11BB"/>
    <w:rsid w:val="004B13D6"/>
    <w:rsid w:val="004B14FE"/>
    <w:rsid w:val="004B15F8"/>
    <w:rsid w:val="004B161A"/>
    <w:rsid w:val="004B1A26"/>
    <w:rsid w:val="004B1B01"/>
    <w:rsid w:val="004B2060"/>
    <w:rsid w:val="004B2459"/>
    <w:rsid w:val="004B2780"/>
    <w:rsid w:val="004B2A03"/>
    <w:rsid w:val="004B30CB"/>
    <w:rsid w:val="004B31D4"/>
    <w:rsid w:val="004B37D5"/>
    <w:rsid w:val="004B37EE"/>
    <w:rsid w:val="004B3A9E"/>
    <w:rsid w:val="004B40CF"/>
    <w:rsid w:val="004B464D"/>
    <w:rsid w:val="004B4760"/>
    <w:rsid w:val="004B4DFD"/>
    <w:rsid w:val="004B4E0B"/>
    <w:rsid w:val="004B4F47"/>
    <w:rsid w:val="004B4F54"/>
    <w:rsid w:val="004B5159"/>
    <w:rsid w:val="004B58FD"/>
    <w:rsid w:val="004B5EDD"/>
    <w:rsid w:val="004B62F3"/>
    <w:rsid w:val="004B63AA"/>
    <w:rsid w:val="004B6496"/>
    <w:rsid w:val="004B6702"/>
    <w:rsid w:val="004B6A2E"/>
    <w:rsid w:val="004B7596"/>
    <w:rsid w:val="004B75D9"/>
    <w:rsid w:val="004B7CD6"/>
    <w:rsid w:val="004B7D97"/>
    <w:rsid w:val="004C00BD"/>
    <w:rsid w:val="004C0444"/>
    <w:rsid w:val="004C05E4"/>
    <w:rsid w:val="004C067C"/>
    <w:rsid w:val="004C06AE"/>
    <w:rsid w:val="004C06C4"/>
    <w:rsid w:val="004C0AC1"/>
    <w:rsid w:val="004C0E3B"/>
    <w:rsid w:val="004C0E81"/>
    <w:rsid w:val="004C0EF5"/>
    <w:rsid w:val="004C100A"/>
    <w:rsid w:val="004C1084"/>
    <w:rsid w:val="004C10FA"/>
    <w:rsid w:val="004C1771"/>
    <w:rsid w:val="004C1785"/>
    <w:rsid w:val="004C186F"/>
    <w:rsid w:val="004C1986"/>
    <w:rsid w:val="004C1CD7"/>
    <w:rsid w:val="004C2113"/>
    <w:rsid w:val="004C2A16"/>
    <w:rsid w:val="004C31AC"/>
    <w:rsid w:val="004C32C1"/>
    <w:rsid w:val="004C334D"/>
    <w:rsid w:val="004C3751"/>
    <w:rsid w:val="004C3B0C"/>
    <w:rsid w:val="004C444A"/>
    <w:rsid w:val="004C4609"/>
    <w:rsid w:val="004C466A"/>
    <w:rsid w:val="004C48FF"/>
    <w:rsid w:val="004C4D36"/>
    <w:rsid w:val="004C4EF7"/>
    <w:rsid w:val="004C5035"/>
    <w:rsid w:val="004C5424"/>
    <w:rsid w:val="004C5462"/>
    <w:rsid w:val="004C56C2"/>
    <w:rsid w:val="004C57D0"/>
    <w:rsid w:val="004C590A"/>
    <w:rsid w:val="004C5B5B"/>
    <w:rsid w:val="004C5F61"/>
    <w:rsid w:val="004C61C2"/>
    <w:rsid w:val="004C632F"/>
    <w:rsid w:val="004C6380"/>
    <w:rsid w:val="004C63E0"/>
    <w:rsid w:val="004C66AE"/>
    <w:rsid w:val="004C69D1"/>
    <w:rsid w:val="004C69F5"/>
    <w:rsid w:val="004C6A5E"/>
    <w:rsid w:val="004C70ED"/>
    <w:rsid w:val="004C7543"/>
    <w:rsid w:val="004C7A0C"/>
    <w:rsid w:val="004C7C27"/>
    <w:rsid w:val="004D0450"/>
    <w:rsid w:val="004D048B"/>
    <w:rsid w:val="004D0853"/>
    <w:rsid w:val="004D0BA7"/>
    <w:rsid w:val="004D1013"/>
    <w:rsid w:val="004D133A"/>
    <w:rsid w:val="004D1545"/>
    <w:rsid w:val="004D1E26"/>
    <w:rsid w:val="004D1E4E"/>
    <w:rsid w:val="004D1E9B"/>
    <w:rsid w:val="004D212D"/>
    <w:rsid w:val="004D2504"/>
    <w:rsid w:val="004D2889"/>
    <w:rsid w:val="004D2A4A"/>
    <w:rsid w:val="004D2A6A"/>
    <w:rsid w:val="004D32E7"/>
    <w:rsid w:val="004D3AF3"/>
    <w:rsid w:val="004D3D2A"/>
    <w:rsid w:val="004D4334"/>
    <w:rsid w:val="004D43B2"/>
    <w:rsid w:val="004D4423"/>
    <w:rsid w:val="004D4476"/>
    <w:rsid w:val="004D4DF2"/>
    <w:rsid w:val="004D4EEF"/>
    <w:rsid w:val="004D556E"/>
    <w:rsid w:val="004D558B"/>
    <w:rsid w:val="004D5B6B"/>
    <w:rsid w:val="004D5BE2"/>
    <w:rsid w:val="004D5C0A"/>
    <w:rsid w:val="004D5F5F"/>
    <w:rsid w:val="004D6235"/>
    <w:rsid w:val="004D624A"/>
    <w:rsid w:val="004D6A3A"/>
    <w:rsid w:val="004D6C63"/>
    <w:rsid w:val="004D73E3"/>
    <w:rsid w:val="004D7D3F"/>
    <w:rsid w:val="004D7DE3"/>
    <w:rsid w:val="004E0322"/>
    <w:rsid w:val="004E0468"/>
    <w:rsid w:val="004E0832"/>
    <w:rsid w:val="004E113E"/>
    <w:rsid w:val="004E14AB"/>
    <w:rsid w:val="004E156D"/>
    <w:rsid w:val="004E15F7"/>
    <w:rsid w:val="004E17CC"/>
    <w:rsid w:val="004E1AC3"/>
    <w:rsid w:val="004E1C4C"/>
    <w:rsid w:val="004E1DC7"/>
    <w:rsid w:val="004E1E51"/>
    <w:rsid w:val="004E2208"/>
    <w:rsid w:val="004E22D6"/>
    <w:rsid w:val="004E23EF"/>
    <w:rsid w:val="004E24D7"/>
    <w:rsid w:val="004E2732"/>
    <w:rsid w:val="004E279C"/>
    <w:rsid w:val="004E2D1F"/>
    <w:rsid w:val="004E2D23"/>
    <w:rsid w:val="004E398C"/>
    <w:rsid w:val="004E39CF"/>
    <w:rsid w:val="004E39D3"/>
    <w:rsid w:val="004E3B71"/>
    <w:rsid w:val="004E3EA7"/>
    <w:rsid w:val="004E4165"/>
    <w:rsid w:val="004E4BC1"/>
    <w:rsid w:val="004E514D"/>
    <w:rsid w:val="004E5312"/>
    <w:rsid w:val="004E54CB"/>
    <w:rsid w:val="004E5624"/>
    <w:rsid w:val="004E5889"/>
    <w:rsid w:val="004E596F"/>
    <w:rsid w:val="004E5C29"/>
    <w:rsid w:val="004E5D1B"/>
    <w:rsid w:val="004E60B2"/>
    <w:rsid w:val="004E6471"/>
    <w:rsid w:val="004E64E2"/>
    <w:rsid w:val="004E6E4A"/>
    <w:rsid w:val="004E7257"/>
    <w:rsid w:val="004E741F"/>
    <w:rsid w:val="004E778B"/>
    <w:rsid w:val="004E7818"/>
    <w:rsid w:val="004E7D1E"/>
    <w:rsid w:val="004F01A6"/>
    <w:rsid w:val="004F0639"/>
    <w:rsid w:val="004F063F"/>
    <w:rsid w:val="004F0CA9"/>
    <w:rsid w:val="004F0E4D"/>
    <w:rsid w:val="004F1251"/>
    <w:rsid w:val="004F1476"/>
    <w:rsid w:val="004F1505"/>
    <w:rsid w:val="004F1E29"/>
    <w:rsid w:val="004F268F"/>
    <w:rsid w:val="004F2E18"/>
    <w:rsid w:val="004F2FAF"/>
    <w:rsid w:val="004F30F3"/>
    <w:rsid w:val="004F32FF"/>
    <w:rsid w:val="004F339C"/>
    <w:rsid w:val="004F3420"/>
    <w:rsid w:val="004F36D7"/>
    <w:rsid w:val="004F38F3"/>
    <w:rsid w:val="004F39E7"/>
    <w:rsid w:val="004F3C1C"/>
    <w:rsid w:val="004F3C5A"/>
    <w:rsid w:val="004F3D78"/>
    <w:rsid w:val="004F42CC"/>
    <w:rsid w:val="004F434C"/>
    <w:rsid w:val="004F448B"/>
    <w:rsid w:val="004F4B37"/>
    <w:rsid w:val="004F4FD6"/>
    <w:rsid w:val="004F511A"/>
    <w:rsid w:val="004F52AD"/>
    <w:rsid w:val="004F54F4"/>
    <w:rsid w:val="004F563B"/>
    <w:rsid w:val="004F5716"/>
    <w:rsid w:val="004F5904"/>
    <w:rsid w:val="004F61FF"/>
    <w:rsid w:val="004F690D"/>
    <w:rsid w:val="004F69E4"/>
    <w:rsid w:val="004F6A96"/>
    <w:rsid w:val="004F6C0B"/>
    <w:rsid w:val="004F7187"/>
    <w:rsid w:val="004F75A2"/>
    <w:rsid w:val="004F76BA"/>
    <w:rsid w:val="004F7C3B"/>
    <w:rsid w:val="004F7CDA"/>
    <w:rsid w:val="004F7E1A"/>
    <w:rsid w:val="005002BC"/>
    <w:rsid w:val="005003B5"/>
    <w:rsid w:val="005008B4"/>
    <w:rsid w:val="00500A70"/>
    <w:rsid w:val="00500CB3"/>
    <w:rsid w:val="00500DB8"/>
    <w:rsid w:val="00501242"/>
    <w:rsid w:val="0050151B"/>
    <w:rsid w:val="00501A8D"/>
    <w:rsid w:val="005020F5"/>
    <w:rsid w:val="0050241B"/>
    <w:rsid w:val="00502468"/>
    <w:rsid w:val="00502529"/>
    <w:rsid w:val="00502547"/>
    <w:rsid w:val="0050257D"/>
    <w:rsid w:val="0050332E"/>
    <w:rsid w:val="00503535"/>
    <w:rsid w:val="00503802"/>
    <w:rsid w:val="00503A52"/>
    <w:rsid w:val="00503BBD"/>
    <w:rsid w:val="005040A9"/>
    <w:rsid w:val="00504334"/>
    <w:rsid w:val="005049E3"/>
    <w:rsid w:val="00504DC5"/>
    <w:rsid w:val="005053BA"/>
    <w:rsid w:val="005056DE"/>
    <w:rsid w:val="0050571F"/>
    <w:rsid w:val="00505935"/>
    <w:rsid w:val="00505F95"/>
    <w:rsid w:val="0050610D"/>
    <w:rsid w:val="005062C2"/>
    <w:rsid w:val="005075F4"/>
    <w:rsid w:val="005076CE"/>
    <w:rsid w:val="005076FD"/>
    <w:rsid w:val="005077BA"/>
    <w:rsid w:val="00507AC6"/>
    <w:rsid w:val="00507BC6"/>
    <w:rsid w:val="0051035F"/>
    <w:rsid w:val="0051043A"/>
    <w:rsid w:val="005106CC"/>
    <w:rsid w:val="0051111F"/>
    <w:rsid w:val="0051132B"/>
    <w:rsid w:val="00511405"/>
    <w:rsid w:val="005118AF"/>
    <w:rsid w:val="005119CD"/>
    <w:rsid w:val="00511ACB"/>
    <w:rsid w:val="00511E3C"/>
    <w:rsid w:val="005129AE"/>
    <w:rsid w:val="00512A96"/>
    <w:rsid w:val="00512D34"/>
    <w:rsid w:val="005134AC"/>
    <w:rsid w:val="00513554"/>
    <w:rsid w:val="005135C8"/>
    <w:rsid w:val="005137F2"/>
    <w:rsid w:val="005139E1"/>
    <w:rsid w:val="00513D1D"/>
    <w:rsid w:val="0051431C"/>
    <w:rsid w:val="00514422"/>
    <w:rsid w:val="00515058"/>
    <w:rsid w:val="005150C1"/>
    <w:rsid w:val="0051529F"/>
    <w:rsid w:val="00515D94"/>
    <w:rsid w:val="00515FE8"/>
    <w:rsid w:val="0051630B"/>
    <w:rsid w:val="00516AB3"/>
    <w:rsid w:val="00517023"/>
    <w:rsid w:val="00517031"/>
    <w:rsid w:val="005170B9"/>
    <w:rsid w:val="00517239"/>
    <w:rsid w:val="00517A8A"/>
    <w:rsid w:val="00517BFF"/>
    <w:rsid w:val="00517F26"/>
    <w:rsid w:val="00520315"/>
    <w:rsid w:val="005210C7"/>
    <w:rsid w:val="005213AF"/>
    <w:rsid w:val="00521639"/>
    <w:rsid w:val="00521A34"/>
    <w:rsid w:val="00521BA3"/>
    <w:rsid w:val="00521C18"/>
    <w:rsid w:val="00521C21"/>
    <w:rsid w:val="00521E0D"/>
    <w:rsid w:val="00521ECA"/>
    <w:rsid w:val="005220A2"/>
    <w:rsid w:val="00522251"/>
    <w:rsid w:val="00522EA8"/>
    <w:rsid w:val="00522EC1"/>
    <w:rsid w:val="00522FB1"/>
    <w:rsid w:val="00523102"/>
    <w:rsid w:val="0052316A"/>
    <w:rsid w:val="005233CB"/>
    <w:rsid w:val="00523835"/>
    <w:rsid w:val="0052383F"/>
    <w:rsid w:val="00523B71"/>
    <w:rsid w:val="00523FD1"/>
    <w:rsid w:val="00524362"/>
    <w:rsid w:val="00524405"/>
    <w:rsid w:val="005244FE"/>
    <w:rsid w:val="0052454B"/>
    <w:rsid w:val="005247A9"/>
    <w:rsid w:val="00525319"/>
    <w:rsid w:val="005257DF"/>
    <w:rsid w:val="005258F3"/>
    <w:rsid w:val="00525B47"/>
    <w:rsid w:val="00525C12"/>
    <w:rsid w:val="00526AF1"/>
    <w:rsid w:val="00526BDB"/>
    <w:rsid w:val="005270D9"/>
    <w:rsid w:val="00527578"/>
    <w:rsid w:val="00527589"/>
    <w:rsid w:val="0052783B"/>
    <w:rsid w:val="00527B8A"/>
    <w:rsid w:val="00527C77"/>
    <w:rsid w:val="005301F0"/>
    <w:rsid w:val="0053053E"/>
    <w:rsid w:val="005305CD"/>
    <w:rsid w:val="005308B3"/>
    <w:rsid w:val="00530CD9"/>
    <w:rsid w:val="0053112E"/>
    <w:rsid w:val="0053195D"/>
    <w:rsid w:val="00531AF8"/>
    <w:rsid w:val="00531DB6"/>
    <w:rsid w:val="00531F1E"/>
    <w:rsid w:val="00531F5F"/>
    <w:rsid w:val="00532529"/>
    <w:rsid w:val="00532EE4"/>
    <w:rsid w:val="00532F91"/>
    <w:rsid w:val="00532FA2"/>
    <w:rsid w:val="00532FFA"/>
    <w:rsid w:val="005331C8"/>
    <w:rsid w:val="00533215"/>
    <w:rsid w:val="0053326D"/>
    <w:rsid w:val="00533288"/>
    <w:rsid w:val="0053333A"/>
    <w:rsid w:val="0053333C"/>
    <w:rsid w:val="00533497"/>
    <w:rsid w:val="0053394E"/>
    <w:rsid w:val="005339F1"/>
    <w:rsid w:val="00533C69"/>
    <w:rsid w:val="005342EE"/>
    <w:rsid w:val="00534CAA"/>
    <w:rsid w:val="00534FA2"/>
    <w:rsid w:val="00535015"/>
    <w:rsid w:val="0053539F"/>
    <w:rsid w:val="00535761"/>
    <w:rsid w:val="005359DD"/>
    <w:rsid w:val="00535C62"/>
    <w:rsid w:val="00535DA6"/>
    <w:rsid w:val="0053653F"/>
    <w:rsid w:val="00536564"/>
    <w:rsid w:val="005368DD"/>
    <w:rsid w:val="00536A14"/>
    <w:rsid w:val="00536A38"/>
    <w:rsid w:val="00536A70"/>
    <w:rsid w:val="00536F2C"/>
    <w:rsid w:val="005375A9"/>
    <w:rsid w:val="00537615"/>
    <w:rsid w:val="00537F01"/>
    <w:rsid w:val="00540394"/>
    <w:rsid w:val="0054086B"/>
    <w:rsid w:val="0054097E"/>
    <w:rsid w:val="00540997"/>
    <w:rsid w:val="005409F5"/>
    <w:rsid w:val="00540A7E"/>
    <w:rsid w:val="00540DB2"/>
    <w:rsid w:val="00541245"/>
    <w:rsid w:val="00541318"/>
    <w:rsid w:val="00541503"/>
    <w:rsid w:val="0054151D"/>
    <w:rsid w:val="00541534"/>
    <w:rsid w:val="00541712"/>
    <w:rsid w:val="00541BC6"/>
    <w:rsid w:val="00541FE3"/>
    <w:rsid w:val="00542059"/>
    <w:rsid w:val="00542121"/>
    <w:rsid w:val="005422C9"/>
    <w:rsid w:val="00542ACF"/>
    <w:rsid w:val="00542FAB"/>
    <w:rsid w:val="00543448"/>
    <w:rsid w:val="00543882"/>
    <w:rsid w:val="00543BEB"/>
    <w:rsid w:val="00543CCF"/>
    <w:rsid w:val="00543D59"/>
    <w:rsid w:val="00543D5E"/>
    <w:rsid w:val="00543EBF"/>
    <w:rsid w:val="00544809"/>
    <w:rsid w:val="00544E35"/>
    <w:rsid w:val="005459CA"/>
    <w:rsid w:val="00545A0F"/>
    <w:rsid w:val="00545E8E"/>
    <w:rsid w:val="005463EF"/>
    <w:rsid w:val="005464E3"/>
    <w:rsid w:val="005467A6"/>
    <w:rsid w:val="0054680B"/>
    <w:rsid w:val="005468A5"/>
    <w:rsid w:val="005468CD"/>
    <w:rsid w:val="00546DFE"/>
    <w:rsid w:val="00546E7C"/>
    <w:rsid w:val="00546F91"/>
    <w:rsid w:val="005474F2"/>
    <w:rsid w:val="00547809"/>
    <w:rsid w:val="00547D1B"/>
    <w:rsid w:val="005502AC"/>
    <w:rsid w:val="00550683"/>
    <w:rsid w:val="00550B0F"/>
    <w:rsid w:val="005510EA"/>
    <w:rsid w:val="0055124F"/>
    <w:rsid w:val="005512B2"/>
    <w:rsid w:val="005516AF"/>
    <w:rsid w:val="00551CE5"/>
    <w:rsid w:val="00551EAF"/>
    <w:rsid w:val="00551ED6"/>
    <w:rsid w:val="005520E3"/>
    <w:rsid w:val="005522C9"/>
    <w:rsid w:val="00552320"/>
    <w:rsid w:val="0055235E"/>
    <w:rsid w:val="005524E0"/>
    <w:rsid w:val="00553439"/>
    <w:rsid w:val="0055369A"/>
    <w:rsid w:val="00553783"/>
    <w:rsid w:val="00553A07"/>
    <w:rsid w:val="00554310"/>
    <w:rsid w:val="005548FE"/>
    <w:rsid w:val="00554E72"/>
    <w:rsid w:val="0055509E"/>
    <w:rsid w:val="00556D68"/>
    <w:rsid w:val="005570E9"/>
    <w:rsid w:val="0055721B"/>
    <w:rsid w:val="00557222"/>
    <w:rsid w:val="005575AD"/>
    <w:rsid w:val="00557755"/>
    <w:rsid w:val="00557AA7"/>
    <w:rsid w:val="0056025D"/>
    <w:rsid w:val="0056073B"/>
    <w:rsid w:val="00560B17"/>
    <w:rsid w:val="00560D52"/>
    <w:rsid w:val="0056140F"/>
    <w:rsid w:val="00561428"/>
    <w:rsid w:val="00561A9E"/>
    <w:rsid w:val="00561D0C"/>
    <w:rsid w:val="00561DA8"/>
    <w:rsid w:val="00562512"/>
    <w:rsid w:val="00562614"/>
    <w:rsid w:val="005627A2"/>
    <w:rsid w:val="005627AB"/>
    <w:rsid w:val="00562CB6"/>
    <w:rsid w:val="00562F18"/>
    <w:rsid w:val="00562F26"/>
    <w:rsid w:val="00563031"/>
    <w:rsid w:val="00563386"/>
    <w:rsid w:val="00563569"/>
    <w:rsid w:val="00563831"/>
    <w:rsid w:val="005639DE"/>
    <w:rsid w:val="00563A4D"/>
    <w:rsid w:val="00563D32"/>
    <w:rsid w:val="00563EA1"/>
    <w:rsid w:val="0056411C"/>
    <w:rsid w:val="005644D8"/>
    <w:rsid w:val="0056461E"/>
    <w:rsid w:val="00564764"/>
    <w:rsid w:val="00564D83"/>
    <w:rsid w:val="00564EDE"/>
    <w:rsid w:val="005650CE"/>
    <w:rsid w:val="00565164"/>
    <w:rsid w:val="00565775"/>
    <w:rsid w:val="0056580E"/>
    <w:rsid w:val="0056587B"/>
    <w:rsid w:val="00565AB3"/>
    <w:rsid w:val="00565C82"/>
    <w:rsid w:val="00566639"/>
    <w:rsid w:val="0056695F"/>
    <w:rsid w:val="00567287"/>
    <w:rsid w:val="005672AD"/>
    <w:rsid w:val="00567625"/>
    <w:rsid w:val="00567740"/>
    <w:rsid w:val="00567B4B"/>
    <w:rsid w:val="00567F7B"/>
    <w:rsid w:val="0057022A"/>
    <w:rsid w:val="00570355"/>
    <w:rsid w:val="005704BC"/>
    <w:rsid w:val="00570684"/>
    <w:rsid w:val="00570A2A"/>
    <w:rsid w:val="00570C6D"/>
    <w:rsid w:val="00570D15"/>
    <w:rsid w:val="00570E4C"/>
    <w:rsid w:val="005710DA"/>
    <w:rsid w:val="00571560"/>
    <w:rsid w:val="005716BA"/>
    <w:rsid w:val="00571A73"/>
    <w:rsid w:val="00571B22"/>
    <w:rsid w:val="00571C28"/>
    <w:rsid w:val="00571E16"/>
    <w:rsid w:val="00572033"/>
    <w:rsid w:val="005722CD"/>
    <w:rsid w:val="005722F8"/>
    <w:rsid w:val="0057258F"/>
    <w:rsid w:val="005727DC"/>
    <w:rsid w:val="005727DF"/>
    <w:rsid w:val="00572A04"/>
    <w:rsid w:val="00572CBC"/>
    <w:rsid w:val="005739FF"/>
    <w:rsid w:val="00573E5C"/>
    <w:rsid w:val="0057426C"/>
    <w:rsid w:val="005745EE"/>
    <w:rsid w:val="00574609"/>
    <w:rsid w:val="00574AF7"/>
    <w:rsid w:val="00574B08"/>
    <w:rsid w:val="00574B09"/>
    <w:rsid w:val="00574CA3"/>
    <w:rsid w:val="005759B6"/>
    <w:rsid w:val="00575BCA"/>
    <w:rsid w:val="00575F5C"/>
    <w:rsid w:val="00576197"/>
    <w:rsid w:val="00576563"/>
    <w:rsid w:val="005768AC"/>
    <w:rsid w:val="00576B73"/>
    <w:rsid w:val="00576CCB"/>
    <w:rsid w:val="005774AE"/>
    <w:rsid w:val="005774F9"/>
    <w:rsid w:val="005776BA"/>
    <w:rsid w:val="005778F3"/>
    <w:rsid w:val="00577B33"/>
    <w:rsid w:val="00577BC6"/>
    <w:rsid w:val="005800FB"/>
    <w:rsid w:val="00580131"/>
    <w:rsid w:val="00580319"/>
    <w:rsid w:val="005806C6"/>
    <w:rsid w:val="00581291"/>
    <w:rsid w:val="00582384"/>
    <w:rsid w:val="00582672"/>
    <w:rsid w:val="005826D4"/>
    <w:rsid w:val="005827DD"/>
    <w:rsid w:val="00582BB1"/>
    <w:rsid w:val="00582D51"/>
    <w:rsid w:val="005831A7"/>
    <w:rsid w:val="005834EC"/>
    <w:rsid w:val="005837D9"/>
    <w:rsid w:val="005837F2"/>
    <w:rsid w:val="00583B84"/>
    <w:rsid w:val="00583C90"/>
    <w:rsid w:val="00584246"/>
    <w:rsid w:val="005842B5"/>
    <w:rsid w:val="00584795"/>
    <w:rsid w:val="0058491E"/>
    <w:rsid w:val="00584C97"/>
    <w:rsid w:val="00584D0C"/>
    <w:rsid w:val="00584E8D"/>
    <w:rsid w:val="005850F5"/>
    <w:rsid w:val="0058511E"/>
    <w:rsid w:val="00585465"/>
    <w:rsid w:val="00585466"/>
    <w:rsid w:val="005854B9"/>
    <w:rsid w:val="005854DB"/>
    <w:rsid w:val="00585A7D"/>
    <w:rsid w:val="00585AAF"/>
    <w:rsid w:val="00585C63"/>
    <w:rsid w:val="00585F38"/>
    <w:rsid w:val="0058627A"/>
    <w:rsid w:val="005863AA"/>
    <w:rsid w:val="00586698"/>
    <w:rsid w:val="005866DC"/>
    <w:rsid w:val="005866E1"/>
    <w:rsid w:val="005867C1"/>
    <w:rsid w:val="005868F9"/>
    <w:rsid w:val="00586BDF"/>
    <w:rsid w:val="00587106"/>
    <w:rsid w:val="0058746F"/>
    <w:rsid w:val="005875C2"/>
    <w:rsid w:val="005876B1"/>
    <w:rsid w:val="00587B44"/>
    <w:rsid w:val="00587BA5"/>
    <w:rsid w:val="00587BE8"/>
    <w:rsid w:val="00587DEE"/>
    <w:rsid w:val="00587F62"/>
    <w:rsid w:val="0059010D"/>
    <w:rsid w:val="005902B5"/>
    <w:rsid w:val="005903DE"/>
    <w:rsid w:val="005908F3"/>
    <w:rsid w:val="00590BB0"/>
    <w:rsid w:val="0059150A"/>
    <w:rsid w:val="00591664"/>
    <w:rsid w:val="00591D81"/>
    <w:rsid w:val="00591F1B"/>
    <w:rsid w:val="00592195"/>
    <w:rsid w:val="005925AA"/>
    <w:rsid w:val="0059288D"/>
    <w:rsid w:val="0059292E"/>
    <w:rsid w:val="00592931"/>
    <w:rsid w:val="005929D6"/>
    <w:rsid w:val="00592B67"/>
    <w:rsid w:val="00592D79"/>
    <w:rsid w:val="00593450"/>
    <w:rsid w:val="00593625"/>
    <w:rsid w:val="00593C2A"/>
    <w:rsid w:val="00593E0A"/>
    <w:rsid w:val="005948C7"/>
    <w:rsid w:val="00594ADE"/>
    <w:rsid w:val="00594B25"/>
    <w:rsid w:val="00594E69"/>
    <w:rsid w:val="005950FD"/>
    <w:rsid w:val="00595114"/>
    <w:rsid w:val="005955E6"/>
    <w:rsid w:val="005956CA"/>
    <w:rsid w:val="00595868"/>
    <w:rsid w:val="00595906"/>
    <w:rsid w:val="00595C4B"/>
    <w:rsid w:val="00596225"/>
    <w:rsid w:val="0059663C"/>
    <w:rsid w:val="0059686B"/>
    <w:rsid w:val="00596E13"/>
    <w:rsid w:val="005973C4"/>
    <w:rsid w:val="00597FE1"/>
    <w:rsid w:val="005A0710"/>
    <w:rsid w:val="005A08DB"/>
    <w:rsid w:val="005A0CF0"/>
    <w:rsid w:val="005A139C"/>
    <w:rsid w:val="005A16F9"/>
    <w:rsid w:val="005A1EF2"/>
    <w:rsid w:val="005A2246"/>
    <w:rsid w:val="005A23A8"/>
    <w:rsid w:val="005A2719"/>
    <w:rsid w:val="005A2ED8"/>
    <w:rsid w:val="005A2F0D"/>
    <w:rsid w:val="005A30C6"/>
    <w:rsid w:val="005A31BE"/>
    <w:rsid w:val="005A369D"/>
    <w:rsid w:val="005A374B"/>
    <w:rsid w:val="005A3BF4"/>
    <w:rsid w:val="005A4096"/>
    <w:rsid w:val="005A45EB"/>
    <w:rsid w:val="005A4C5B"/>
    <w:rsid w:val="005A51CA"/>
    <w:rsid w:val="005A52E7"/>
    <w:rsid w:val="005A53DA"/>
    <w:rsid w:val="005A58FB"/>
    <w:rsid w:val="005A5CDA"/>
    <w:rsid w:val="005A614E"/>
    <w:rsid w:val="005A634B"/>
    <w:rsid w:val="005A66C8"/>
    <w:rsid w:val="005A689F"/>
    <w:rsid w:val="005A6F2A"/>
    <w:rsid w:val="005A78D8"/>
    <w:rsid w:val="005A7AC1"/>
    <w:rsid w:val="005B0194"/>
    <w:rsid w:val="005B02A8"/>
    <w:rsid w:val="005B03F5"/>
    <w:rsid w:val="005B043B"/>
    <w:rsid w:val="005B05C5"/>
    <w:rsid w:val="005B0D30"/>
    <w:rsid w:val="005B0E74"/>
    <w:rsid w:val="005B1158"/>
    <w:rsid w:val="005B1212"/>
    <w:rsid w:val="005B1743"/>
    <w:rsid w:val="005B19A4"/>
    <w:rsid w:val="005B1A37"/>
    <w:rsid w:val="005B1BCB"/>
    <w:rsid w:val="005B1F34"/>
    <w:rsid w:val="005B2218"/>
    <w:rsid w:val="005B2226"/>
    <w:rsid w:val="005B24D6"/>
    <w:rsid w:val="005B26FD"/>
    <w:rsid w:val="005B2825"/>
    <w:rsid w:val="005B2BF5"/>
    <w:rsid w:val="005B2DEF"/>
    <w:rsid w:val="005B355F"/>
    <w:rsid w:val="005B3666"/>
    <w:rsid w:val="005B3C29"/>
    <w:rsid w:val="005B4695"/>
    <w:rsid w:val="005B4804"/>
    <w:rsid w:val="005B4C3E"/>
    <w:rsid w:val="005B4DEA"/>
    <w:rsid w:val="005B5544"/>
    <w:rsid w:val="005B56E0"/>
    <w:rsid w:val="005B5813"/>
    <w:rsid w:val="005B592C"/>
    <w:rsid w:val="005B6009"/>
    <w:rsid w:val="005B604B"/>
    <w:rsid w:val="005B62A5"/>
    <w:rsid w:val="005B6413"/>
    <w:rsid w:val="005B6427"/>
    <w:rsid w:val="005B6704"/>
    <w:rsid w:val="005B6BB9"/>
    <w:rsid w:val="005B6D8A"/>
    <w:rsid w:val="005B6F14"/>
    <w:rsid w:val="005B7213"/>
    <w:rsid w:val="005B7695"/>
    <w:rsid w:val="005B7F70"/>
    <w:rsid w:val="005C0267"/>
    <w:rsid w:val="005C0392"/>
    <w:rsid w:val="005C0545"/>
    <w:rsid w:val="005C089D"/>
    <w:rsid w:val="005C0C5A"/>
    <w:rsid w:val="005C0D6C"/>
    <w:rsid w:val="005C133E"/>
    <w:rsid w:val="005C1509"/>
    <w:rsid w:val="005C154B"/>
    <w:rsid w:val="005C1A3D"/>
    <w:rsid w:val="005C1BF8"/>
    <w:rsid w:val="005C1FC4"/>
    <w:rsid w:val="005C2180"/>
    <w:rsid w:val="005C28B2"/>
    <w:rsid w:val="005C2AB7"/>
    <w:rsid w:val="005C2FCB"/>
    <w:rsid w:val="005C33A3"/>
    <w:rsid w:val="005C34C5"/>
    <w:rsid w:val="005C3983"/>
    <w:rsid w:val="005C3EEF"/>
    <w:rsid w:val="005C3EFE"/>
    <w:rsid w:val="005C4B4B"/>
    <w:rsid w:val="005C4CD6"/>
    <w:rsid w:val="005C554B"/>
    <w:rsid w:val="005C5DA6"/>
    <w:rsid w:val="005C62FD"/>
    <w:rsid w:val="005C67A7"/>
    <w:rsid w:val="005C686B"/>
    <w:rsid w:val="005C68EB"/>
    <w:rsid w:val="005C6976"/>
    <w:rsid w:val="005C69D7"/>
    <w:rsid w:val="005C6C0C"/>
    <w:rsid w:val="005C73CA"/>
    <w:rsid w:val="005C7A7D"/>
    <w:rsid w:val="005C7ADA"/>
    <w:rsid w:val="005C7F20"/>
    <w:rsid w:val="005D0A16"/>
    <w:rsid w:val="005D0EA4"/>
    <w:rsid w:val="005D1113"/>
    <w:rsid w:val="005D128B"/>
    <w:rsid w:val="005D1315"/>
    <w:rsid w:val="005D136E"/>
    <w:rsid w:val="005D214B"/>
    <w:rsid w:val="005D241B"/>
    <w:rsid w:val="005D2543"/>
    <w:rsid w:val="005D2BC9"/>
    <w:rsid w:val="005D2C34"/>
    <w:rsid w:val="005D2D06"/>
    <w:rsid w:val="005D2F81"/>
    <w:rsid w:val="005D3320"/>
    <w:rsid w:val="005D3532"/>
    <w:rsid w:val="005D354A"/>
    <w:rsid w:val="005D376C"/>
    <w:rsid w:val="005D383F"/>
    <w:rsid w:val="005D3A48"/>
    <w:rsid w:val="005D4987"/>
    <w:rsid w:val="005D4C92"/>
    <w:rsid w:val="005D4E14"/>
    <w:rsid w:val="005D5237"/>
    <w:rsid w:val="005D56AB"/>
    <w:rsid w:val="005D58C2"/>
    <w:rsid w:val="005D5A03"/>
    <w:rsid w:val="005D5BF3"/>
    <w:rsid w:val="005D5F15"/>
    <w:rsid w:val="005D605F"/>
    <w:rsid w:val="005D6742"/>
    <w:rsid w:val="005D6830"/>
    <w:rsid w:val="005D6F2E"/>
    <w:rsid w:val="005D7474"/>
    <w:rsid w:val="005D755D"/>
    <w:rsid w:val="005D7AB0"/>
    <w:rsid w:val="005D7B0C"/>
    <w:rsid w:val="005D7B30"/>
    <w:rsid w:val="005D7EC7"/>
    <w:rsid w:val="005E04D7"/>
    <w:rsid w:val="005E0B95"/>
    <w:rsid w:val="005E1368"/>
    <w:rsid w:val="005E1505"/>
    <w:rsid w:val="005E26E8"/>
    <w:rsid w:val="005E276B"/>
    <w:rsid w:val="005E27EA"/>
    <w:rsid w:val="005E2900"/>
    <w:rsid w:val="005E2A30"/>
    <w:rsid w:val="005E2A58"/>
    <w:rsid w:val="005E4160"/>
    <w:rsid w:val="005E44EA"/>
    <w:rsid w:val="005E4602"/>
    <w:rsid w:val="005E4B63"/>
    <w:rsid w:val="005E4CB3"/>
    <w:rsid w:val="005E4E70"/>
    <w:rsid w:val="005E4F6E"/>
    <w:rsid w:val="005E52BC"/>
    <w:rsid w:val="005E58CE"/>
    <w:rsid w:val="005E5A61"/>
    <w:rsid w:val="005E5AB3"/>
    <w:rsid w:val="005E5C0F"/>
    <w:rsid w:val="005E6DBC"/>
    <w:rsid w:val="005E7154"/>
    <w:rsid w:val="005E748F"/>
    <w:rsid w:val="005E76F3"/>
    <w:rsid w:val="005E7E83"/>
    <w:rsid w:val="005F027E"/>
    <w:rsid w:val="005F03B0"/>
    <w:rsid w:val="005F0494"/>
    <w:rsid w:val="005F05AE"/>
    <w:rsid w:val="005F06F1"/>
    <w:rsid w:val="005F0943"/>
    <w:rsid w:val="005F13C3"/>
    <w:rsid w:val="005F166E"/>
    <w:rsid w:val="005F16C6"/>
    <w:rsid w:val="005F16D2"/>
    <w:rsid w:val="005F1A9B"/>
    <w:rsid w:val="005F1BA9"/>
    <w:rsid w:val="005F1DE0"/>
    <w:rsid w:val="005F1F03"/>
    <w:rsid w:val="005F201C"/>
    <w:rsid w:val="005F22A8"/>
    <w:rsid w:val="005F232C"/>
    <w:rsid w:val="005F2713"/>
    <w:rsid w:val="005F2843"/>
    <w:rsid w:val="005F284F"/>
    <w:rsid w:val="005F2997"/>
    <w:rsid w:val="005F3213"/>
    <w:rsid w:val="005F356B"/>
    <w:rsid w:val="005F35E9"/>
    <w:rsid w:val="005F3610"/>
    <w:rsid w:val="005F362F"/>
    <w:rsid w:val="005F3C9C"/>
    <w:rsid w:val="005F3CCC"/>
    <w:rsid w:val="005F4A87"/>
    <w:rsid w:val="005F4EC0"/>
    <w:rsid w:val="005F506A"/>
    <w:rsid w:val="005F52C2"/>
    <w:rsid w:val="005F5445"/>
    <w:rsid w:val="005F5652"/>
    <w:rsid w:val="005F592E"/>
    <w:rsid w:val="005F5B67"/>
    <w:rsid w:val="005F60EF"/>
    <w:rsid w:val="005F6710"/>
    <w:rsid w:val="005F6939"/>
    <w:rsid w:val="005F6B55"/>
    <w:rsid w:val="005F6E23"/>
    <w:rsid w:val="005F6FA3"/>
    <w:rsid w:val="005F7035"/>
    <w:rsid w:val="005F7406"/>
    <w:rsid w:val="005F7468"/>
    <w:rsid w:val="005F78AA"/>
    <w:rsid w:val="005F7A07"/>
    <w:rsid w:val="005F7D46"/>
    <w:rsid w:val="00600024"/>
    <w:rsid w:val="00600053"/>
    <w:rsid w:val="00600140"/>
    <w:rsid w:val="006001C8"/>
    <w:rsid w:val="00600475"/>
    <w:rsid w:val="00600B9A"/>
    <w:rsid w:val="00600D34"/>
    <w:rsid w:val="0060125D"/>
    <w:rsid w:val="00601EA2"/>
    <w:rsid w:val="006023B8"/>
    <w:rsid w:val="00602A0F"/>
    <w:rsid w:val="00602E0A"/>
    <w:rsid w:val="00602E75"/>
    <w:rsid w:val="006031EF"/>
    <w:rsid w:val="00603307"/>
    <w:rsid w:val="006036E4"/>
    <w:rsid w:val="00603758"/>
    <w:rsid w:val="0060381A"/>
    <w:rsid w:val="0060384C"/>
    <w:rsid w:val="006038B3"/>
    <w:rsid w:val="00603CFB"/>
    <w:rsid w:val="00603DE2"/>
    <w:rsid w:val="006043FE"/>
    <w:rsid w:val="006045C6"/>
    <w:rsid w:val="0060461E"/>
    <w:rsid w:val="00604832"/>
    <w:rsid w:val="006049F3"/>
    <w:rsid w:val="00604BCB"/>
    <w:rsid w:val="00604CD9"/>
    <w:rsid w:val="00604F57"/>
    <w:rsid w:val="00605248"/>
    <w:rsid w:val="0060565A"/>
    <w:rsid w:val="00605734"/>
    <w:rsid w:val="00605B4A"/>
    <w:rsid w:val="00606018"/>
    <w:rsid w:val="006061AD"/>
    <w:rsid w:val="006067CF"/>
    <w:rsid w:val="0060698B"/>
    <w:rsid w:val="00607620"/>
    <w:rsid w:val="006079E4"/>
    <w:rsid w:val="00607A2B"/>
    <w:rsid w:val="00607C21"/>
    <w:rsid w:val="00607F7E"/>
    <w:rsid w:val="00610067"/>
    <w:rsid w:val="006104BA"/>
    <w:rsid w:val="00610511"/>
    <w:rsid w:val="00610AB8"/>
    <w:rsid w:val="00610DAE"/>
    <w:rsid w:val="006113CA"/>
    <w:rsid w:val="00611604"/>
    <w:rsid w:val="00611A41"/>
    <w:rsid w:val="00611BCB"/>
    <w:rsid w:val="00611BD2"/>
    <w:rsid w:val="00611C82"/>
    <w:rsid w:val="006124CE"/>
    <w:rsid w:val="0061296B"/>
    <w:rsid w:val="00612A83"/>
    <w:rsid w:val="00612EA2"/>
    <w:rsid w:val="00613283"/>
    <w:rsid w:val="0061354F"/>
    <w:rsid w:val="0061375C"/>
    <w:rsid w:val="00613AE9"/>
    <w:rsid w:val="00613B95"/>
    <w:rsid w:val="00613D4D"/>
    <w:rsid w:val="00613F98"/>
    <w:rsid w:val="0061443A"/>
    <w:rsid w:val="00614664"/>
    <w:rsid w:val="00615DF4"/>
    <w:rsid w:val="00616191"/>
    <w:rsid w:val="00616815"/>
    <w:rsid w:val="00616A74"/>
    <w:rsid w:val="0061787D"/>
    <w:rsid w:val="006179D1"/>
    <w:rsid w:val="00617B8C"/>
    <w:rsid w:val="006202B4"/>
    <w:rsid w:val="006209FD"/>
    <w:rsid w:val="00620BD7"/>
    <w:rsid w:val="00621039"/>
    <w:rsid w:val="0062115B"/>
    <w:rsid w:val="00621163"/>
    <w:rsid w:val="006216A2"/>
    <w:rsid w:val="006219C0"/>
    <w:rsid w:val="00621B3F"/>
    <w:rsid w:val="00621B5C"/>
    <w:rsid w:val="00622016"/>
    <w:rsid w:val="00622029"/>
    <w:rsid w:val="006221BA"/>
    <w:rsid w:val="00622476"/>
    <w:rsid w:val="0062258F"/>
    <w:rsid w:val="006227DF"/>
    <w:rsid w:val="006228C6"/>
    <w:rsid w:val="00622A3E"/>
    <w:rsid w:val="00622B10"/>
    <w:rsid w:val="00622CFE"/>
    <w:rsid w:val="0062300D"/>
    <w:rsid w:val="006231E6"/>
    <w:rsid w:val="00623D86"/>
    <w:rsid w:val="00623EA7"/>
    <w:rsid w:val="00624113"/>
    <w:rsid w:val="0062414A"/>
    <w:rsid w:val="006245A0"/>
    <w:rsid w:val="006246B6"/>
    <w:rsid w:val="0062482F"/>
    <w:rsid w:val="00624A59"/>
    <w:rsid w:val="00624B0F"/>
    <w:rsid w:val="00625054"/>
    <w:rsid w:val="00625E6B"/>
    <w:rsid w:val="00625F8B"/>
    <w:rsid w:val="00625FA8"/>
    <w:rsid w:val="00626082"/>
    <w:rsid w:val="0062643F"/>
    <w:rsid w:val="006264A3"/>
    <w:rsid w:val="006264D7"/>
    <w:rsid w:val="00626630"/>
    <w:rsid w:val="00626A6D"/>
    <w:rsid w:val="00626AB3"/>
    <w:rsid w:val="0062765D"/>
    <w:rsid w:val="006279C0"/>
    <w:rsid w:val="0063018A"/>
    <w:rsid w:val="00630983"/>
    <w:rsid w:val="006309DF"/>
    <w:rsid w:val="00630A9E"/>
    <w:rsid w:val="00630D71"/>
    <w:rsid w:val="006311AB"/>
    <w:rsid w:val="006313EB"/>
    <w:rsid w:val="0063158F"/>
    <w:rsid w:val="00631FE3"/>
    <w:rsid w:val="0063201E"/>
    <w:rsid w:val="006321FA"/>
    <w:rsid w:val="006324C9"/>
    <w:rsid w:val="00632558"/>
    <w:rsid w:val="00633070"/>
    <w:rsid w:val="0063309F"/>
    <w:rsid w:val="0063319A"/>
    <w:rsid w:val="00633323"/>
    <w:rsid w:val="006333DA"/>
    <w:rsid w:val="00633496"/>
    <w:rsid w:val="00633AC1"/>
    <w:rsid w:val="00633AD1"/>
    <w:rsid w:val="00633C09"/>
    <w:rsid w:val="00633CC1"/>
    <w:rsid w:val="00633CE4"/>
    <w:rsid w:val="00633E37"/>
    <w:rsid w:val="00634272"/>
    <w:rsid w:val="006344F7"/>
    <w:rsid w:val="006346C2"/>
    <w:rsid w:val="00634816"/>
    <w:rsid w:val="006349F1"/>
    <w:rsid w:val="00634A36"/>
    <w:rsid w:val="00634A7E"/>
    <w:rsid w:val="00635021"/>
    <w:rsid w:val="00635024"/>
    <w:rsid w:val="0063574A"/>
    <w:rsid w:val="00635882"/>
    <w:rsid w:val="00635A05"/>
    <w:rsid w:val="00635D43"/>
    <w:rsid w:val="00635EE2"/>
    <w:rsid w:val="00636291"/>
    <w:rsid w:val="006368E7"/>
    <w:rsid w:val="00636AF0"/>
    <w:rsid w:val="00636B00"/>
    <w:rsid w:val="00636E6E"/>
    <w:rsid w:val="00636EE9"/>
    <w:rsid w:val="00636F03"/>
    <w:rsid w:val="0063709D"/>
    <w:rsid w:val="006370D5"/>
    <w:rsid w:val="006371DD"/>
    <w:rsid w:val="00637311"/>
    <w:rsid w:val="0063741F"/>
    <w:rsid w:val="00637450"/>
    <w:rsid w:val="0063751B"/>
    <w:rsid w:val="00637534"/>
    <w:rsid w:val="0063767A"/>
    <w:rsid w:val="0063768C"/>
    <w:rsid w:val="006377A0"/>
    <w:rsid w:val="00637C91"/>
    <w:rsid w:val="00637E8A"/>
    <w:rsid w:val="00637F79"/>
    <w:rsid w:val="00640391"/>
    <w:rsid w:val="00640858"/>
    <w:rsid w:val="00640C24"/>
    <w:rsid w:val="00640C8E"/>
    <w:rsid w:val="00640DDC"/>
    <w:rsid w:val="00640E68"/>
    <w:rsid w:val="00641761"/>
    <w:rsid w:val="00641D1C"/>
    <w:rsid w:val="00641D47"/>
    <w:rsid w:val="00641F6E"/>
    <w:rsid w:val="00642391"/>
    <w:rsid w:val="0064239B"/>
    <w:rsid w:val="00642A0E"/>
    <w:rsid w:val="00642C72"/>
    <w:rsid w:val="00642E74"/>
    <w:rsid w:val="00642F15"/>
    <w:rsid w:val="006430ED"/>
    <w:rsid w:val="006438B1"/>
    <w:rsid w:val="00643A0E"/>
    <w:rsid w:val="00643E15"/>
    <w:rsid w:val="00643E81"/>
    <w:rsid w:val="00644321"/>
    <w:rsid w:val="006443A2"/>
    <w:rsid w:val="00645734"/>
    <w:rsid w:val="006457AF"/>
    <w:rsid w:val="00645B3A"/>
    <w:rsid w:val="00645BB0"/>
    <w:rsid w:val="006460D3"/>
    <w:rsid w:val="00646447"/>
    <w:rsid w:val="006468AA"/>
    <w:rsid w:val="00646A95"/>
    <w:rsid w:val="00646B1C"/>
    <w:rsid w:val="00646DE9"/>
    <w:rsid w:val="006477F2"/>
    <w:rsid w:val="0064799C"/>
    <w:rsid w:val="00647F03"/>
    <w:rsid w:val="00650144"/>
    <w:rsid w:val="006501BF"/>
    <w:rsid w:val="006503F0"/>
    <w:rsid w:val="00650AE9"/>
    <w:rsid w:val="006510ED"/>
    <w:rsid w:val="006511C8"/>
    <w:rsid w:val="0065138F"/>
    <w:rsid w:val="0065143A"/>
    <w:rsid w:val="006514E2"/>
    <w:rsid w:val="00651544"/>
    <w:rsid w:val="00651AB7"/>
    <w:rsid w:val="00651B2A"/>
    <w:rsid w:val="00651B93"/>
    <w:rsid w:val="00651C18"/>
    <w:rsid w:val="00652121"/>
    <w:rsid w:val="00652396"/>
    <w:rsid w:val="0065252C"/>
    <w:rsid w:val="006525D1"/>
    <w:rsid w:val="006527D7"/>
    <w:rsid w:val="006527E8"/>
    <w:rsid w:val="00652D50"/>
    <w:rsid w:val="00652E82"/>
    <w:rsid w:val="00653850"/>
    <w:rsid w:val="00653A16"/>
    <w:rsid w:val="00653A3B"/>
    <w:rsid w:val="006541DC"/>
    <w:rsid w:val="006541E0"/>
    <w:rsid w:val="00654210"/>
    <w:rsid w:val="006543CB"/>
    <w:rsid w:val="006544BC"/>
    <w:rsid w:val="00654945"/>
    <w:rsid w:val="006549D8"/>
    <w:rsid w:val="00654CEE"/>
    <w:rsid w:val="00654D5E"/>
    <w:rsid w:val="00655281"/>
    <w:rsid w:val="006553FE"/>
    <w:rsid w:val="00655B3D"/>
    <w:rsid w:val="00655C77"/>
    <w:rsid w:val="00656051"/>
    <w:rsid w:val="006564BE"/>
    <w:rsid w:val="00656662"/>
    <w:rsid w:val="006566B2"/>
    <w:rsid w:val="0065691E"/>
    <w:rsid w:val="00656AA4"/>
    <w:rsid w:val="00656FB5"/>
    <w:rsid w:val="00657014"/>
    <w:rsid w:val="00657226"/>
    <w:rsid w:val="00657728"/>
    <w:rsid w:val="0065776B"/>
    <w:rsid w:val="006578B6"/>
    <w:rsid w:val="006578FD"/>
    <w:rsid w:val="00657DD2"/>
    <w:rsid w:val="00657DDF"/>
    <w:rsid w:val="00657EC8"/>
    <w:rsid w:val="006601E3"/>
    <w:rsid w:val="006602A2"/>
    <w:rsid w:val="006607DD"/>
    <w:rsid w:val="00660DAC"/>
    <w:rsid w:val="00660EB6"/>
    <w:rsid w:val="0066125D"/>
    <w:rsid w:val="0066140D"/>
    <w:rsid w:val="00661973"/>
    <w:rsid w:val="00661B05"/>
    <w:rsid w:val="00661B07"/>
    <w:rsid w:val="00661B75"/>
    <w:rsid w:val="00662029"/>
    <w:rsid w:val="006620E2"/>
    <w:rsid w:val="006625AB"/>
    <w:rsid w:val="006626B2"/>
    <w:rsid w:val="0066270A"/>
    <w:rsid w:val="006632FA"/>
    <w:rsid w:val="00663399"/>
    <w:rsid w:val="00663463"/>
    <w:rsid w:val="006635C8"/>
    <w:rsid w:val="00664700"/>
    <w:rsid w:val="006649E7"/>
    <w:rsid w:val="00664AC8"/>
    <w:rsid w:val="00664B79"/>
    <w:rsid w:val="00664C87"/>
    <w:rsid w:val="0066552B"/>
    <w:rsid w:val="00665959"/>
    <w:rsid w:val="00665B8C"/>
    <w:rsid w:val="00665DD0"/>
    <w:rsid w:val="006662B1"/>
    <w:rsid w:val="00666783"/>
    <w:rsid w:val="00666891"/>
    <w:rsid w:val="00666E25"/>
    <w:rsid w:val="0066728A"/>
    <w:rsid w:val="00667665"/>
    <w:rsid w:val="006678A9"/>
    <w:rsid w:val="006678F0"/>
    <w:rsid w:val="00667F77"/>
    <w:rsid w:val="006700C8"/>
    <w:rsid w:val="00670C6D"/>
    <w:rsid w:val="00671595"/>
    <w:rsid w:val="00671668"/>
    <w:rsid w:val="00671821"/>
    <w:rsid w:val="00671C43"/>
    <w:rsid w:val="00672396"/>
    <w:rsid w:val="00672AFC"/>
    <w:rsid w:val="00672C0A"/>
    <w:rsid w:val="00673195"/>
    <w:rsid w:val="006734AE"/>
    <w:rsid w:val="0067358F"/>
    <w:rsid w:val="006736D6"/>
    <w:rsid w:val="00673800"/>
    <w:rsid w:val="006738BF"/>
    <w:rsid w:val="00673B7D"/>
    <w:rsid w:val="00673EFB"/>
    <w:rsid w:val="006740B7"/>
    <w:rsid w:val="006747A6"/>
    <w:rsid w:val="00674862"/>
    <w:rsid w:val="006748F1"/>
    <w:rsid w:val="00674A0E"/>
    <w:rsid w:val="00674B74"/>
    <w:rsid w:val="00675028"/>
    <w:rsid w:val="00675282"/>
    <w:rsid w:val="00675405"/>
    <w:rsid w:val="006755BC"/>
    <w:rsid w:val="00675660"/>
    <w:rsid w:val="00675887"/>
    <w:rsid w:val="00675FF8"/>
    <w:rsid w:val="006760E2"/>
    <w:rsid w:val="0067657E"/>
    <w:rsid w:val="00676915"/>
    <w:rsid w:val="0067703B"/>
    <w:rsid w:val="0067788F"/>
    <w:rsid w:val="00680E55"/>
    <w:rsid w:val="0068118C"/>
    <w:rsid w:val="00681341"/>
    <w:rsid w:val="006814A9"/>
    <w:rsid w:val="00681691"/>
    <w:rsid w:val="00681713"/>
    <w:rsid w:val="006818EF"/>
    <w:rsid w:val="00681BF7"/>
    <w:rsid w:val="00681CB1"/>
    <w:rsid w:val="00681EA1"/>
    <w:rsid w:val="00682322"/>
    <w:rsid w:val="0068288E"/>
    <w:rsid w:val="00683DDF"/>
    <w:rsid w:val="00683FA8"/>
    <w:rsid w:val="006840CC"/>
    <w:rsid w:val="00684161"/>
    <w:rsid w:val="006841DE"/>
    <w:rsid w:val="0068435F"/>
    <w:rsid w:val="00684722"/>
    <w:rsid w:val="00684975"/>
    <w:rsid w:val="00684AAE"/>
    <w:rsid w:val="006850B0"/>
    <w:rsid w:val="00685209"/>
    <w:rsid w:val="00685D6A"/>
    <w:rsid w:val="0068634A"/>
    <w:rsid w:val="0068645E"/>
    <w:rsid w:val="00686554"/>
    <w:rsid w:val="00686AA6"/>
    <w:rsid w:val="00686E3F"/>
    <w:rsid w:val="006877D9"/>
    <w:rsid w:val="0068791A"/>
    <w:rsid w:val="00687E38"/>
    <w:rsid w:val="00687EB0"/>
    <w:rsid w:val="00690169"/>
    <w:rsid w:val="00690376"/>
    <w:rsid w:val="0069084F"/>
    <w:rsid w:val="006908BB"/>
    <w:rsid w:val="006919BE"/>
    <w:rsid w:val="0069203B"/>
    <w:rsid w:val="006920CD"/>
    <w:rsid w:val="006923F1"/>
    <w:rsid w:val="006927A2"/>
    <w:rsid w:val="00692ED3"/>
    <w:rsid w:val="00692F65"/>
    <w:rsid w:val="0069332C"/>
    <w:rsid w:val="006938FD"/>
    <w:rsid w:val="00693D5D"/>
    <w:rsid w:val="0069404C"/>
    <w:rsid w:val="00694206"/>
    <w:rsid w:val="00694380"/>
    <w:rsid w:val="00694480"/>
    <w:rsid w:val="00694576"/>
    <w:rsid w:val="00694737"/>
    <w:rsid w:val="006947D3"/>
    <w:rsid w:val="00694952"/>
    <w:rsid w:val="00694AAF"/>
    <w:rsid w:val="006950E3"/>
    <w:rsid w:val="00695146"/>
    <w:rsid w:val="00695161"/>
    <w:rsid w:val="00695227"/>
    <w:rsid w:val="006959F5"/>
    <w:rsid w:val="00695A0A"/>
    <w:rsid w:val="00695CB3"/>
    <w:rsid w:val="00695E6D"/>
    <w:rsid w:val="00695F66"/>
    <w:rsid w:val="006960AF"/>
    <w:rsid w:val="0069625E"/>
    <w:rsid w:val="00696431"/>
    <w:rsid w:val="006968CE"/>
    <w:rsid w:val="0069696D"/>
    <w:rsid w:val="00696A46"/>
    <w:rsid w:val="00696CA5"/>
    <w:rsid w:val="00696F9C"/>
    <w:rsid w:val="00697156"/>
    <w:rsid w:val="006971C1"/>
    <w:rsid w:val="00697398"/>
    <w:rsid w:val="006977A8"/>
    <w:rsid w:val="0069789F"/>
    <w:rsid w:val="0069794C"/>
    <w:rsid w:val="00697BB1"/>
    <w:rsid w:val="00697F81"/>
    <w:rsid w:val="006A07EB"/>
    <w:rsid w:val="006A1391"/>
    <w:rsid w:val="006A1514"/>
    <w:rsid w:val="006A1806"/>
    <w:rsid w:val="006A1D2F"/>
    <w:rsid w:val="006A1EB1"/>
    <w:rsid w:val="006A2023"/>
    <w:rsid w:val="006A2374"/>
    <w:rsid w:val="006A24AD"/>
    <w:rsid w:val="006A2AD5"/>
    <w:rsid w:val="006A2BD8"/>
    <w:rsid w:val="006A2BF3"/>
    <w:rsid w:val="006A2EBA"/>
    <w:rsid w:val="006A2FD9"/>
    <w:rsid w:val="006A3127"/>
    <w:rsid w:val="006A359A"/>
    <w:rsid w:val="006A3730"/>
    <w:rsid w:val="006A38E2"/>
    <w:rsid w:val="006A3A04"/>
    <w:rsid w:val="006A3B4C"/>
    <w:rsid w:val="006A4059"/>
    <w:rsid w:val="006A4105"/>
    <w:rsid w:val="006A426D"/>
    <w:rsid w:val="006A4607"/>
    <w:rsid w:val="006A49C4"/>
    <w:rsid w:val="006A52C8"/>
    <w:rsid w:val="006A554B"/>
    <w:rsid w:val="006A5671"/>
    <w:rsid w:val="006A57ED"/>
    <w:rsid w:val="006A58CC"/>
    <w:rsid w:val="006A5C39"/>
    <w:rsid w:val="006A63D9"/>
    <w:rsid w:val="006A6420"/>
    <w:rsid w:val="006A658B"/>
    <w:rsid w:val="006A68BE"/>
    <w:rsid w:val="006A6CDC"/>
    <w:rsid w:val="006A70C9"/>
    <w:rsid w:val="006A79EA"/>
    <w:rsid w:val="006A7BD8"/>
    <w:rsid w:val="006A7C8E"/>
    <w:rsid w:val="006A7E4D"/>
    <w:rsid w:val="006A7EB6"/>
    <w:rsid w:val="006B0163"/>
    <w:rsid w:val="006B028B"/>
    <w:rsid w:val="006B02E0"/>
    <w:rsid w:val="006B06D3"/>
    <w:rsid w:val="006B06DC"/>
    <w:rsid w:val="006B0841"/>
    <w:rsid w:val="006B090E"/>
    <w:rsid w:val="006B09AC"/>
    <w:rsid w:val="006B1162"/>
    <w:rsid w:val="006B143F"/>
    <w:rsid w:val="006B1811"/>
    <w:rsid w:val="006B198C"/>
    <w:rsid w:val="006B19A0"/>
    <w:rsid w:val="006B1B27"/>
    <w:rsid w:val="006B1B8D"/>
    <w:rsid w:val="006B1C80"/>
    <w:rsid w:val="006B1D9B"/>
    <w:rsid w:val="006B1EC1"/>
    <w:rsid w:val="006B2180"/>
    <w:rsid w:val="006B2553"/>
    <w:rsid w:val="006B29C5"/>
    <w:rsid w:val="006B29FA"/>
    <w:rsid w:val="006B2CB9"/>
    <w:rsid w:val="006B2F00"/>
    <w:rsid w:val="006B3123"/>
    <w:rsid w:val="006B321D"/>
    <w:rsid w:val="006B3934"/>
    <w:rsid w:val="006B3B84"/>
    <w:rsid w:val="006B4009"/>
    <w:rsid w:val="006B424D"/>
    <w:rsid w:val="006B437B"/>
    <w:rsid w:val="006B46E6"/>
    <w:rsid w:val="006B49F3"/>
    <w:rsid w:val="006B5116"/>
    <w:rsid w:val="006B51E7"/>
    <w:rsid w:val="006B54C8"/>
    <w:rsid w:val="006B6E90"/>
    <w:rsid w:val="006B75E5"/>
    <w:rsid w:val="006B7B47"/>
    <w:rsid w:val="006B7D80"/>
    <w:rsid w:val="006B7DA1"/>
    <w:rsid w:val="006C023E"/>
    <w:rsid w:val="006C02BB"/>
    <w:rsid w:val="006C045D"/>
    <w:rsid w:val="006C0844"/>
    <w:rsid w:val="006C08BA"/>
    <w:rsid w:val="006C0AC0"/>
    <w:rsid w:val="006C0B3D"/>
    <w:rsid w:val="006C1039"/>
    <w:rsid w:val="006C11EF"/>
    <w:rsid w:val="006C12A3"/>
    <w:rsid w:val="006C15A5"/>
    <w:rsid w:val="006C192C"/>
    <w:rsid w:val="006C1A55"/>
    <w:rsid w:val="006C1BD9"/>
    <w:rsid w:val="006C1CF2"/>
    <w:rsid w:val="006C2094"/>
    <w:rsid w:val="006C2254"/>
    <w:rsid w:val="006C269E"/>
    <w:rsid w:val="006C29E9"/>
    <w:rsid w:val="006C2D1E"/>
    <w:rsid w:val="006C2E85"/>
    <w:rsid w:val="006C368F"/>
    <w:rsid w:val="006C36A8"/>
    <w:rsid w:val="006C3854"/>
    <w:rsid w:val="006C3BA0"/>
    <w:rsid w:val="006C3C4C"/>
    <w:rsid w:val="006C3D8C"/>
    <w:rsid w:val="006C430F"/>
    <w:rsid w:val="006C4394"/>
    <w:rsid w:val="006C457E"/>
    <w:rsid w:val="006C4ABF"/>
    <w:rsid w:val="006C4EF7"/>
    <w:rsid w:val="006C53DB"/>
    <w:rsid w:val="006C5843"/>
    <w:rsid w:val="006C586E"/>
    <w:rsid w:val="006C5EE0"/>
    <w:rsid w:val="006C5EF3"/>
    <w:rsid w:val="006C5FC7"/>
    <w:rsid w:val="006C65F8"/>
    <w:rsid w:val="006C6609"/>
    <w:rsid w:val="006C6773"/>
    <w:rsid w:val="006C6DCF"/>
    <w:rsid w:val="006C6E42"/>
    <w:rsid w:val="006C6E50"/>
    <w:rsid w:val="006D034C"/>
    <w:rsid w:val="006D05B5"/>
    <w:rsid w:val="006D06C2"/>
    <w:rsid w:val="006D0E67"/>
    <w:rsid w:val="006D14C2"/>
    <w:rsid w:val="006D15EF"/>
    <w:rsid w:val="006D1609"/>
    <w:rsid w:val="006D1A88"/>
    <w:rsid w:val="006D1D46"/>
    <w:rsid w:val="006D1DB7"/>
    <w:rsid w:val="006D2184"/>
    <w:rsid w:val="006D21B4"/>
    <w:rsid w:val="006D23F2"/>
    <w:rsid w:val="006D2561"/>
    <w:rsid w:val="006D2621"/>
    <w:rsid w:val="006D2B72"/>
    <w:rsid w:val="006D2D1C"/>
    <w:rsid w:val="006D2E53"/>
    <w:rsid w:val="006D30A7"/>
    <w:rsid w:val="006D35AC"/>
    <w:rsid w:val="006D3668"/>
    <w:rsid w:val="006D36A6"/>
    <w:rsid w:val="006D3751"/>
    <w:rsid w:val="006D3D85"/>
    <w:rsid w:val="006D3E78"/>
    <w:rsid w:val="006D4077"/>
    <w:rsid w:val="006D418B"/>
    <w:rsid w:val="006D488C"/>
    <w:rsid w:val="006D4C4E"/>
    <w:rsid w:val="006D4CDE"/>
    <w:rsid w:val="006D520D"/>
    <w:rsid w:val="006D5398"/>
    <w:rsid w:val="006D5695"/>
    <w:rsid w:val="006D5865"/>
    <w:rsid w:val="006D5884"/>
    <w:rsid w:val="006D5D32"/>
    <w:rsid w:val="006D61B0"/>
    <w:rsid w:val="006D6593"/>
    <w:rsid w:val="006D6698"/>
    <w:rsid w:val="006D69BD"/>
    <w:rsid w:val="006D69FE"/>
    <w:rsid w:val="006D6C24"/>
    <w:rsid w:val="006D6F7D"/>
    <w:rsid w:val="006D6FF6"/>
    <w:rsid w:val="006D7419"/>
    <w:rsid w:val="006D7785"/>
    <w:rsid w:val="006D7839"/>
    <w:rsid w:val="006D798B"/>
    <w:rsid w:val="006D79D6"/>
    <w:rsid w:val="006D7B94"/>
    <w:rsid w:val="006D7F57"/>
    <w:rsid w:val="006E0282"/>
    <w:rsid w:val="006E03CB"/>
    <w:rsid w:val="006E0A04"/>
    <w:rsid w:val="006E119C"/>
    <w:rsid w:val="006E12C5"/>
    <w:rsid w:val="006E1394"/>
    <w:rsid w:val="006E139E"/>
    <w:rsid w:val="006E13A3"/>
    <w:rsid w:val="006E1445"/>
    <w:rsid w:val="006E14A4"/>
    <w:rsid w:val="006E1A1C"/>
    <w:rsid w:val="006E1F3E"/>
    <w:rsid w:val="006E2125"/>
    <w:rsid w:val="006E2166"/>
    <w:rsid w:val="006E2B00"/>
    <w:rsid w:val="006E2B8B"/>
    <w:rsid w:val="006E2F64"/>
    <w:rsid w:val="006E2FD5"/>
    <w:rsid w:val="006E3041"/>
    <w:rsid w:val="006E30B3"/>
    <w:rsid w:val="006E3141"/>
    <w:rsid w:val="006E36EC"/>
    <w:rsid w:val="006E3818"/>
    <w:rsid w:val="006E388B"/>
    <w:rsid w:val="006E38AA"/>
    <w:rsid w:val="006E3EE4"/>
    <w:rsid w:val="006E4025"/>
    <w:rsid w:val="006E4116"/>
    <w:rsid w:val="006E4608"/>
    <w:rsid w:val="006E48FC"/>
    <w:rsid w:val="006E4AB6"/>
    <w:rsid w:val="006E4E46"/>
    <w:rsid w:val="006E4F7E"/>
    <w:rsid w:val="006E54A4"/>
    <w:rsid w:val="006E5586"/>
    <w:rsid w:val="006E5968"/>
    <w:rsid w:val="006E5CB7"/>
    <w:rsid w:val="006E5E47"/>
    <w:rsid w:val="006E5F19"/>
    <w:rsid w:val="006E6077"/>
    <w:rsid w:val="006E623B"/>
    <w:rsid w:val="006E637D"/>
    <w:rsid w:val="006E67E2"/>
    <w:rsid w:val="006E6AB2"/>
    <w:rsid w:val="006E6B6E"/>
    <w:rsid w:val="006E6D5C"/>
    <w:rsid w:val="006E7659"/>
    <w:rsid w:val="006E79DB"/>
    <w:rsid w:val="006E7B94"/>
    <w:rsid w:val="006F034E"/>
    <w:rsid w:val="006F0361"/>
    <w:rsid w:val="006F0448"/>
    <w:rsid w:val="006F0A47"/>
    <w:rsid w:val="006F0AA2"/>
    <w:rsid w:val="006F1246"/>
    <w:rsid w:val="006F1344"/>
    <w:rsid w:val="006F1630"/>
    <w:rsid w:val="006F163A"/>
    <w:rsid w:val="006F1674"/>
    <w:rsid w:val="006F1C44"/>
    <w:rsid w:val="006F1D8F"/>
    <w:rsid w:val="006F2238"/>
    <w:rsid w:val="006F2625"/>
    <w:rsid w:val="006F28A6"/>
    <w:rsid w:val="006F3283"/>
    <w:rsid w:val="006F3396"/>
    <w:rsid w:val="006F4038"/>
    <w:rsid w:val="006F40DB"/>
    <w:rsid w:val="006F442C"/>
    <w:rsid w:val="006F4860"/>
    <w:rsid w:val="006F4C73"/>
    <w:rsid w:val="006F4D86"/>
    <w:rsid w:val="006F4EB3"/>
    <w:rsid w:val="006F51BF"/>
    <w:rsid w:val="006F570F"/>
    <w:rsid w:val="006F5766"/>
    <w:rsid w:val="006F57CC"/>
    <w:rsid w:val="006F6013"/>
    <w:rsid w:val="006F617C"/>
    <w:rsid w:val="006F6782"/>
    <w:rsid w:val="006F68F6"/>
    <w:rsid w:val="006F6ABD"/>
    <w:rsid w:val="006F6EE9"/>
    <w:rsid w:val="006F72F7"/>
    <w:rsid w:val="006F75EA"/>
    <w:rsid w:val="006F76D2"/>
    <w:rsid w:val="006F7C54"/>
    <w:rsid w:val="006F7E33"/>
    <w:rsid w:val="006F7FF0"/>
    <w:rsid w:val="00700887"/>
    <w:rsid w:val="00700AF6"/>
    <w:rsid w:val="00700DBC"/>
    <w:rsid w:val="00701175"/>
    <w:rsid w:val="0070173C"/>
    <w:rsid w:val="007017AA"/>
    <w:rsid w:val="00702273"/>
    <w:rsid w:val="00702887"/>
    <w:rsid w:val="00702F68"/>
    <w:rsid w:val="00702F75"/>
    <w:rsid w:val="0070436A"/>
    <w:rsid w:val="00704792"/>
    <w:rsid w:val="00704E6D"/>
    <w:rsid w:val="00704F02"/>
    <w:rsid w:val="00704F54"/>
    <w:rsid w:val="007052D3"/>
    <w:rsid w:val="007056A0"/>
    <w:rsid w:val="00705823"/>
    <w:rsid w:val="00705836"/>
    <w:rsid w:val="007068B7"/>
    <w:rsid w:val="00706EC3"/>
    <w:rsid w:val="00707294"/>
    <w:rsid w:val="00707476"/>
    <w:rsid w:val="00707700"/>
    <w:rsid w:val="007079D3"/>
    <w:rsid w:val="00707A22"/>
    <w:rsid w:val="00707D0D"/>
    <w:rsid w:val="00707DD7"/>
    <w:rsid w:val="00707EA8"/>
    <w:rsid w:val="0071020A"/>
    <w:rsid w:val="00710219"/>
    <w:rsid w:val="00710564"/>
    <w:rsid w:val="0071061E"/>
    <w:rsid w:val="00710715"/>
    <w:rsid w:val="007107AE"/>
    <w:rsid w:val="0071082B"/>
    <w:rsid w:val="00710F4B"/>
    <w:rsid w:val="0071149F"/>
    <w:rsid w:val="007114D5"/>
    <w:rsid w:val="0071165C"/>
    <w:rsid w:val="00711810"/>
    <w:rsid w:val="00711AB7"/>
    <w:rsid w:val="00711E7C"/>
    <w:rsid w:val="0071203A"/>
    <w:rsid w:val="00712207"/>
    <w:rsid w:val="007128C5"/>
    <w:rsid w:val="00712ABC"/>
    <w:rsid w:val="00712BF6"/>
    <w:rsid w:val="00712D5A"/>
    <w:rsid w:val="00713651"/>
    <w:rsid w:val="00713D60"/>
    <w:rsid w:val="00713DC3"/>
    <w:rsid w:val="00713E01"/>
    <w:rsid w:val="00713E13"/>
    <w:rsid w:val="00713F55"/>
    <w:rsid w:val="0071488C"/>
    <w:rsid w:val="00714F12"/>
    <w:rsid w:val="00714F31"/>
    <w:rsid w:val="00714FC2"/>
    <w:rsid w:val="00715170"/>
    <w:rsid w:val="0071531B"/>
    <w:rsid w:val="007154BC"/>
    <w:rsid w:val="00715A36"/>
    <w:rsid w:val="00715BA3"/>
    <w:rsid w:val="0071615C"/>
    <w:rsid w:val="0071680F"/>
    <w:rsid w:val="00716A3D"/>
    <w:rsid w:val="00716B4A"/>
    <w:rsid w:val="007172C6"/>
    <w:rsid w:val="007178A8"/>
    <w:rsid w:val="0071791C"/>
    <w:rsid w:val="0071791E"/>
    <w:rsid w:val="00717DC1"/>
    <w:rsid w:val="00717F89"/>
    <w:rsid w:val="007201FE"/>
    <w:rsid w:val="00720210"/>
    <w:rsid w:val="007207FA"/>
    <w:rsid w:val="00720DA4"/>
    <w:rsid w:val="00721B1C"/>
    <w:rsid w:val="00721C95"/>
    <w:rsid w:val="00721CD5"/>
    <w:rsid w:val="00721DB5"/>
    <w:rsid w:val="00721FCA"/>
    <w:rsid w:val="00721FED"/>
    <w:rsid w:val="007221BE"/>
    <w:rsid w:val="0072258C"/>
    <w:rsid w:val="00722735"/>
    <w:rsid w:val="0072290F"/>
    <w:rsid w:val="00722997"/>
    <w:rsid w:val="007229F2"/>
    <w:rsid w:val="00722AFE"/>
    <w:rsid w:val="00722D7C"/>
    <w:rsid w:val="00723183"/>
    <w:rsid w:val="007234D8"/>
    <w:rsid w:val="007235C1"/>
    <w:rsid w:val="00723720"/>
    <w:rsid w:val="00723C1C"/>
    <w:rsid w:val="00723FC2"/>
    <w:rsid w:val="007240DF"/>
    <w:rsid w:val="007241CE"/>
    <w:rsid w:val="007248AA"/>
    <w:rsid w:val="00724D62"/>
    <w:rsid w:val="00724E49"/>
    <w:rsid w:val="00725102"/>
    <w:rsid w:val="007251BA"/>
    <w:rsid w:val="00725376"/>
    <w:rsid w:val="00725B0B"/>
    <w:rsid w:val="00725C3B"/>
    <w:rsid w:val="00725F33"/>
    <w:rsid w:val="0072609D"/>
    <w:rsid w:val="00726536"/>
    <w:rsid w:val="0072656C"/>
    <w:rsid w:val="00726860"/>
    <w:rsid w:val="00726A2B"/>
    <w:rsid w:val="00726C7C"/>
    <w:rsid w:val="00727101"/>
    <w:rsid w:val="00727422"/>
    <w:rsid w:val="00727454"/>
    <w:rsid w:val="007276A8"/>
    <w:rsid w:val="00727744"/>
    <w:rsid w:val="00727916"/>
    <w:rsid w:val="00730072"/>
    <w:rsid w:val="00730482"/>
    <w:rsid w:val="00730484"/>
    <w:rsid w:val="007318B6"/>
    <w:rsid w:val="00731B2C"/>
    <w:rsid w:val="00731BB3"/>
    <w:rsid w:val="007320EA"/>
    <w:rsid w:val="00732DC4"/>
    <w:rsid w:val="00732E9E"/>
    <w:rsid w:val="00733330"/>
    <w:rsid w:val="00733438"/>
    <w:rsid w:val="007337E3"/>
    <w:rsid w:val="00733AFD"/>
    <w:rsid w:val="00733D22"/>
    <w:rsid w:val="00733EC9"/>
    <w:rsid w:val="00734D36"/>
    <w:rsid w:val="00734F39"/>
    <w:rsid w:val="00734FD1"/>
    <w:rsid w:val="007355A4"/>
    <w:rsid w:val="00735703"/>
    <w:rsid w:val="0073599D"/>
    <w:rsid w:val="00735C61"/>
    <w:rsid w:val="00735DD1"/>
    <w:rsid w:val="007364E6"/>
    <w:rsid w:val="007367A1"/>
    <w:rsid w:val="00736A55"/>
    <w:rsid w:val="00736D92"/>
    <w:rsid w:val="0073736B"/>
    <w:rsid w:val="00737B2A"/>
    <w:rsid w:val="00737E86"/>
    <w:rsid w:val="007400B0"/>
    <w:rsid w:val="0074024F"/>
    <w:rsid w:val="00740BF7"/>
    <w:rsid w:val="00740F68"/>
    <w:rsid w:val="0074122B"/>
    <w:rsid w:val="0074125C"/>
    <w:rsid w:val="007415C7"/>
    <w:rsid w:val="007416CE"/>
    <w:rsid w:val="00741ED9"/>
    <w:rsid w:val="007426FD"/>
    <w:rsid w:val="00742724"/>
    <w:rsid w:val="007431B0"/>
    <w:rsid w:val="007433CA"/>
    <w:rsid w:val="00743985"/>
    <w:rsid w:val="00743FD9"/>
    <w:rsid w:val="00744412"/>
    <w:rsid w:val="0074479B"/>
    <w:rsid w:val="00744D2B"/>
    <w:rsid w:val="0074514C"/>
    <w:rsid w:val="00745294"/>
    <w:rsid w:val="007453EB"/>
    <w:rsid w:val="00745416"/>
    <w:rsid w:val="0074647B"/>
    <w:rsid w:val="00746952"/>
    <w:rsid w:val="00746B18"/>
    <w:rsid w:val="0074717F"/>
    <w:rsid w:val="007471A7"/>
    <w:rsid w:val="00747898"/>
    <w:rsid w:val="00747DAC"/>
    <w:rsid w:val="00750299"/>
    <w:rsid w:val="00750468"/>
    <w:rsid w:val="00750C00"/>
    <w:rsid w:val="007510C4"/>
    <w:rsid w:val="0075158E"/>
    <w:rsid w:val="0075181C"/>
    <w:rsid w:val="007518A0"/>
    <w:rsid w:val="00751A6D"/>
    <w:rsid w:val="00751A80"/>
    <w:rsid w:val="00751AD0"/>
    <w:rsid w:val="00751D97"/>
    <w:rsid w:val="0075202A"/>
    <w:rsid w:val="0075265C"/>
    <w:rsid w:val="00752861"/>
    <w:rsid w:val="00752CDD"/>
    <w:rsid w:val="00752E2D"/>
    <w:rsid w:val="00753270"/>
    <w:rsid w:val="00753422"/>
    <w:rsid w:val="00753470"/>
    <w:rsid w:val="007534FB"/>
    <w:rsid w:val="00753661"/>
    <w:rsid w:val="0075377F"/>
    <w:rsid w:val="00753ACE"/>
    <w:rsid w:val="00753ECB"/>
    <w:rsid w:val="00754616"/>
    <w:rsid w:val="00754AA8"/>
    <w:rsid w:val="00754E05"/>
    <w:rsid w:val="00754E8E"/>
    <w:rsid w:val="00754FE0"/>
    <w:rsid w:val="00755467"/>
    <w:rsid w:val="007557EB"/>
    <w:rsid w:val="00756109"/>
    <w:rsid w:val="00756700"/>
    <w:rsid w:val="007570D1"/>
    <w:rsid w:val="0075741A"/>
    <w:rsid w:val="00757760"/>
    <w:rsid w:val="0075791F"/>
    <w:rsid w:val="007579D8"/>
    <w:rsid w:val="00757F4B"/>
    <w:rsid w:val="00760892"/>
    <w:rsid w:val="007609D8"/>
    <w:rsid w:val="00760ADA"/>
    <w:rsid w:val="00760CCE"/>
    <w:rsid w:val="00760D42"/>
    <w:rsid w:val="00760DA0"/>
    <w:rsid w:val="00760EF0"/>
    <w:rsid w:val="00761172"/>
    <w:rsid w:val="00761B2F"/>
    <w:rsid w:val="00761BB7"/>
    <w:rsid w:val="00761C15"/>
    <w:rsid w:val="00761D3C"/>
    <w:rsid w:val="0076240D"/>
    <w:rsid w:val="00762721"/>
    <w:rsid w:val="007628C7"/>
    <w:rsid w:val="00762A60"/>
    <w:rsid w:val="00762AD0"/>
    <w:rsid w:val="00762ED6"/>
    <w:rsid w:val="007630FD"/>
    <w:rsid w:val="00763DFA"/>
    <w:rsid w:val="0076448F"/>
    <w:rsid w:val="00764590"/>
    <w:rsid w:val="00764681"/>
    <w:rsid w:val="00764ABB"/>
    <w:rsid w:val="00765756"/>
    <w:rsid w:val="00765B1C"/>
    <w:rsid w:val="007663F3"/>
    <w:rsid w:val="00766DA9"/>
    <w:rsid w:val="00766F9B"/>
    <w:rsid w:val="00767061"/>
    <w:rsid w:val="0076769B"/>
    <w:rsid w:val="00770209"/>
    <w:rsid w:val="0077037E"/>
    <w:rsid w:val="0077068F"/>
    <w:rsid w:val="00770BB6"/>
    <w:rsid w:val="00770C44"/>
    <w:rsid w:val="00770DF0"/>
    <w:rsid w:val="00770EA1"/>
    <w:rsid w:val="00770EF9"/>
    <w:rsid w:val="00771391"/>
    <w:rsid w:val="007715FF"/>
    <w:rsid w:val="007716A7"/>
    <w:rsid w:val="00771D71"/>
    <w:rsid w:val="00771E42"/>
    <w:rsid w:val="00771ED4"/>
    <w:rsid w:val="0077209F"/>
    <w:rsid w:val="007728FF"/>
    <w:rsid w:val="007729CE"/>
    <w:rsid w:val="00772BA9"/>
    <w:rsid w:val="00772ED9"/>
    <w:rsid w:val="007731BD"/>
    <w:rsid w:val="00773441"/>
    <w:rsid w:val="00773AB4"/>
    <w:rsid w:val="00773F9D"/>
    <w:rsid w:val="00774008"/>
    <w:rsid w:val="007746A5"/>
    <w:rsid w:val="00774838"/>
    <w:rsid w:val="00774A19"/>
    <w:rsid w:val="00774DA8"/>
    <w:rsid w:val="00775421"/>
    <w:rsid w:val="007756A1"/>
    <w:rsid w:val="00775712"/>
    <w:rsid w:val="0077591D"/>
    <w:rsid w:val="007759C4"/>
    <w:rsid w:val="00775AC0"/>
    <w:rsid w:val="00775BB8"/>
    <w:rsid w:val="00775FA6"/>
    <w:rsid w:val="00775FED"/>
    <w:rsid w:val="007760A1"/>
    <w:rsid w:val="007768DD"/>
    <w:rsid w:val="007774F2"/>
    <w:rsid w:val="00777FC0"/>
    <w:rsid w:val="007802BC"/>
    <w:rsid w:val="00780401"/>
    <w:rsid w:val="00780517"/>
    <w:rsid w:val="007808B9"/>
    <w:rsid w:val="00781454"/>
    <w:rsid w:val="0078159A"/>
    <w:rsid w:val="00782106"/>
    <w:rsid w:val="0078233F"/>
    <w:rsid w:val="00782512"/>
    <w:rsid w:val="00782621"/>
    <w:rsid w:val="007834EE"/>
    <w:rsid w:val="007837AD"/>
    <w:rsid w:val="00783BBF"/>
    <w:rsid w:val="00783C8F"/>
    <w:rsid w:val="00783F84"/>
    <w:rsid w:val="00784262"/>
    <w:rsid w:val="00784482"/>
    <w:rsid w:val="0078487C"/>
    <w:rsid w:val="00784A4F"/>
    <w:rsid w:val="00785C3A"/>
    <w:rsid w:val="00785C5B"/>
    <w:rsid w:val="00785C75"/>
    <w:rsid w:val="0078642F"/>
    <w:rsid w:val="007869E3"/>
    <w:rsid w:val="00786A56"/>
    <w:rsid w:val="00786B6D"/>
    <w:rsid w:val="00786C67"/>
    <w:rsid w:val="0078751F"/>
    <w:rsid w:val="00787798"/>
    <w:rsid w:val="00787ABB"/>
    <w:rsid w:val="007903AA"/>
    <w:rsid w:val="00790499"/>
    <w:rsid w:val="0079068A"/>
    <w:rsid w:val="007907F2"/>
    <w:rsid w:val="00790974"/>
    <w:rsid w:val="00790AFA"/>
    <w:rsid w:val="007911A4"/>
    <w:rsid w:val="0079135F"/>
    <w:rsid w:val="00792094"/>
    <w:rsid w:val="0079231A"/>
    <w:rsid w:val="007925AB"/>
    <w:rsid w:val="00792967"/>
    <w:rsid w:val="00792DFD"/>
    <w:rsid w:val="00793620"/>
    <w:rsid w:val="00793735"/>
    <w:rsid w:val="00793766"/>
    <w:rsid w:val="007939B2"/>
    <w:rsid w:val="00793C1B"/>
    <w:rsid w:val="00793C67"/>
    <w:rsid w:val="00793EAD"/>
    <w:rsid w:val="00793F30"/>
    <w:rsid w:val="00794A30"/>
    <w:rsid w:val="00794A39"/>
    <w:rsid w:val="0079513E"/>
    <w:rsid w:val="00795AA9"/>
    <w:rsid w:val="00795E86"/>
    <w:rsid w:val="0079608A"/>
    <w:rsid w:val="007962E1"/>
    <w:rsid w:val="0079694F"/>
    <w:rsid w:val="00796E44"/>
    <w:rsid w:val="00796EE1"/>
    <w:rsid w:val="0079702F"/>
    <w:rsid w:val="00797166"/>
    <w:rsid w:val="00797546"/>
    <w:rsid w:val="00797985"/>
    <w:rsid w:val="00797A70"/>
    <w:rsid w:val="00797F76"/>
    <w:rsid w:val="007A00EA"/>
    <w:rsid w:val="007A0491"/>
    <w:rsid w:val="007A0538"/>
    <w:rsid w:val="007A09CC"/>
    <w:rsid w:val="007A0C52"/>
    <w:rsid w:val="007A10D5"/>
    <w:rsid w:val="007A11CE"/>
    <w:rsid w:val="007A15D8"/>
    <w:rsid w:val="007A188C"/>
    <w:rsid w:val="007A1D97"/>
    <w:rsid w:val="007A2109"/>
    <w:rsid w:val="007A2364"/>
    <w:rsid w:val="007A2447"/>
    <w:rsid w:val="007A2671"/>
    <w:rsid w:val="007A2735"/>
    <w:rsid w:val="007A286A"/>
    <w:rsid w:val="007A34AD"/>
    <w:rsid w:val="007A370D"/>
    <w:rsid w:val="007A37E5"/>
    <w:rsid w:val="007A3881"/>
    <w:rsid w:val="007A3E01"/>
    <w:rsid w:val="007A3E45"/>
    <w:rsid w:val="007A3E8E"/>
    <w:rsid w:val="007A44D8"/>
    <w:rsid w:val="007A45AC"/>
    <w:rsid w:val="007A487C"/>
    <w:rsid w:val="007A48E7"/>
    <w:rsid w:val="007A4D06"/>
    <w:rsid w:val="007A5456"/>
    <w:rsid w:val="007A55BD"/>
    <w:rsid w:val="007A68AB"/>
    <w:rsid w:val="007A6917"/>
    <w:rsid w:val="007A6F67"/>
    <w:rsid w:val="007A77EB"/>
    <w:rsid w:val="007A781B"/>
    <w:rsid w:val="007A794B"/>
    <w:rsid w:val="007A7DF1"/>
    <w:rsid w:val="007B0062"/>
    <w:rsid w:val="007B0205"/>
    <w:rsid w:val="007B055F"/>
    <w:rsid w:val="007B05DE"/>
    <w:rsid w:val="007B0DFF"/>
    <w:rsid w:val="007B0F48"/>
    <w:rsid w:val="007B1079"/>
    <w:rsid w:val="007B12D8"/>
    <w:rsid w:val="007B15C5"/>
    <w:rsid w:val="007B1844"/>
    <w:rsid w:val="007B1B14"/>
    <w:rsid w:val="007B1C47"/>
    <w:rsid w:val="007B261C"/>
    <w:rsid w:val="007B2B48"/>
    <w:rsid w:val="007B2FD9"/>
    <w:rsid w:val="007B32DB"/>
    <w:rsid w:val="007B33AF"/>
    <w:rsid w:val="007B3564"/>
    <w:rsid w:val="007B3955"/>
    <w:rsid w:val="007B3A65"/>
    <w:rsid w:val="007B3C5D"/>
    <w:rsid w:val="007B3C76"/>
    <w:rsid w:val="007B43D8"/>
    <w:rsid w:val="007B4624"/>
    <w:rsid w:val="007B467F"/>
    <w:rsid w:val="007B4877"/>
    <w:rsid w:val="007B48E6"/>
    <w:rsid w:val="007B4BA5"/>
    <w:rsid w:val="007B533C"/>
    <w:rsid w:val="007B5347"/>
    <w:rsid w:val="007B56A7"/>
    <w:rsid w:val="007B5CA9"/>
    <w:rsid w:val="007B5D42"/>
    <w:rsid w:val="007B64F8"/>
    <w:rsid w:val="007B6AA8"/>
    <w:rsid w:val="007B6FFE"/>
    <w:rsid w:val="007B721B"/>
    <w:rsid w:val="007B745C"/>
    <w:rsid w:val="007B799A"/>
    <w:rsid w:val="007B7F44"/>
    <w:rsid w:val="007B7F60"/>
    <w:rsid w:val="007C0447"/>
    <w:rsid w:val="007C067F"/>
    <w:rsid w:val="007C0957"/>
    <w:rsid w:val="007C0CDB"/>
    <w:rsid w:val="007C0E8F"/>
    <w:rsid w:val="007C12D6"/>
    <w:rsid w:val="007C1399"/>
    <w:rsid w:val="007C16C6"/>
    <w:rsid w:val="007C178A"/>
    <w:rsid w:val="007C1865"/>
    <w:rsid w:val="007C18C5"/>
    <w:rsid w:val="007C18E8"/>
    <w:rsid w:val="007C1AB4"/>
    <w:rsid w:val="007C1B32"/>
    <w:rsid w:val="007C1C88"/>
    <w:rsid w:val="007C1EFC"/>
    <w:rsid w:val="007C1F7C"/>
    <w:rsid w:val="007C256C"/>
    <w:rsid w:val="007C276C"/>
    <w:rsid w:val="007C2C67"/>
    <w:rsid w:val="007C36CA"/>
    <w:rsid w:val="007C3921"/>
    <w:rsid w:val="007C39E4"/>
    <w:rsid w:val="007C4416"/>
    <w:rsid w:val="007C4583"/>
    <w:rsid w:val="007C4B33"/>
    <w:rsid w:val="007C4BCA"/>
    <w:rsid w:val="007C4C1E"/>
    <w:rsid w:val="007C4E01"/>
    <w:rsid w:val="007C540A"/>
    <w:rsid w:val="007C5647"/>
    <w:rsid w:val="007C5CC6"/>
    <w:rsid w:val="007C5D1C"/>
    <w:rsid w:val="007C5EC2"/>
    <w:rsid w:val="007C60E6"/>
    <w:rsid w:val="007C694C"/>
    <w:rsid w:val="007C77F4"/>
    <w:rsid w:val="007D007C"/>
    <w:rsid w:val="007D0211"/>
    <w:rsid w:val="007D098B"/>
    <w:rsid w:val="007D0B39"/>
    <w:rsid w:val="007D10A5"/>
    <w:rsid w:val="007D15EF"/>
    <w:rsid w:val="007D19F7"/>
    <w:rsid w:val="007D1A8B"/>
    <w:rsid w:val="007D1BF6"/>
    <w:rsid w:val="007D2089"/>
    <w:rsid w:val="007D238A"/>
    <w:rsid w:val="007D2836"/>
    <w:rsid w:val="007D295A"/>
    <w:rsid w:val="007D2CED"/>
    <w:rsid w:val="007D3042"/>
    <w:rsid w:val="007D306F"/>
    <w:rsid w:val="007D3410"/>
    <w:rsid w:val="007D349F"/>
    <w:rsid w:val="007D3696"/>
    <w:rsid w:val="007D3717"/>
    <w:rsid w:val="007D3823"/>
    <w:rsid w:val="007D3836"/>
    <w:rsid w:val="007D3A88"/>
    <w:rsid w:val="007D3E52"/>
    <w:rsid w:val="007D3F0A"/>
    <w:rsid w:val="007D3F3B"/>
    <w:rsid w:val="007D3F40"/>
    <w:rsid w:val="007D4734"/>
    <w:rsid w:val="007D49EC"/>
    <w:rsid w:val="007D4BDF"/>
    <w:rsid w:val="007D552F"/>
    <w:rsid w:val="007D56E5"/>
    <w:rsid w:val="007D57EA"/>
    <w:rsid w:val="007D5CDE"/>
    <w:rsid w:val="007D5E35"/>
    <w:rsid w:val="007D6712"/>
    <w:rsid w:val="007D6B2F"/>
    <w:rsid w:val="007D6C1F"/>
    <w:rsid w:val="007D6D12"/>
    <w:rsid w:val="007D6FE2"/>
    <w:rsid w:val="007D7145"/>
    <w:rsid w:val="007D7D17"/>
    <w:rsid w:val="007D7D55"/>
    <w:rsid w:val="007D7D69"/>
    <w:rsid w:val="007E0710"/>
    <w:rsid w:val="007E07E1"/>
    <w:rsid w:val="007E09E6"/>
    <w:rsid w:val="007E0D7C"/>
    <w:rsid w:val="007E1319"/>
    <w:rsid w:val="007E1652"/>
    <w:rsid w:val="007E1905"/>
    <w:rsid w:val="007E1BB2"/>
    <w:rsid w:val="007E1C16"/>
    <w:rsid w:val="007E1F4C"/>
    <w:rsid w:val="007E23C0"/>
    <w:rsid w:val="007E2BBB"/>
    <w:rsid w:val="007E2CD9"/>
    <w:rsid w:val="007E2ED9"/>
    <w:rsid w:val="007E2F19"/>
    <w:rsid w:val="007E2FC0"/>
    <w:rsid w:val="007E3347"/>
    <w:rsid w:val="007E37A0"/>
    <w:rsid w:val="007E3DCE"/>
    <w:rsid w:val="007E40EB"/>
    <w:rsid w:val="007E4427"/>
    <w:rsid w:val="007E4681"/>
    <w:rsid w:val="007E47E9"/>
    <w:rsid w:val="007E4AD3"/>
    <w:rsid w:val="007E4D87"/>
    <w:rsid w:val="007E4DE9"/>
    <w:rsid w:val="007E4E5B"/>
    <w:rsid w:val="007E4EA9"/>
    <w:rsid w:val="007E519F"/>
    <w:rsid w:val="007E529C"/>
    <w:rsid w:val="007E52EC"/>
    <w:rsid w:val="007E5371"/>
    <w:rsid w:val="007E56D5"/>
    <w:rsid w:val="007E5CB1"/>
    <w:rsid w:val="007E64B9"/>
    <w:rsid w:val="007E6ABA"/>
    <w:rsid w:val="007E6BE9"/>
    <w:rsid w:val="007E6D5E"/>
    <w:rsid w:val="007E7610"/>
    <w:rsid w:val="007E7BF7"/>
    <w:rsid w:val="007E7E2A"/>
    <w:rsid w:val="007F090B"/>
    <w:rsid w:val="007F0B3D"/>
    <w:rsid w:val="007F0BB3"/>
    <w:rsid w:val="007F0F8A"/>
    <w:rsid w:val="007F0FC0"/>
    <w:rsid w:val="007F1393"/>
    <w:rsid w:val="007F15A5"/>
    <w:rsid w:val="007F194D"/>
    <w:rsid w:val="007F1B08"/>
    <w:rsid w:val="007F1B72"/>
    <w:rsid w:val="007F1E2B"/>
    <w:rsid w:val="007F2512"/>
    <w:rsid w:val="007F2DB1"/>
    <w:rsid w:val="007F2E39"/>
    <w:rsid w:val="007F30F0"/>
    <w:rsid w:val="007F36BB"/>
    <w:rsid w:val="007F39BC"/>
    <w:rsid w:val="007F3A7A"/>
    <w:rsid w:val="007F3EF2"/>
    <w:rsid w:val="007F40A8"/>
    <w:rsid w:val="007F44B5"/>
    <w:rsid w:val="007F493C"/>
    <w:rsid w:val="007F4A59"/>
    <w:rsid w:val="007F4DEA"/>
    <w:rsid w:val="007F5139"/>
    <w:rsid w:val="007F51D7"/>
    <w:rsid w:val="007F5370"/>
    <w:rsid w:val="007F5595"/>
    <w:rsid w:val="007F567C"/>
    <w:rsid w:val="007F5993"/>
    <w:rsid w:val="007F59D8"/>
    <w:rsid w:val="007F5B25"/>
    <w:rsid w:val="007F5F43"/>
    <w:rsid w:val="007F61FC"/>
    <w:rsid w:val="007F639B"/>
    <w:rsid w:val="007F63EC"/>
    <w:rsid w:val="007F64E4"/>
    <w:rsid w:val="007F650B"/>
    <w:rsid w:val="007F67A8"/>
    <w:rsid w:val="007F68A2"/>
    <w:rsid w:val="007F69AB"/>
    <w:rsid w:val="007F6BD5"/>
    <w:rsid w:val="007F6CA3"/>
    <w:rsid w:val="007F6F4A"/>
    <w:rsid w:val="007F743F"/>
    <w:rsid w:val="007F7C1F"/>
    <w:rsid w:val="0080012E"/>
    <w:rsid w:val="008001D4"/>
    <w:rsid w:val="008004C0"/>
    <w:rsid w:val="00800712"/>
    <w:rsid w:val="00800852"/>
    <w:rsid w:val="00800983"/>
    <w:rsid w:val="00800B8B"/>
    <w:rsid w:val="00800D9B"/>
    <w:rsid w:val="00801A5C"/>
    <w:rsid w:val="00801BAB"/>
    <w:rsid w:val="008022C9"/>
    <w:rsid w:val="008028FF"/>
    <w:rsid w:val="00802C74"/>
    <w:rsid w:val="00802D08"/>
    <w:rsid w:val="00802E3F"/>
    <w:rsid w:val="008033B7"/>
    <w:rsid w:val="00803AD3"/>
    <w:rsid w:val="00803C3A"/>
    <w:rsid w:val="00803EE5"/>
    <w:rsid w:val="008044D9"/>
    <w:rsid w:val="00804E43"/>
    <w:rsid w:val="00805213"/>
    <w:rsid w:val="008055B9"/>
    <w:rsid w:val="00805BCB"/>
    <w:rsid w:val="00805CE3"/>
    <w:rsid w:val="0080633F"/>
    <w:rsid w:val="00806C9F"/>
    <w:rsid w:val="00806D12"/>
    <w:rsid w:val="00806E7D"/>
    <w:rsid w:val="00806F8D"/>
    <w:rsid w:val="00807B51"/>
    <w:rsid w:val="00807EC8"/>
    <w:rsid w:val="00807FED"/>
    <w:rsid w:val="00810362"/>
    <w:rsid w:val="008105D3"/>
    <w:rsid w:val="0081088F"/>
    <w:rsid w:val="00810982"/>
    <w:rsid w:val="00810B26"/>
    <w:rsid w:val="00810FC5"/>
    <w:rsid w:val="00811E36"/>
    <w:rsid w:val="00812092"/>
    <w:rsid w:val="0081220F"/>
    <w:rsid w:val="0081239C"/>
    <w:rsid w:val="00812A7E"/>
    <w:rsid w:val="00812BDD"/>
    <w:rsid w:val="00812C73"/>
    <w:rsid w:val="00813289"/>
    <w:rsid w:val="00813572"/>
    <w:rsid w:val="00813A8A"/>
    <w:rsid w:val="00813BAA"/>
    <w:rsid w:val="00813BF4"/>
    <w:rsid w:val="00813C5F"/>
    <w:rsid w:val="008141F7"/>
    <w:rsid w:val="00814435"/>
    <w:rsid w:val="00814681"/>
    <w:rsid w:val="008147B9"/>
    <w:rsid w:val="00815372"/>
    <w:rsid w:val="008156EC"/>
    <w:rsid w:val="00815D45"/>
    <w:rsid w:val="00815D7D"/>
    <w:rsid w:val="00815D9D"/>
    <w:rsid w:val="00815EBD"/>
    <w:rsid w:val="00815ECE"/>
    <w:rsid w:val="00816136"/>
    <w:rsid w:val="0081616D"/>
    <w:rsid w:val="00816419"/>
    <w:rsid w:val="008164A7"/>
    <w:rsid w:val="008166C0"/>
    <w:rsid w:val="00816919"/>
    <w:rsid w:val="00816F5B"/>
    <w:rsid w:val="00817AF0"/>
    <w:rsid w:val="00817B73"/>
    <w:rsid w:val="0082005E"/>
    <w:rsid w:val="00820374"/>
    <w:rsid w:val="00820660"/>
    <w:rsid w:val="00820D26"/>
    <w:rsid w:val="00821278"/>
    <w:rsid w:val="00821F47"/>
    <w:rsid w:val="008224EB"/>
    <w:rsid w:val="00822924"/>
    <w:rsid w:val="00822CAC"/>
    <w:rsid w:val="00822D7A"/>
    <w:rsid w:val="00822FCA"/>
    <w:rsid w:val="00823712"/>
    <w:rsid w:val="00823DC7"/>
    <w:rsid w:val="008241BB"/>
    <w:rsid w:val="008243B0"/>
    <w:rsid w:val="008246DB"/>
    <w:rsid w:val="00824742"/>
    <w:rsid w:val="00824896"/>
    <w:rsid w:val="00824C28"/>
    <w:rsid w:val="00824FC1"/>
    <w:rsid w:val="008250FF"/>
    <w:rsid w:val="00825192"/>
    <w:rsid w:val="00825521"/>
    <w:rsid w:val="00825895"/>
    <w:rsid w:val="0082596D"/>
    <w:rsid w:val="00825AFA"/>
    <w:rsid w:val="0082668F"/>
    <w:rsid w:val="00826900"/>
    <w:rsid w:val="00827A4D"/>
    <w:rsid w:val="00827BAB"/>
    <w:rsid w:val="00827C9B"/>
    <w:rsid w:val="008304C3"/>
    <w:rsid w:val="0083085D"/>
    <w:rsid w:val="00830870"/>
    <w:rsid w:val="008312D5"/>
    <w:rsid w:val="008315C2"/>
    <w:rsid w:val="008316BE"/>
    <w:rsid w:val="00831998"/>
    <w:rsid w:val="00831E18"/>
    <w:rsid w:val="008320BF"/>
    <w:rsid w:val="00832248"/>
    <w:rsid w:val="00832270"/>
    <w:rsid w:val="00832B49"/>
    <w:rsid w:val="00833122"/>
    <w:rsid w:val="00833167"/>
    <w:rsid w:val="00833775"/>
    <w:rsid w:val="00833951"/>
    <w:rsid w:val="00833DD3"/>
    <w:rsid w:val="00833F36"/>
    <w:rsid w:val="00834295"/>
    <w:rsid w:val="0083472A"/>
    <w:rsid w:val="008347B9"/>
    <w:rsid w:val="008348A5"/>
    <w:rsid w:val="00834A18"/>
    <w:rsid w:val="00834B3C"/>
    <w:rsid w:val="00834BE6"/>
    <w:rsid w:val="00834D96"/>
    <w:rsid w:val="00834E90"/>
    <w:rsid w:val="0083502B"/>
    <w:rsid w:val="008355E5"/>
    <w:rsid w:val="00835988"/>
    <w:rsid w:val="00835DD5"/>
    <w:rsid w:val="00835E24"/>
    <w:rsid w:val="00836284"/>
    <w:rsid w:val="008365E6"/>
    <w:rsid w:val="0083660E"/>
    <w:rsid w:val="00836715"/>
    <w:rsid w:val="008368BC"/>
    <w:rsid w:val="00836988"/>
    <w:rsid w:val="00836C4A"/>
    <w:rsid w:val="00836D2E"/>
    <w:rsid w:val="00837213"/>
    <w:rsid w:val="00837278"/>
    <w:rsid w:val="0083731A"/>
    <w:rsid w:val="0083761D"/>
    <w:rsid w:val="00837876"/>
    <w:rsid w:val="008378DD"/>
    <w:rsid w:val="00837B65"/>
    <w:rsid w:val="00837B73"/>
    <w:rsid w:val="00840053"/>
    <w:rsid w:val="008409DA"/>
    <w:rsid w:val="00840C2F"/>
    <w:rsid w:val="00840C61"/>
    <w:rsid w:val="00840D23"/>
    <w:rsid w:val="00840EC5"/>
    <w:rsid w:val="00840F42"/>
    <w:rsid w:val="00841114"/>
    <w:rsid w:val="00841569"/>
    <w:rsid w:val="00841786"/>
    <w:rsid w:val="008417DE"/>
    <w:rsid w:val="008418BA"/>
    <w:rsid w:val="00841BCA"/>
    <w:rsid w:val="00841C43"/>
    <w:rsid w:val="00841C94"/>
    <w:rsid w:val="00841E6A"/>
    <w:rsid w:val="00841F43"/>
    <w:rsid w:val="00842140"/>
    <w:rsid w:val="008427B3"/>
    <w:rsid w:val="00842B64"/>
    <w:rsid w:val="00842EF3"/>
    <w:rsid w:val="008434AB"/>
    <w:rsid w:val="00843D71"/>
    <w:rsid w:val="008453D8"/>
    <w:rsid w:val="008457A0"/>
    <w:rsid w:val="00845A91"/>
    <w:rsid w:val="00845C3A"/>
    <w:rsid w:val="008463F6"/>
    <w:rsid w:val="00846555"/>
    <w:rsid w:val="00846BF5"/>
    <w:rsid w:val="008476FB"/>
    <w:rsid w:val="00847706"/>
    <w:rsid w:val="00847B0E"/>
    <w:rsid w:val="00847C30"/>
    <w:rsid w:val="00847F12"/>
    <w:rsid w:val="00850060"/>
    <w:rsid w:val="00850E81"/>
    <w:rsid w:val="00851335"/>
    <w:rsid w:val="008518CD"/>
    <w:rsid w:val="00851B4B"/>
    <w:rsid w:val="00851CA0"/>
    <w:rsid w:val="0085239F"/>
    <w:rsid w:val="00852713"/>
    <w:rsid w:val="00852BEC"/>
    <w:rsid w:val="008530D9"/>
    <w:rsid w:val="00853433"/>
    <w:rsid w:val="0085354D"/>
    <w:rsid w:val="00853564"/>
    <w:rsid w:val="0085368F"/>
    <w:rsid w:val="0085377D"/>
    <w:rsid w:val="00853B77"/>
    <w:rsid w:val="00853D3F"/>
    <w:rsid w:val="00853D7B"/>
    <w:rsid w:val="00854561"/>
    <w:rsid w:val="0085493C"/>
    <w:rsid w:val="00854A65"/>
    <w:rsid w:val="00854A77"/>
    <w:rsid w:val="00854D76"/>
    <w:rsid w:val="00854F65"/>
    <w:rsid w:val="00855561"/>
    <w:rsid w:val="008555BA"/>
    <w:rsid w:val="0085560D"/>
    <w:rsid w:val="00855683"/>
    <w:rsid w:val="008556C5"/>
    <w:rsid w:val="00855873"/>
    <w:rsid w:val="00855B62"/>
    <w:rsid w:val="00855F67"/>
    <w:rsid w:val="00856129"/>
    <w:rsid w:val="00856417"/>
    <w:rsid w:val="00856559"/>
    <w:rsid w:val="00856668"/>
    <w:rsid w:val="00856CDD"/>
    <w:rsid w:val="00856E3E"/>
    <w:rsid w:val="00856F32"/>
    <w:rsid w:val="008576CA"/>
    <w:rsid w:val="0085792B"/>
    <w:rsid w:val="00857988"/>
    <w:rsid w:val="00860049"/>
    <w:rsid w:val="00860501"/>
    <w:rsid w:val="00860557"/>
    <w:rsid w:val="008605A7"/>
    <w:rsid w:val="008605AA"/>
    <w:rsid w:val="00860E10"/>
    <w:rsid w:val="00860F36"/>
    <w:rsid w:val="00861148"/>
    <w:rsid w:val="00861234"/>
    <w:rsid w:val="00861529"/>
    <w:rsid w:val="008615BE"/>
    <w:rsid w:val="00861813"/>
    <w:rsid w:val="00861AE0"/>
    <w:rsid w:val="008628B4"/>
    <w:rsid w:val="00862955"/>
    <w:rsid w:val="00862C9B"/>
    <w:rsid w:val="00862CF0"/>
    <w:rsid w:val="00863461"/>
    <w:rsid w:val="00863F0F"/>
    <w:rsid w:val="00863FD0"/>
    <w:rsid w:val="00864156"/>
    <w:rsid w:val="008642C8"/>
    <w:rsid w:val="008644AA"/>
    <w:rsid w:val="008645B0"/>
    <w:rsid w:val="008647D6"/>
    <w:rsid w:val="00864CEA"/>
    <w:rsid w:val="00865157"/>
    <w:rsid w:val="0086528D"/>
    <w:rsid w:val="008652A3"/>
    <w:rsid w:val="008655B9"/>
    <w:rsid w:val="00865830"/>
    <w:rsid w:val="00865854"/>
    <w:rsid w:val="00865CCB"/>
    <w:rsid w:val="00865EAF"/>
    <w:rsid w:val="0086655B"/>
    <w:rsid w:val="00866805"/>
    <w:rsid w:val="008668A7"/>
    <w:rsid w:val="00866E6C"/>
    <w:rsid w:val="0086746F"/>
    <w:rsid w:val="00867625"/>
    <w:rsid w:val="0086771F"/>
    <w:rsid w:val="00867765"/>
    <w:rsid w:val="00867A8F"/>
    <w:rsid w:val="00867B2B"/>
    <w:rsid w:val="00867DAA"/>
    <w:rsid w:val="00867DBE"/>
    <w:rsid w:val="00870220"/>
    <w:rsid w:val="008703EA"/>
    <w:rsid w:val="00870A88"/>
    <w:rsid w:val="00870B90"/>
    <w:rsid w:val="00870C37"/>
    <w:rsid w:val="00870ECB"/>
    <w:rsid w:val="008710DC"/>
    <w:rsid w:val="00871271"/>
    <w:rsid w:val="00871428"/>
    <w:rsid w:val="0087142C"/>
    <w:rsid w:val="00871556"/>
    <w:rsid w:val="008715CF"/>
    <w:rsid w:val="0087174B"/>
    <w:rsid w:val="00871EB5"/>
    <w:rsid w:val="008731C0"/>
    <w:rsid w:val="008733DA"/>
    <w:rsid w:val="008734DE"/>
    <w:rsid w:val="0087384F"/>
    <w:rsid w:val="00873D6C"/>
    <w:rsid w:val="00873D7F"/>
    <w:rsid w:val="00874028"/>
    <w:rsid w:val="0087489D"/>
    <w:rsid w:val="00875E24"/>
    <w:rsid w:val="00876313"/>
    <w:rsid w:val="00876363"/>
    <w:rsid w:val="0087637F"/>
    <w:rsid w:val="008764A6"/>
    <w:rsid w:val="008764B2"/>
    <w:rsid w:val="0087658A"/>
    <w:rsid w:val="00876597"/>
    <w:rsid w:val="008765C5"/>
    <w:rsid w:val="00876845"/>
    <w:rsid w:val="00876BDE"/>
    <w:rsid w:val="008771C2"/>
    <w:rsid w:val="00877787"/>
    <w:rsid w:val="008777EA"/>
    <w:rsid w:val="008778E3"/>
    <w:rsid w:val="00877F40"/>
    <w:rsid w:val="00877FDE"/>
    <w:rsid w:val="008800AD"/>
    <w:rsid w:val="008802DD"/>
    <w:rsid w:val="008805F8"/>
    <w:rsid w:val="008808BC"/>
    <w:rsid w:val="00880D7E"/>
    <w:rsid w:val="00880EB0"/>
    <w:rsid w:val="00881219"/>
    <w:rsid w:val="00881697"/>
    <w:rsid w:val="008819B3"/>
    <w:rsid w:val="008819E9"/>
    <w:rsid w:val="00881B90"/>
    <w:rsid w:val="00882059"/>
    <w:rsid w:val="00882708"/>
    <w:rsid w:val="008827C7"/>
    <w:rsid w:val="008827E3"/>
    <w:rsid w:val="00883013"/>
    <w:rsid w:val="0088301C"/>
    <w:rsid w:val="008831A1"/>
    <w:rsid w:val="0088326A"/>
    <w:rsid w:val="008832F8"/>
    <w:rsid w:val="0088332D"/>
    <w:rsid w:val="0088365B"/>
    <w:rsid w:val="008838F4"/>
    <w:rsid w:val="00883A86"/>
    <w:rsid w:val="00883C2B"/>
    <w:rsid w:val="00883F4B"/>
    <w:rsid w:val="00883F53"/>
    <w:rsid w:val="00884015"/>
    <w:rsid w:val="0088425D"/>
    <w:rsid w:val="00884294"/>
    <w:rsid w:val="0088468E"/>
    <w:rsid w:val="0088499D"/>
    <w:rsid w:val="00884BAD"/>
    <w:rsid w:val="00884CC4"/>
    <w:rsid w:val="008855EE"/>
    <w:rsid w:val="00885754"/>
    <w:rsid w:val="00885769"/>
    <w:rsid w:val="008859F7"/>
    <w:rsid w:val="00886002"/>
    <w:rsid w:val="008861C3"/>
    <w:rsid w:val="0088628C"/>
    <w:rsid w:val="008863F3"/>
    <w:rsid w:val="008871C1"/>
    <w:rsid w:val="00887EC5"/>
    <w:rsid w:val="008900AD"/>
    <w:rsid w:val="00890219"/>
    <w:rsid w:val="008902E4"/>
    <w:rsid w:val="00890678"/>
    <w:rsid w:val="00890890"/>
    <w:rsid w:val="00890E3E"/>
    <w:rsid w:val="00891830"/>
    <w:rsid w:val="008919E0"/>
    <w:rsid w:val="00891A22"/>
    <w:rsid w:val="00891A7D"/>
    <w:rsid w:val="00892A6F"/>
    <w:rsid w:val="008936C4"/>
    <w:rsid w:val="00893A22"/>
    <w:rsid w:val="00893C70"/>
    <w:rsid w:val="00893CEB"/>
    <w:rsid w:val="00893E9D"/>
    <w:rsid w:val="00893EE4"/>
    <w:rsid w:val="00893FA7"/>
    <w:rsid w:val="00894412"/>
    <w:rsid w:val="00894842"/>
    <w:rsid w:val="00894FA7"/>
    <w:rsid w:val="0089542B"/>
    <w:rsid w:val="0089550F"/>
    <w:rsid w:val="00895ACA"/>
    <w:rsid w:val="00895F18"/>
    <w:rsid w:val="00895F92"/>
    <w:rsid w:val="00896017"/>
    <w:rsid w:val="008963E6"/>
    <w:rsid w:val="00896416"/>
    <w:rsid w:val="0089647D"/>
    <w:rsid w:val="00896BE1"/>
    <w:rsid w:val="00896E4B"/>
    <w:rsid w:val="0089708C"/>
    <w:rsid w:val="00897623"/>
    <w:rsid w:val="00897650"/>
    <w:rsid w:val="00897819"/>
    <w:rsid w:val="008A0087"/>
    <w:rsid w:val="008A02C2"/>
    <w:rsid w:val="008A02CF"/>
    <w:rsid w:val="008A0461"/>
    <w:rsid w:val="008A0A7A"/>
    <w:rsid w:val="008A0B27"/>
    <w:rsid w:val="008A0EA2"/>
    <w:rsid w:val="008A0FC8"/>
    <w:rsid w:val="008A12EF"/>
    <w:rsid w:val="008A1398"/>
    <w:rsid w:val="008A1549"/>
    <w:rsid w:val="008A15BD"/>
    <w:rsid w:val="008A15D2"/>
    <w:rsid w:val="008A1668"/>
    <w:rsid w:val="008A16E7"/>
    <w:rsid w:val="008A180F"/>
    <w:rsid w:val="008A188B"/>
    <w:rsid w:val="008A1CB5"/>
    <w:rsid w:val="008A2006"/>
    <w:rsid w:val="008A2225"/>
    <w:rsid w:val="008A22A8"/>
    <w:rsid w:val="008A2349"/>
    <w:rsid w:val="008A23A5"/>
    <w:rsid w:val="008A2893"/>
    <w:rsid w:val="008A28C7"/>
    <w:rsid w:val="008A2F0D"/>
    <w:rsid w:val="008A3073"/>
    <w:rsid w:val="008A3555"/>
    <w:rsid w:val="008A3599"/>
    <w:rsid w:val="008A3A9B"/>
    <w:rsid w:val="008A3B1A"/>
    <w:rsid w:val="008A44E4"/>
    <w:rsid w:val="008A4710"/>
    <w:rsid w:val="008A4810"/>
    <w:rsid w:val="008A4A3D"/>
    <w:rsid w:val="008A4D4E"/>
    <w:rsid w:val="008A4DE6"/>
    <w:rsid w:val="008A4E02"/>
    <w:rsid w:val="008A4EB3"/>
    <w:rsid w:val="008A4EDA"/>
    <w:rsid w:val="008A5937"/>
    <w:rsid w:val="008A5F77"/>
    <w:rsid w:val="008A622F"/>
    <w:rsid w:val="008A65F6"/>
    <w:rsid w:val="008A73E6"/>
    <w:rsid w:val="008A7B32"/>
    <w:rsid w:val="008A7B42"/>
    <w:rsid w:val="008A7C81"/>
    <w:rsid w:val="008B0387"/>
    <w:rsid w:val="008B0835"/>
    <w:rsid w:val="008B0C62"/>
    <w:rsid w:val="008B0D5A"/>
    <w:rsid w:val="008B0FC2"/>
    <w:rsid w:val="008B1045"/>
    <w:rsid w:val="008B1295"/>
    <w:rsid w:val="008B179E"/>
    <w:rsid w:val="008B1C6C"/>
    <w:rsid w:val="008B1E87"/>
    <w:rsid w:val="008B2047"/>
    <w:rsid w:val="008B27BD"/>
    <w:rsid w:val="008B2A5D"/>
    <w:rsid w:val="008B2B7C"/>
    <w:rsid w:val="008B37BE"/>
    <w:rsid w:val="008B3E45"/>
    <w:rsid w:val="008B3F6F"/>
    <w:rsid w:val="008B416A"/>
    <w:rsid w:val="008B4176"/>
    <w:rsid w:val="008B43DC"/>
    <w:rsid w:val="008B4577"/>
    <w:rsid w:val="008B4611"/>
    <w:rsid w:val="008B463D"/>
    <w:rsid w:val="008B526A"/>
    <w:rsid w:val="008B54AF"/>
    <w:rsid w:val="008B553F"/>
    <w:rsid w:val="008B5595"/>
    <w:rsid w:val="008B622D"/>
    <w:rsid w:val="008B65E7"/>
    <w:rsid w:val="008B65E9"/>
    <w:rsid w:val="008B6927"/>
    <w:rsid w:val="008B736F"/>
    <w:rsid w:val="008B73D1"/>
    <w:rsid w:val="008B7465"/>
    <w:rsid w:val="008B7976"/>
    <w:rsid w:val="008B7D23"/>
    <w:rsid w:val="008B7D2F"/>
    <w:rsid w:val="008C0930"/>
    <w:rsid w:val="008C0E39"/>
    <w:rsid w:val="008C1037"/>
    <w:rsid w:val="008C10B3"/>
    <w:rsid w:val="008C1337"/>
    <w:rsid w:val="008C143E"/>
    <w:rsid w:val="008C1526"/>
    <w:rsid w:val="008C194A"/>
    <w:rsid w:val="008C1DB2"/>
    <w:rsid w:val="008C1EE7"/>
    <w:rsid w:val="008C22EA"/>
    <w:rsid w:val="008C2446"/>
    <w:rsid w:val="008C25D5"/>
    <w:rsid w:val="008C2672"/>
    <w:rsid w:val="008C2925"/>
    <w:rsid w:val="008C2B30"/>
    <w:rsid w:val="008C309B"/>
    <w:rsid w:val="008C3261"/>
    <w:rsid w:val="008C34F2"/>
    <w:rsid w:val="008C35D2"/>
    <w:rsid w:val="008C3CE6"/>
    <w:rsid w:val="008C3DF0"/>
    <w:rsid w:val="008C477A"/>
    <w:rsid w:val="008C47F8"/>
    <w:rsid w:val="008C4868"/>
    <w:rsid w:val="008C498A"/>
    <w:rsid w:val="008C4A2C"/>
    <w:rsid w:val="008C4B8C"/>
    <w:rsid w:val="008C4EC9"/>
    <w:rsid w:val="008C53DD"/>
    <w:rsid w:val="008C55B8"/>
    <w:rsid w:val="008C56FB"/>
    <w:rsid w:val="008C575A"/>
    <w:rsid w:val="008C57C9"/>
    <w:rsid w:val="008C5B1C"/>
    <w:rsid w:val="008C5D30"/>
    <w:rsid w:val="008C5E27"/>
    <w:rsid w:val="008C5E78"/>
    <w:rsid w:val="008C5F44"/>
    <w:rsid w:val="008C63E5"/>
    <w:rsid w:val="008C6A11"/>
    <w:rsid w:val="008C7702"/>
    <w:rsid w:val="008C7A57"/>
    <w:rsid w:val="008C7CE3"/>
    <w:rsid w:val="008C7DCD"/>
    <w:rsid w:val="008C7FDC"/>
    <w:rsid w:val="008D0821"/>
    <w:rsid w:val="008D0936"/>
    <w:rsid w:val="008D0C01"/>
    <w:rsid w:val="008D0DCD"/>
    <w:rsid w:val="008D1286"/>
    <w:rsid w:val="008D130E"/>
    <w:rsid w:val="008D140B"/>
    <w:rsid w:val="008D1DBA"/>
    <w:rsid w:val="008D1E27"/>
    <w:rsid w:val="008D2140"/>
    <w:rsid w:val="008D237D"/>
    <w:rsid w:val="008D2594"/>
    <w:rsid w:val="008D26AE"/>
    <w:rsid w:val="008D2FCC"/>
    <w:rsid w:val="008D3100"/>
    <w:rsid w:val="008D33F9"/>
    <w:rsid w:val="008D3636"/>
    <w:rsid w:val="008D37B4"/>
    <w:rsid w:val="008D37CE"/>
    <w:rsid w:val="008D3D5B"/>
    <w:rsid w:val="008D3ECA"/>
    <w:rsid w:val="008D42A8"/>
    <w:rsid w:val="008D432E"/>
    <w:rsid w:val="008D462B"/>
    <w:rsid w:val="008D473D"/>
    <w:rsid w:val="008D4C93"/>
    <w:rsid w:val="008D4F27"/>
    <w:rsid w:val="008D589F"/>
    <w:rsid w:val="008D58C1"/>
    <w:rsid w:val="008D5CA3"/>
    <w:rsid w:val="008D6472"/>
    <w:rsid w:val="008D6705"/>
    <w:rsid w:val="008D6EC4"/>
    <w:rsid w:val="008D7271"/>
    <w:rsid w:val="008D732A"/>
    <w:rsid w:val="008D794D"/>
    <w:rsid w:val="008D7A80"/>
    <w:rsid w:val="008E02A0"/>
    <w:rsid w:val="008E048E"/>
    <w:rsid w:val="008E0C42"/>
    <w:rsid w:val="008E143E"/>
    <w:rsid w:val="008E1476"/>
    <w:rsid w:val="008E2138"/>
    <w:rsid w:val="008E22DB"/>
    <w:rsid w:val="008E298B"/>
    <w:rsid w:val="008E2A5D"/>
    <w:rsid w:val="008E2A71"/>
    <w:rsid w:val="008E2EDE"/>
    <w:rsid w:val="008E2FC9"/>
    <w:rsid w:val="008E3160"/>
    <w:rsid w:val="008E3CC1"/>
    <w:rsid w:val="008E3E18"/>
    <w:rsid w:val="008E3F02"/>
    <w:rsid w:val="008E455A"/>
    <w:rsid w:val="008E4958"/>
    <w:rsid w:val="008E4E77"/>
    <w:rsid w:val="008E4F3B"/>
    <w:rsid w:val="008E5257"/>
    <w:rsid w:val="008E5DD9"/>
    <w:rsid w:val="008E62C6"/>
    <w:rsid w:val="008E670C"/>
    <w:rsid w:val="008E6759"/>
    <w:rsid w:val="008E67FC"/>
    <w:rsid w:val="008E6EE7"/>
    <w:rsid w:val="008E7B46"/>
    <w:rsid w:val="008E7C84"/>
    <w:rsid w:val="008F0250"/>
    <w:rsid w:val="008F0423"/>
    <w:rsid w:val="008F0462"/>
    <w:rsid w:val="008F07DA"/>
    <w:rsid w:val="008F0848"/>
    <w:rsid w:val="008F0AA7"/>
    <w:rsid w:val="008F0B67"/>
    <w:rsid w:val="008F16A5"/>
    <w:rsid w:val="008F2CFA"/>
    <w:rsid w:val="008F3086"/>
    <w:rsid w:val="008F33F5"/>
    <w:rsid w:val="008F36C6"/>
    <w:rsid w:val="008F3B1B"/>
    <w:rsid w:val="008F4295"/>
    <w:rsid w:val="008F4434"/>
    <w:rsid w:val="008F45B2"/>
    <w:rsid w:val="008F462D"/>
    <w:rsid w:val="008F4E32"/>
    <w:rsid w:val="008F5002"/>
    <w:rsid w:val="008F5150"/>
    <w:rsid w:val="008F5720"/>
    <w:rsid w:val="008F58FC"/>
    <w:rsid w:val="008F59CC"/>
    <w:rsid w:val="008F5B24"/>
    <w:rsid w:val="008F5BF8"/>
    <w:rsid w:val="008F5FB1"/>
    <w:rsid w:val="008F5FE2"/>
    <w:rsid w:val="008F6294"/>
    <w:rsid w:val="008F66C2"/>
    <w:rsid w:val="008F7466"/>
    <w:rsid w:val="008F76A3"/>
    <w:rsid w:val="008F7A2C"/>
    <w:rsid w:val="008F7AA9"/>
    <w:rsid w:val="008F7AB5"/>
    <w:rsid w:val="008F7F1F"/>
    <w:rsid w:val="008F7F50"/>
    <w:rsid w:val="00900374"/>
    <w:rsid w:val="00900C8C"/>
    <w:rsid w:val="00900E9E"/>
    <w:rsid w:val="0090100F"/>
    <w:rsid w:val="00901017"/>
    <w:rsid w:val="00901303"/>
    <w:rsid w:val="00901404"/>
    <w:rsid w:val="00901F54"/>
    <w:rsid w:val="00902ECE"/>
    <w:rsid w:val="00902F80"/>
    <w:rsid w:val="00903275"/>
    <w:rsid w:val="009032F3"/>
    <w:rsid w:val="0090345A"/>
    <w:rsid w:val="00903761"/>
    <w:rsid w:val="00903830"/>
    <w:rsid w:val="0090390B"/>
    <w:rsid w:val="00903F9B"/>
    <w:rsid w:val="0090413A"/>
    <w:rsid w:val="00904356"/>
    <w:rsid w:val="009043C0"/>
    <w:rsid w:val="0090448B"/>
    <w:rsid w:val="00904583"/>
    <w:rsid w:val="009045B1"/>
    <w:rsid w:val="00904A74"/>
    <w:rsid w:val="00904B57"/>
    <w:rsid w:val="00904DEA"/>
    <w:rsid w:val="009058BF"/>
    <w:rsid w:val="00905C01"/>
    <w:rsid w:val="00905C75"/>
    <w:rsid w:val="009061F4"/>
    <w:rsid w:val="00906ADF"/>
    <w:rsid w:val="00906FEE"/>
    <w:rsid w:val="009072E0"/>
    <w:rsid w:val="0090783F"/>
    <w:rsid w:val="0091029B"/>
    <w:rsid w:val="0091069B"/>
    <w:rsid w:val="009108B9"/>
    <w:rsid w:val="0091094E"/>
    <w:rsid w:val="0091097C"/>
    <w:rsid w:val="00910A0C"/>
    <w:rsid w:val="00911224"/>
    <w:rsid w:val="00911663"/>
    <w:rsid w:val="00911931"/>
    <w:rsid w:val="0091197C"/>
    <w:rsid w:val="00911A13"/>
    <w:rsid w:val="00911DAC"/>
    <w:rsid w:val="00911E76"/>
    <w:rsid w:val="009122B5"/>
    <w:rsid w:val="009124DE"/>
    <w:rsid w:val="00912507"/>
    <w:rsid w:val="009129B3"/>
    <w:rsid w:val="00912CEA"/>
    <w:rsid w:val="00912E16"/>
    <w:rsid w:val="00913228"/>
    <w:rsid w:val="00913329"/>
    <w:rsid w:val="00913568"/>
    <w:rsid w:val="009136BC"/>
    <w:rsid w:val="00913704"/>
    <w:rsid w:val="009138F4"/>
    <w:rsid w:val="00913B41"/>
    <w:rsid w:val="00913B6F"/>
    <w:rsid w:val="00913CE4"/>
    <w:rsid w:val="00914327"/>
    <w:rsid w:val="00914378"/>
    <w:rsid w:val="009143DA"/>
    <w:rsid w:val="00914600"/>
    <w:rsid w:val="00914750"/>
    <w:rsid w:val="009147DF"/>
    <w:rsid w:val="00914D43"/>
    <w:rsid w:val="00914EDE"/>
    <w:rsid w:val="009153CC"/>
    <w:rsid w:val="0091573C"/>
    <w:rsid w:val="009157D2"/>
    <w:rsid w:val="00915B0C"/>
    <w:rsid w:val="00916227"/>
    <w:rsid w:val="009163FD"/>
    <w:rsid w:val="00917A40"/>
    <w:rsid w:val="00917F56"/>
    <w:rsid w:val="009209CF"/>
    <w:rsid w:val="00921313"/>
    <w:rsid w:val="009213CA"/>
    <w:rsid w:val="009215E6"/>
    <w:rsid w:val="009216DB"/>
    <w:rsid w:val="00921907"/>
    <w:rsid w:val="00921966"/>
    <w:rsid w:val="00921B26"/>
    <w:rsid w:val="00921DFC"/>
    <w:rsid w:val="00921F7E"/>
    <w:rsid w:val="00922888"/>
    <w:rsid w:val="00922897"/>
    <w:rsid w:val="009228EC"/>
    <w:rsid w:val="0092299D"/>
    <w:rsid w:val="00922AA0"/>
    <w:rsid w:val="00922CC0"/>
    <w:rsid w:val="0092307E"/>
    <w:rsid w:val="0092311E"/>
    <w:rsid w:val="009234DF"/>
    <w:rsid w:val="00923568"/>
    <w:rsid w:val="00923A81"/>
    <w:rsid w:val="00923C46"/>
    <w:rsid w:val="00924091"/>
    <w:rsid w:val="009248A9"/>
    <w:rsid w:val="009249C9"/>
    <w:rsid w:val="00924CE0"/>
    <w:rsid w:val="0092505E"/>
    <w:rsid w:val="009253B1"/>
    <w:rsid w:val="0092573E"/>
    <w:rsid w:val="00925AB9"/>
    <w:rsid w:val="00925E24"/>
    <w:rsid w:val="00926272"/>
    <w:rsid w:val="0092638F"/>
    <w:rsid w:val="009268F9"/>
    <w:rsid w:val="0092693F"/>
    <w:rsid w:val="00926E1F"/>
    <w:rsid w:val="00926E69"/>
    <w:rsid w:val="00926E7E"/>
    <w:rsid w:val="009271A5"/>
    <w:rsid w:val="00927448"/>
    <w:rsid w:val="00927CBA"/>
    <w:rsid w:val="009301C4"/>
    <w:rsid w:val="009301E8"/>
    <w:rsid w:val="00930205"/>
    <w:rsid w:val="009302FB"/>
    <w:rsid w:val="00930313"/>
    <w:rsid w:val="009303C8"/>
    <w:rsid w:val="00930586"/>
    <w:rsid w:val="00930592"/>
    <w:rsid w:val="0093074B"/>
    <w:rsid w:val="009308C1"/>
    <w:rsid w:val="00930916"/>
    <w:rsid w:val="00930B57"/>
    <w:rsid w:val="00930E2F"/>
    <w:rsid w:val="00931048"/>
    <w:rsid w:val="00931122"/>
    <w:rsid w:val="009315E3"/>
    <w:rsid w:val="00931B59"/>
    <w:rsid w:val="00932301"/>
    <w:rsid w:val="00932384"/>
    <w:rsid w:val="00932AA4"/>
    <w:rsid w:val="00932C60"/>
    <w:rsid w:val="00933228"/>
    <w:rsid w:val="0093331B"/>
    <w:rsid w:val="0093347C"/>
    <w:rsid w:val="009337D0"/>
    <w:rsid w:val="009337F5"/>
    <w:rsid w:val="00933966"/>
    <w:rsid w:val="00933D7E"/>
    <w:rsid w:val="00933DF5"/>
    <w:rsid w:val="009340C4"/>
    <w:rsid w:val="00934117"/>
    <w:rsid w:val="009342EA"/>
    <w:rsid w:val="009347F4"/>
    <w:rsid w:val="009351FF"/>
    <w:rsid w:val="00935353"/>
    <w:rsid w:val="00935662"/>
    <w:rsid w:val="0093588D"/>
    <w:rsid w:val="00935CD7"/>
    <w:rsid w:val="00936180"/>
    <w:rsid w:val="0093625F"/>
    <w:rsid w:val="0093665F"/>
    <w:rsid w:val="0093675E"/>
    <w:rsid w:val="00936FCC"/>
    <w:rsid w:val="00937446"/>
    <w:rsid w:val="009375D4"/>
    <w:rsid w:val="00937CD3"/>
    <w:rsid w:val="00937D57"/>
    <w:rsid w:val="009407AE"/>
    <w:rsid w:val="009407B4"/>
    <w:rsid w:val="00940966"/>
    <w:rsid w:val="00940DE5"/>
    <w:rsid w:val="00941AFA"/>
    <w:rsid w:val="00941BC5"/>
    <w:rsid w:val="00941F2D"/>
    <w:rsid w:val="00942CBE"/>
    <w:rsid w:val="00942CD8"/>
    <w:rsid w:val="0094314D"/>
    <w:rsid w:val="009433C9"/>
    <w:rsid w:val="00943673"/>
    <w:rsid w:val="0094384B"/>
    <w:rsid w:val="0094385F"/>
    <w:rsid w:val="00943AAE"/>
    <w:rsid w:val="00943B18"/>
    <w:rsid w:val="00943BA6"/>
    <w:rsid w:val="00943F8C"/>
    <w:rsid w:val="00944304"/>
    <w:rsid w:val="00944379"/>
    <w:rsid w:val="00944884"/>
    <w:rsid w:val="00944A1E"/>
    <w:rsid w:val="00944C58"/>
    <w:rsid w:val="00944C90"/>
    <w:rsid w:val="0094533B"/>
    <w:rsid w:val="009454A3"/>
    <w:rsid w:val="009455A0"/>
    <w:rsid w:val="00945612"/>
    <w:rsid w:val="0094571C"/>
    <w:rsid w:val="00945946"/>
    <w:rsid w:val="00945B8D"/>
    <w:rsid w:val="00945C45"/>
    <w:rsid w:val="00945CF1"/>
    <w:rsid w:val="00945DFB"/>
    <w:rsid w:val="00945E5C"/>
    <w:rsid w:val="00946395"/>
    <w:rsid w:val="0094642A"/>
    <w:rsid w:val="0094665E"/>
    <w:rsid w:val="00946FE0"/>
    <w:rsid w:val="009470A3"/>
    <w:rsid w:val="009470ED"/>
    <w:rsid w:val="0094711E"/>
    <w:rsid w:val="00947679"/>
    <w:rsid w:val="00947757"/>
    <w:rsid w:val="00947B99"/>
    <w:rsid w:val="00947C4A"/>
    <w:rsid w:val="00947F3D"/>
    <w:rsid w:val="009505FC"/>
    <w:rsid w:val="00950647"/>
    <w:rsid w:val="0095069A"/>
    <w:rsid w:val="0095072B"/>
    <w:rsid w:val="0095088D"/>
    <w:rsid w:val="009508D3"/>
    <w:rsid w:val="009509BF"/>
    <w:rsid w:val="00950A65"/>
    <w:rsid w:val="00950A81"/>
    <w:rsid w:val="00950C78"/>
    <w:rsid w:val="00950D51"/>
    <w:rsid w:val="00950E9C"/>
    <w:rsid w:val="00951362"/>
    <w:rsid w:val="009517D2"/>
    <w:rsid w:val="00951D5B"/>
    <w:rsid w:val="00951F19"/>
    <w:rsid w:val="00952647"/>
    <w:rsid w:val="009528B7"/>
    <w:rsid w:val="00952F10"/>
    <w:rsid w:val="0095331B"/>
    <w:rsid w:val="009539E6"/>
    <w:rsid w:val="00953C3A"/>
    <w:rsid w:val="00954711"/>
    <w:rsid w:val="00955259"/>
    <w:rsid w:val="009554EA"/>
    <w:rsid w:val="00955C7F"/>
    <w:rsid w:val="00955DB5"/>
    <w:rsid w:val="00956176"/>
    <w:rsid w:val="00956628"/>
    <w:rsid w:val="00956B41"/>
    <w:rsid w:val="00956DBA"/>
    <w:rsid w:val="00957257"/>
    <w:rsid w:val="009575F2"/>
    <w:rsid w:val="00957D13"/>
    <w:rsid w:val="00957E61"/>
    <w:rsid w:val="00957EC8"/>
    <w:rsid w:val="0096039A"/>
    <w:rsid w:val="009604DC"/>
    <w:rsid w:val="009607BA"/>
    <w:rsid w:val="0096099A"/>
    <w:rsid w:val="00960EBE"/>
    <w:rsid w:val="009611F1"/>
    <w:rsid w:val="009619ED"/>
    <w:rsid w:val="00961B46"/>
    <w:rsid w:val="00961D18"/>
    <w:rsid w:val="0096268A"/>
    <w:rsid w:val="0096268F"/>
    <w:rsid w:val="00962783"/>
    <w:rsid w:val="00963031"/>
    <w:rsid w:val="009630EB"/>
    <w:rsid w:val="0096346A"/>
    <w:rsid w:val="009637E7"/>
    <w:rsid w:val="009638E0"/>
    <w:rsid w:val="00963B30"/>
    <w:rsid w:val="0096478A"/>
    <w:rsid w:val="00964CB7"/>
    <w:rsid w:val="009653AB"/>
    <w:rsid w:val="0096541D"/>
    <w:rsid w:val="0096551C"/>
    <w:rsid w:val="0096557F"/>
    <w:rsid w:val="009656E8"/>
    <w:rsid w:val="009658FF"/>
    <w:rsid w:val="00965972"/>
    <w:rsid w:val="00965A46"/>
    <w:rsid w:val="00965C70"/>
    <w:rsid w:val="00965D36"/>
    <w:rsid w:val="00966A03"/>
    <w:rsid w:val="0096700F"/>
    <w:rsid w:val="00967320"/>
    <w:rsid w:val="00967754"/>
    <w:rsid w:val="00967AF4"/>
    <w:rsid w:val="0097028C"/>
    <w:rsid w:val="009704E0"/>
    <w:rsid w:val="0097052E"/>
    <w:rsid w:val="00970F87"/>
    <w:rsid w:val="00971067"/>
    <w:rsid w:val="0097134D"/>
    <w:rsid w:val="00971457"/>
    <w:rsid w:val="00971D84"/>
    <w:rsid w:val="00971F48"/>
    <w:rsid w:val="009727A2"/>
    <w:rsid w:val="00972838"/>
    <w:rsid w:val="009728FB"/>
    <w:rsid w:val="00972A9A"/>
    <w:rsid w:val="00972C6B"/>
    <w:rsid w:val="00973133"/>
    <w:rsid w:val="00973257"/>
    <w:rsid w:val="00973736"/>
    <w:rsid w:val="00973AE4"/>
    <w:rsid w:val="00973E6F"/>
    <w:rsid w:val="00974103"/>
    <w:rsid w:val="00974982"/>
    <w:rsid w:val="00974A30"/>
    <w:rsid w:val="00974CC7"/>
    <w:rsid w:val="00974F66"/>
    <w:rsid w:val="00975C60"/>
    <w:rsid w:val="00976358"/>
    <w:rsid w:val="009763B3"/>
    <w:rsid w:val="0097661F"/>
    <w:rsid w:val="00976855"/>
    <w:rsid w:val="00976B1B"/>
    <w:rsid w:val="0097701A"/>
    <w:rsid w:val="009775F5"/>
    <w:rsid w:val="009776EB"/>
    <w:rsid w:val="00977E4C"/>
    <w:rsid w:val="009802B9"/>
    <w:rsid w:val="00980351"/>
    <w:rsid w:val="0098068A"/>
    <w:rsid w:val="009807B8"/>
    <w:rsid w:val="0098136E"/>
    <w:rsid w:val="0098155C"/>
    <w:rsid w:val="00981E40"/>
    <w:rsid w:val="0098207C"/>
    <w:rsid w:val="009824A8"/>
    <w:rsid w:val="00982AF3"/>
    <w:rsid w:val="009830D3"/>
    <w:rsid w:val="009831E3"/>
    <w:rsid w:val="0098326B"/>
    <w:rsid w:val="009838D5"/>
    <w:rsid w:val="00983A50"/>
    <w:rsid w:val="00983E42"/>
    <w:rsid w:val="00984484"/>
    <w:rsid w:val="009844EC"/>
    <w:rsid w:val="0098453B"/>
    <w:rsid w:val="009848DA"/>
    <w:rsid w:val="009848EB"/>
    <w:rsid w:val="00984C15"/>
    <w:rsid w:val="00984D59"/>
    <w:rsid w:val="00984E0F"/>
    <w:rsid w:val="00984F77"/>
    <w:rsid w:val="00984FFF"/>
    <w:rsid w:val="00985014"/>
    <w:rsid w:val="009851C0"/>
    <w:rsid w:val="009853D2"/>
    <w:rsid w:val="009856F5"/>
    <w:rsid w:val="00985AC2"/>
    <w:rsid w:val="00985BB4"/>
    <w:rsid w:val="00985E0B"/>
    <w:rsid w:val="00986016"/>
    <w:rsid w:val="00986657"/>
    <w:rsid w:val="00986AA1"/>
    <w:rsid w:val="00986D6D"/>
    <w:rsid w:val="00987AC8"/>
    <w:rsid w:val="00987EEA"/>
    <w:rsid w:val="00990194"/>
    <w:rsid w:val="00990317"/>
    <w:rsid w:val="00990358"/>
    <w:rsid w:val="009903E4"/>
    <w:rsid w:val="009907C8"/>
    <w:rsid w:val="00990862"/>
    <w:rsid w:val="00990CC6"/>
    <w:rsid w:val="00990CDE"/>
    <w:rsid w:val="00990E08"/>
    <w:rsid w:val="0099116F"/>
    <w:rsid w:val="009911D1"/>
    <w:rsid w:val="0099155E"/>
    <w:rsid w:val="0099192C"/>
    <w:rsid w:val="009920FF"/>
    <w:rsid w:val="00992141"/>
    <w:rsid w:val="009923AF"/>
    <w:rsid w:val="00992A10"/>
    <w:rsid w:val="00992AC2"/>
    <w:rsid w:val="00992D4F"/>
    <w:rsid w:val="009934C1"/>
    <w:rsid w:val="0099369B"/>
    <w:rsid w:val="00993A87"/>
    <w:rsid w:val="00993BD4"/>
    <w:rsid w:val="009941E5"/>
    <w:rsid w:val="0099474A"/>
    <w:rsid w:val="00994C7D"/>
    <w:rsid w:val="00995442"/>
    <w:rsid w:val="009959E2"/>
    <w:rsid w:val="00995A95"/>
    <w:rsid w:val="00996083"/>
    <w:rsid w:val="009962F6"/>
    <w:rsid w:val="009969AE"/>
    <w:rsid w:val="00997903"/>
    <w:rsid w:val="009A0315"/>
    <w:rsid w:val="009A03C4"/>
    <w:rsid w:val="009A0531"/>
    <w:rsid w:val="009A06AF"/>
    <w:rsid w:val="009A06FB"/>
    <w:rsid w:val="009A0B12"/>
    <w:rsid w:val="009A0E6E"/>
    <w:rsid w:val="009A1122"/>
    <w:rsid w:val="009A14C0"/>
    <w:rsid w:val="009A1F7C"/>
    <w:rsid w:val="009A2052"/>
    <w:rsid w:val="009A208B"/>
    <w:rsid w:val="009A21BA"/>
    <w:rsid w:val="009A27A1"/>
    <w:rsid w:val="009A28B2"/>
    <w:rsid w:val="009A29B9"/>
    <w:rsid w:val="009A2D13"/>
    <w:rsid w:val="009A2FD8"/>
    <w:rsid w:val="009A32D4"/>
    <w:rsid w:val="009A384E"/>
    <w:rsid w:val="009A3892"/>
    <w:rsid w:val="009A39D3"/>
    <w:rsid w:val="009A3FF0"/>
    <w:rsid w:val="009A407D"/>
    <w:rsid w:val="009A4409"/>
    <w:rsid w:val="009A45F7"/>
    <w:rsid w:val="009A4844"/>
    <w:rsid w:val="009A4982"/>
    <w:rsid w:val="009A4A8A"/>
    <w:rsid w:val="009A4ED0"/>
    <w:rsid w:val="009A4F94"/>
    <w:rsid w:val="009A5235"/>
    <w:rsid w:val="009A552D"/>
    <w:rsid w:val="009A5864"/>
    <w:rsid w:val="009A595C"/>
    <w:rsid w:val="009A5D5A"/>
    <w:rsid w:val="009A692D"/>
    <w:rsid w:val="009A6B91"/>
    <w:rsid w:val="009A6C04"/>
    <w:rsid w:val="009A6DB0"/>
    <w:rsid w:val="009A6DE5"/>
    <w:rsid w:val="009A6F54"/>
    <w:rsid w:val="009A7439"/>
    <w:rsid w:val="009A7476"/>
    <w:rsid w:val="009A758A"/>
    <w:rsid w:val="009A7741"/>
    <w:rsid w:val="009A786B"/>
    <w:rsid w:val="009A79BB"/>
    <w:rsid w:val="009A7A42"/>
    <w:rsid w:val="009A7B8C"/>
    <w:rsid w:val="009B02EA"/>
    <w:rsid w:val="009B0480"/>
    <w:rsid w:val="009B0660"/>
    <w:rsid w:val="009B103D"/>
    <w:rsid w:val="009B10DB"/>
    <w:rsid w:val="009B1291"/>
    <w:rsid w:val="009B18D8"/>
    <w:rsid w:val="009B1C01"/>
    <w:rsid w:val="009B1DF3"/>
    <w:rsid w:val="009B1F52"/>
    <w:rsid w:val="009B2103"/>
    <w:rsid w:val="009B2577"/>
    <w:rsid w:val="009B27A6"/>
    <w:rsid w:val="009B2B94"/>
    <w:rsid w:val="009B2DAF"/>
    <w:rsid w:val="009B2DB9"/>
    <w:rsid w:val="009B3077"/>
    <w:rsid w:val="009B315A"/>
    <w:rsid w:val="009B3261"/>
    <w:rsid w:val="009B357A"/>
    <w:rsid w:val="009B36A3"/>
    <w:rsid w:val="009B3D10"/>
    <w:rsid w:val="009B3D1F"/>
    <w:rsid w:val="009B45C9"/>
    <w:rsid w:val="009B5002"/>
    <w:rsid w:val="009B559F"/>
    <w:rsid w:val="009B5721"/>
    <w:rsid w:val="009B5740"/>
    <w:rsid w:val="009B618F"/>
    <w:rsid w:val="009B622A"/>
    <w:rsid w:val="009B6350"/>
    <w:rsid w:val="009B66FA"/>
    <w:rsid w:val="009B6817"/>
    <w:rsid w:val="009B690D"/>
    <w:rsid w:val="009B6AFD"/>
    <w:rsid w:val="009B6E6F"/>
    <w:rsid w:val="009B6F7C"/>
    <w:rsid w:val="009B70E3"/>
    <w:rsid w:val="009B72A9"/>
    <w:rsid w:val="009B7332"/>
    <w:rsid w:val="009B73F5"/>
    <w:rsid w:val="009B7581"/>
    <w:rsid w:val="009B7AC4"/>
    <w:rsid w:val="009B7C4A"/>
    <w:rsid w:val="009C0029"/>
    <w:rsid w:val="009C0764"/>
    <w:rsid w:val="009C0941"/>
    <w:rsid w:val="009C09B6"/>
    <w:rsid w:val="009C0AD8"/>
    <w:rsid w:val="009C0B66"/>
    <w:rsid w:val="009C128E"/>
    <w:rsid w:val="009C1518"/>
    <w:rsid w:val="009C1A17"/>
    <w:rsid w:val="009C1B26"/>
    <w:rsid w:val="009C1BAB"/>
    <w:rsid w:val="009C1BF3"/>
    <w:rsid w:val="009C1F02"/>
    <w:rsid w:val="009C212C"/>
    <w:rsid w:val="009C2240"/>
    <w:rsid w:val="009C232F"/>
    <w:rsid w:val="009C238B"/>
    <w:rsid w:val="009C2496"/>
    <w:rsid w:val="009C2724"/>
    <w:rsid w:val="009C289A"/>
    <w:rsid w:val="009C2AD4"/>
    <w:rsid w:val="009C2BFE"/>
    <w:rsid w:val="009C2C3D"/>
    <w:rsid w:val="009C3093"/>
    <w:rsid w:val="009C3971"/>
    <w:rsid w:val="009C3D04"/>
    <w:rsid w:val="009C3F1E"/>
    <w:rsid w:val="009C4580"/>
    <w:rsid w:val="009C4610"/>
    <w:rsid w:val="009C4BC8"/>
    <w:rsid w:val="009C4DEE"/>
    <w:rsid w:val="009C4FB6"/>
    <w:rsid w:val="009C53FF"/>
    <w:rsid w:val="009C5451"/>
    <w:rsid w:val="009C58D3"/>
    <w:rsid w:val="009C5D23"/>
    <w:rsid w:val="009C6586"/>
    <w:rsid w:val="009C685F"/>
    <w:rsid w:val="009C6B26"/>
    <w:rsid w:val="009C6E5F"/>
    <w:rsid w:val="009C7321"/>
    <w:rsid w:val="009C7F05"/>
    <w:rsid w:val="009C7FAE"/>
    <w:rsid w:val="009D09E0"/>
    <w:rsid w:val="009D0DED"/>
    <w:rsid w:val="009D0EB0"/>
    <w:rsid w:val="009D1033"/>
    <w:rsid w:val="009D167A"/>
    <w:rsid w:val="009D174A"/>
    <w:rsid w:val="009D1D95"/>
    <w:rsid w:val="009D2201"/>
    <w:rsid w:val="009D2484"/>
    <w:rsid w:val="009D2A78"/>
    <w:rsid w:val="009D2E08"/>
    <w:rsid w:val="009D2E90"/>
    <w:rsid w:val="009D3285"/>
    <w:rsid w:val="009D32B0"/>
    <w:rsid w:val="009D32FD"/>
    <w:rsid w:val="009D39EE"/>
    <w:rsid w:val="009D3BE3"/>
    <w:rsid w:val="009D425F"/>
    <w:rsid w:val="009D4636"/>
    <w:rsid w:val="009D46A0"/>
    <w:rsid w:val="009D4750"/>
    <w:rsid w:val="009D483D"/>
    <w:rsid w:val="009D485A"/>
    <w:rsid w:val="009D528E"/>
    <w:rsid w:val="009D5548"/>
    <w:rsid w:val="009D558E"/>
    <w:rsid w:val="009D56C4"/>
    <w:rsid w:val="009D58DF"/>
    <w:rsid w:val="009D5CFD"/>
    <w:rsid w:val="009D62B0"/>
    <w:rsid w:val="009D64C3"/>
    <w:rsid w:val="009D6630"/>
    <w:rsid w:val="009D66D0"/>
    <w:rsid w:val="009D6741"/>
    <w:rsid w:val="009D6A77"/>
    <w:rsid w:val="009D6CEA"/>
    <w:rsid w:val="009D6DE0"/>
    <w:rsid w:val="009D710C"/>
    <w:rsid w:val="009D7840"/>
    <w:rsid w:val="009D7CF9"/>
    <w:rsid w:val="009E052C"/>
    <w:rsid w:val="009E069E"/>
    <w:rsid w:val="009E11E4"/>
    <w:rsid w:val="009E16EE"/>
    <w:rsid w:val="009E1779"/>
    <w:rsid w:val="009E1B49"/>
    <w:rsid w:val="009E1C70"/>
    <w:rsid w:val="009E206E"/>
    <w:rsid w:val="009E20C9"/>
    <w:rsid w:val="009E2366"/>
    <w:rsid w:val="009E264E"/>
    <w:rsid w:val="009E3C89"/>
    <w:rsid w:val="009E421D"/>
    <w:rsid w:val="009E4392"/>
    <w:rsid w:val="009E45AF"/>
    <w:rsid w:val="009E4925"/>
    <w:rsid w:val="009E4A07"/>
    <w:rsid w:val="009E4CE1"/>
    <w:rsid w:val="009E568A"/>
    <w:rsid w:val="009E5DE7"/>
    <w:rsid w:val="009E637E"/>
    <w:rsid w:val="009E6626"/>
    <w:rsid w:val="009E6D90"/>
    <w:rsid w:val="009E6EDF"/>
    <w:rsid w:val="009E704A"/>
    <w:rsid w:val="009E70EF"/>
    <w:rsid w:val="009E719D"/>
    <w:rsid w:val="009E7540"/>
    <w:rsid w:val="009E790A"/>
    <w:rsid w:val="009E7A4A"/>
    <w:rsid w:val="009F014F"/>
    <w:rsid w:val="009F02DC"/>
    <w:rsid w:val="009F0334"/>
    <w:rsid w:val="009F045F"/>
    <w:rsid w:val="009F0460"/>
    <w:rsid w:val="009F0A35"/>
    <w:rsid w:val="009F0AF0"/>
    <w:rsid w:val="009F0C3B"/>
    <w:rsid w:val="009F0DA7"/>
    <w:rsid w:val="009F1155"/>
    <w:rsid w:val="009F1257"/>
    <w:rsid w:val="009F13EB"/>
    <w:rsid w:val="009F14B6"/>
    <w:rsid w:val="009F187A"/>
    <w:rsid w:val="009F1966"/>
    <w:rsid w:val="009F1CB2"/>
    <w:rsid w:val="009F1D1F"/>
    <w:rsid w:val="009F2346"/>
    <w:rsid w:val="009F2C2A"/>
    <w:rsid w:val="009F2C48"/>
    <w:rsid w:val="009F2C6A"/>
    <w:rsid w:val="009F4389"/>
    <w:rsid w:val="009F44B1"/>
    <w:rsid w:val="009F4920"/>
    <w:rsid w:val="009F4F5B"/>
    <w:rsid w:val="009F5348"/>
    <w:rsid w:val="009F541E"/>
    <w:rsid w:val="009F543F"/>
    <w:rsid w:val="009F5487"/>
    <w:rsid w:val="009F592D"/>
    <w:rsid w:val="009F638B"/>
    <w:rsid w:val="009F63BA"/>
    <w:rsid w:val="009F64E5"/>
    <w:rsid w:val="009F687C"/>
    <w:rsid w:val="009F6939"/>
    <w:rsid w:val="009F6C4C"/>
    <w:rsid w:val="009F6E8D"/>
    <w:rsid w:val="009F7183"/>
    <w:rsid w:val="009F7274"/>
    <w:rsid w:val="009F7712"/>
    <w:rsid w:val="009F7C8E"/>
    <w:rsid w:val="009F7D35"/>
    <w:rsid w:val="009F7EF2"/>
    <w:rsid w:val="00A00322"/>
    <w:rsid w:val="00A00705"/>
    <w:rsid w:val="00A00B15"/>
    <w:rsid w:val="00A01204"/>
    <w:rsid w:val="00A012D0"/>
    <w:rsid w:val="00A01696"/>
    <w:rsid w:val="00A02371"/>
    <w:rsid w:val="00A02C00"/>
    <w:rsid w:val="00A02E83"/>
    <w:rsid w:val="00A031F6"/>
    <w:rsid w:val="00A03466"/>
    <w:rsid w:val="00A037B4"/>
    <w:rsid w:val="00A03AC2"/>
    <w:rsid w:val="00A03FDA"/>
    <w:rsid w:val="00A04004"/>
    <w:rsid w:val="00A040A6"/>
    <w:rsid w:val="00A04138"/>
    <w:rsid w:val="00A046BF"/>
    <w:rsid w:val="00A04919"/>
    <w:rsid w:val="00A04954"/>
    <w:rsid w:val="00A049F7"/>
    <w:rsid w:val="00A04D77"/>
    <w:rsid w:val="00A05469"/>
    <w:rsid w:val="00A05A78"/>
    <w:rsid w:val="00A05BE0"/>
    <w:rsid w:val="00A061BD"/>
    <w:rsid w:val="00A063CD"/>
    <w:rsid w:val="00A066DE"/>
    <w:rsid w:val="00A069C1"/>
    <w:rsid w:val="00A06DC0"/>
    <w:rsid w:val="00A06EDD"/>
    <w:rsid w:val="00A07243"/>
    <w:rsid w:val="00A0737F"/>
    <w:rsid w:val="00A075A3"/>
    <w:rsid w:val="00A07B90"/>
    <w:rsid w:val="00A101BB"/>
    <w:rsid w:val="00A10324"/>
    <w:rsid w:val="00A10C55"/>
    <w:rsid w:val="00A10E72"/>
    <w:rsid w:val="00A11114"/>
    <w:rsid w:val="00A117B9"/>
    <w:rsid w:val="00A117DF"/>
    <w:rsid w:val="00A11C58"/>
    <w:rsid w:val="00A11C9E"/>
    <w:rsid w:val="00A11E6E"/>
    <w:rsid w:val="00A11E91"/>
    <w:rsid w:val="00A11EDA"/>
    <w:rsid w:val="00A12045"/>
    <w:rsid w:val="00A12098"/>
    <w:rsid w:val="00A12674"/>
    <w:rsid w:val="00A12749"/>
    <w:rsid w:val="00A1283C"/>
    <w:rsid w:val="00A12D21"/>
    <w:rsid w:val="00A1305C"/>
    <w:rsid w:val="00A13124"/>
    <w:rsid w:val="00A136A2"/>
    <w:rsid w:val="00A1388B"/>
    <w:rsid w:val="00A138C4"/>
    <w:rsid w:val="00A13F1A"/>
    <w:rsid w:val="00A13FC9"/>
    <w:rsid w:val="00A14027"/>
    <w:rsid w:val="00A140BE"/>
    <w:rsid w:val="00A14448"/>
    <w:rsid w:val="00A14726"/>
    <w:rsid w:val="00A14A8B"/>
    <w:rsid w:val="00A14C97"/>
    <w:rsid w:val="00A1511D"/>
    <w:rsid w:val="00A1589A"/>
    <w:rsid w:val="00A15E49"/>
    <w:rsid w:val="00A167F6"/>
    <w:rsid w:val="00A16836"/>
    <w:rsid w:val="00A16B96"/>
    <w:rsid w:val="00A16EDB"/>
    <w:rsid w:val="00A171EF"/>
    <w:rsid w:val="00A17560"/>
    <w:rsid w:val="00A175D5"/>
    <w:rsid w:val="00A176D1"/>
    <w:rsid w:val="00A177B2"/>
    <w:rsid w:val="00A1782B"/>
    <w:rsid w:val="00A20640"/>
    <w:rsid w:val="00A20E49"/>
    <w:rsid w:val="00A21D31"/>
    <w:rsid w:val="00A21FDF"/>
    <w:rsid w:val="00A2215A"/>
    <w:rsid w:val="00A222A5"/>
    <w:rsid w:val="00A224AE"/>
    <w:rsid w:val="00A2263B"/>
    <w:rsid w:val="00A22671"/>
    <w:rsid w:val="00A2270B"/>
    <w:rsid w:val="00A22A21"/>
    <w:rsid w:val="00A233A6"/>
    <w:rsid w:val="00A24144"/>
    <w:rsid w:val="00A241F6"/>
    <w:rsid w:val="00A24628"/>
    <w:rsid w:val="00A24889"/>
    <w:rsid w:val="00A24B2F"/>
    <w:rsid w:val="00A24D96"/>
    <w:rsid w:val="00A24E2A"/>
    <w:rsid w:val="00A24E45"/>
    <w:rsid w:val="00A2511A"/>
    <w:rsid w:val="00A25B9F"/>
    <w:rsid w:val="00A25D91"/>
    <w:rsid w:val="00A25FBD"/>
    <w:rsid w:val="00A269AD"/>
    <w:rsid w:val="00A26B36"/>
    <w:rsid w:val="00A26FE3"/>
    <w:rsid w:val="00A26FF8"/>
    <w:rsid w:val="00A270F3"/>
    <w:rsid w:val="00A2760E"/>
    <w:rsid w:val="00A27766"/>
    <w:rsid w:val="00A27DF0"/>
    <w:rsid w:val="00A27E53"/>
    <w:rsid w:val="00A27EE4"/>
    <w:rsid w:val="00A27F3E"/>
    <w:rsid w:val="00A3045D"/>
    <w:rsid w:val="00A30540"/>
    <w:rsid w:val="00A30A01"/>
    <w:rsid w:val="00A30BDF"/>
    <w:rsid w:val="00A31453"/>
    <w:rsid w:val="00A31999"/>
    <w:rsid w:val="00A31A80"/>
    <w:rsid w:val="00A3216D"/>
    <w:rsid w:val="00A32473"/>
    <w:rsid w:val="00A328CC"/>
    <w:rsid w:val="00A32AFB"/>
    <w:rsid w:val="00A32BE0"/>
    <w:rsid w:val="00A32E98"/>
    <w:rsid w:val="00A32EE1"/>
    <w:rsid w:val="00A32F98"/>
    <w:rsid w:val="00A330F3"/>
    <w:rsid w:val="00A33245"/>
    <w:rsid w:val="00A3333A"/>
    <w:rsid w:val="00A33438"/>
    <w:rsid w:val="00A337CE"/>
    <w:rsid w:val="00A338A9"/>
    <w:rsid w:val="00A338EB"/>
    <w:rsid w:val="00A33B5B"/>
    <w:rsid w:val="00A34053"/>
    <w:rsid w:val="00A341B0"/>
    <w:rsid w:val="00A341D3"/>
    <w:rsid w:val="00A349A7"/>
    <w:rsid w:val="00A34AA6"/>
    <w:rsid w:val="00A34B35"/>
    <w:rsid w:val="00A34BF1"/>
    <w:rsid w:val="00A34CBA"/>
    <w:rsid w:val="00A34F72"/>
    <w:rsid w:val="00A34FE4"/>
    <w:rsid w:val="00A3518C"/>
    <w:rsid w:val="00A35312"/>
    <w:rsid w:val="00A35725"/>
    <w:rsid w:val="00A35E28"/>
    <w:rsid w:val="00A361EE"/>
    <w:rsid w:val="00A36A36"/>
    <w:rsid w:val="00A37854"/>
    <w:rsid w:val="00A37CDB"/>
    <w:rsid w:val="00A37E97"/>
    <w:rsid w:val="00A40287"/>
    <w:rsid w:val="00A40611"/>
    <w:rsid w:val="00A409B9"/>
    <w:rsid w:val="00A40B46"/>
    <w:rsid w:val="00A40CE9"/>
    <w:rsid w:val="00A41125"/>
    <w:rsid w:val="00A4162A"/>
    <w:rsid w:val="00A41C2C"/>
    <w:rsid w:val="00A41DB9"/>
    <w:rsid w:val="00A42150"/>
    <w:rsid w:val="00A421E7"/>
    <w:rsid w:val="00A42370"/>
    <w:rsid w:val="00A42557"/>
    <w:rsid w:val="00A42682"/>
    <w:rsid w:val="00A426F1"/>
    <w:rsid w:val="00A427CD"/>
    <w:rsid w:val="00A42912"/>
    <w:rsid w:val="00A42CAC"/>
    <w:rsid w:val="00A42D46"/>
    <w:rsid w:val="00A4357A"/>
    <w:rsid w:val="00A43AD0"/>
    <w:rsid w:val="00A43B09"/>
    <w:rsid w:val="00A43DCB"/>
    <w:rsid w:val="00A43E90"/>
    <w:rsid w:val="00A4416C"/>
    <w:rsid w:val="00A4472E"/>
    <w:rsid w:val="00A44BD0"/>
    <w:rsid w:val="00A44F9F"/>
    <w:rsid w:val="00A44FC5"/>
    <w:rsid w:val="00A451D8"/>
    <w:rsid w:val="00A454BF"/>
    <w:rsid w:val="00A45604"/>
    <w:rsid w:val="00A45670"/>
    <w:rsid w:val="00A457CB"/>
    <w:rsid w:val="00A4591C"/>
    <w:rsid w:val="00A45BE9"/>
    <w:rsid w:val="00A45F48"/>
    <w:rsid w:val="00A45F6C"/>
    <w:rsid w:val="00A45F8C"/>
    <w:rsid w:val="00A4668A"/>
    <w:rsid w:val="00A467CD"/>
    <w:rsid w:val="00A4693D"/>
    <w:rsid w:val="00A46AC7"/>
    <w:rsid w:val="00A46CBC"/>
    <w:rsid w:val="00A47335"/>
    <w:rsid w:val="00A47403"/>
    <w:rsid w:val="00A47B1F"/>
    <w:rsid w:val="00A47D32"/>
    <w:rsid w:val="00A47D36"/>
    <w:rsid w:val="00A47D75"/>
    <w:rsid w:val="00A47DC6"/>
    <w:rsid w:val="00A47EF1"/>
    <w:rsid w:val="00A50040"/>
    <w:rsid w:val="00A50738"/>
    <w:rsid w:val="00A508D2"/>
    <w:rsid w:val="00A50A83"/>
    <w:rsid w:val="00A5168F"/>
    <w:rsid w:val="00A51B9A"/>
    <w:rsid w:val="00A51CB2"/>
    <w:rsid w:val="00A51D1D"/>
    <w:rsid w:val="00A51EE0"/>
    <w:rsid w:val="00A5276B"/>
    <w:rsid w:val="00A52A48"/>
    <w:rsid w:val="00A52C68"/>
    <w:rsid w:val="00A52E69"/>
    <w:rsid w:val="00A52ED3"/>
    <w:rsid w:val="00A53247"/>
    <w:rsid w:val="00A532A9"/>
    <w:rsid w:val="00A536AB"/>
    <w:rsid w:val="00A53702"/>
    <w:rsid w:val="00A537A8"/>
    <w:rsid w:val="00A53893"/>
    <w:rsid w:val="00A539E1"/>
    <w:rsid w:val="00A54458"/>
    <w:rsid w:val="00A54730"/>
    <w:rsid w:val="00A54A33"/>
    <w:rsid w:val="00A54F42"/>
    <w:rsid w:val="00A55093"/>
    <w:rsid w:val="00A5510B"/>
    <w:rsid w:val="00A551F8"/>
    <w:rsid w:val="00A55726"/>
    <w:rsid w:val="00A5588F"/>
    <w:rsid w:val="00A5620D"/>
    <w:rsid w:val="00A5650F"/>
    <w:rsid w:val="00A5651B"/>
    <w:rsid w:val="00A56895"/>
    <w:rsid w:val="00A56914"/>
    <w:rsid w:val="00A56BDD"/>
    <w:rsid w:val="00A57367"/>
    <w:rsid w:val="00A573DF"/>
    <w:rsid w:val="00A574A7"/>
    <w:rsid w:val="00A57604"/>
    <w:rsid w:val="00A57923"/>
    <w:rsid w:val="00A57966"/>
    <w:rsid w:val="00A57AEF"/>
    <w:rsid w:val="00A57B1C"/>
    <w:rsid w:val="00A57C16"/>
    <w:rsid w:val="00A57D76"/>
    <w:rsid w:val="00A57FA2"/>
    <w:rsid w:val="00A60068"/>
    <w:rsid w:val="00A6063A"/>
    <w:rsid w:val="00A60D11"/>
    <w:rsid w:val="00A60DF9"/>
    <w:rsid w:val="00A6119B"/>
    <w:rsid w:val="00A6153A"/>
    <w:rsid w:val="00A61765"/>
    <w:rsid w:val="00A617AD"/>
    <w:rsid w:val="00A617D6"/>
    <w:rsid w:val="00A61C19"/>
    <w:rsid w:val="00A6210E"/>
    <w:rsid w:val="00A62531"/>
    <w:rsid w:val="00A625BC"/>
    <w:rsid w:val="00A62739"/>
    <w:rsid w:val="00A62827"/>
    <w:rsid w:val="00A62F5E"/>
    <w:rsid w:val="00A631BD"/>
    <w:rsid w:val="00A63240"/>
    <w:rsid w:val="00A638EC"/>
    <w:rsid w:val="00A63B2C"/>
    <w:rsid w:val="00A63E0F"/>
    <w:rsid w:val="00A64109"/>
    <w:rsid w:val="00A64481"/>
    <w:rsid w:val="00A644F2"/>
    <w:rsid w:val="00A64DED"/>
    <w:rsid w:val="00A64E97"/>
    <w:rsid w:val="00A6515C"/>
    <w:rsid w:val="00A65244"/>
    <w:rsid w:val="00A655FE"/>
    <w:rsid w:val="00A6594F"/>
    <w:rsid w:val="00A65DF7"/>
    <w:rsid w:val="00A66810"/>
    <w:rsid w:val="00A668F1"/>
    <w:rsid w:val="00A66A35"/>
    <w:rsid w:val="00A66B48"/>
    <w:rsid w:val="00A66C48"/>
    <w:rsid w:val="00A66C49"/>
    <w:rsid w:val="00A67166"/>
    <w:rsid w:val="00A672F7"/>
    <w:rsid w:val="00A67309"/>
    <w:rsid w:val="00A67724"/>
    <w:rsid w:val="00A679A2"/>
    <w:rsid w:val="00A67C4D"/>
    <w:rsid w:val="00A67C89"/>
    <w:rsid w:val="00A67D83"/>
    <w:rsid w:val="00A7040B"/>
    <w:rsid w:val="00A704E0"/>
    <w:rsid w:val="00A70526"/>
    <w:rsid w:val="00A709B0"/>
    <w:rsid w:val="00A70BE3"/>
    <w:rsid w:val="00A70DB2"/>
    <w:rsid w:val="00A71113"/>
    <w:rsid w:val="00A7150C"/>
    <w:rsid w:val="00A7156B"/>
    <w:rsid w:val="00A71C93"/>
    <w:rsid w:val="00A71D54"/>
    <w:rsid w:val="00A71E38"/>
    <w:rsid w:val="00A7205F"/>
    <w:rsid w:val="00A721B6"/>
    <w:rsid w:val="00A7231D"/>
    <w:rsid w:val="00A727E8"/>
    <w:rsid w:val="00A72B0B"/>
    <w:rsid w:val="00A72D9A"/>
    <w:rsid w:val="00A72EA8"/>
    <w:rsid w:val="00A72FB2"/>
    <w:rsid w:val="00A74419"/>
    <w:rsid w:val="00A74C9F"/>
    <w:rsid w:val="00A74E93"/>
    <w:rsid w:val="00A7513E"/>
    <w:rsid w:val="00A75699"/>
    <w:rsid w:val="00A757F8"/>
    <w:rsid w:val="00A75817"/>
    <w:rsid w:val="00A75854"/>
    <w:rsid w:val="00A76119"/>
    <w:rsid w:val="00A761A1"/>
    <w:rsid w:val="00A7666B"/>
    <w:rsid w:val="00A76E53"/>
    <w:rsid w:val="00A777F3"/>
    <w:rsid w:val="00A77824"/>
    <w:rsid w:val="00A779CA"/>
    <w:rsid w:val="00A77CBD"/>
    <w:rsid w:val="00A802B6"/>
    <w:rsid w:val="00A80D36"/>
    <w:rsid w:val="00A80DB5"/>
    <w:rsid w:val="00A8175D"/>
    <w:rsid w:val="00A8289A"/>
    <w:rsid w:val="00A82AFE"/>
    <w:rsid w:val="00A82C42"/>
    <w:rsid w:val="00A82CD9"/>
    <w:rsid w:val="00A82F29"/>
    <w:rsid w:val="00A835E2"/>
    <w:rsid w:val="00A837C1"/>
    <w:rsid w:val="00A83FF1"/>
    <w:rsid w:val="00A8400F"/>
    <w:rsid w:val="00A84065"/>
    <w:rsid w:val="00A842EC"/>
    <w:rsid w:val="00A84388"/>
    <w:rsid w:val="00A843F3"/>
    <w:rsid w:val="00A84782"/>
    <w:rsid w:val="00A84915"/>
    <w:rsid w:val="00A84BC8"/>
    <w:rsid w:val="00A84D1A"/>
    <w:rsid w:val="00A84E14"/>
    <w:rsid w:val="00A84E84"/>
    <w:rsid w:val="00A856C5"/>
    <w:rsid w:val="00A85D89"/>
    <w:rsid w:val="00A85F86"/>
    <w:rsid w:val="00A862F0"/>
    <w:rsid w:val="00A863A1"/>
    <w:rsid w:val="00A866CF"/>
    <w:rsid w:val="00A86A4F"/>
    <w:rsid w:val="00A86D0B"/>
    <w:rsid w:val="00A87015"/>
    <w:rsid w:val="00A8749F"/>
    <w:rsid w:val="00A8768E"/>
    <w:rsid w:val="00A9040D"/>
    <w:rsid w:val="00A90477"/>
    <w:rsid w:val="00A9063B"/>
    <w:rsid w:val="00A906DE"/>
    <w:rsid w:val="00A908BC"/>
    <w:rsid w:val="00A90CF1"/>
    <w:rsid w:val="00A90ED8"/>
    <w:rsid w:val="00A910EF"/>
    <w:rsid w:val="00A911B9"/>
    <w:rsid w:val="00A914C8"/>
    <w:rsid w:val="00A9173B"/>
    <w:rsid w:val="00A918EE"/>
    <w:rsid w:val="00A91C16"/>
    <w:rsid w:val="00A91DFA"/>
    <w:rsid w:val="00A9297C"/>
    <w:rsid w:val="00A92989"/>
    <w:rsid w:val="00A92A00"/>
    <w:rsid w:val="00A92B9E"/>
    <w:rsid w:val="00A92C3E"/>
    <w:rsid w:val="00A92EB4"/>
    <w:rsid w:val="00A92FB0"/>
    <w:rsid w:val="00A92FD5"/>
    <w:rsid w:val="00A92FE9"/>
    <w:rsid w:val="00A933D3"/>
    <w:rsid w:val="00A93A0E"/>
    <w:rsid w:val="00A9525B"/>
    <w:rsid w:val="00A95833"/>
    <w:rsid w:val="00A95D1D"/>
    <w:rsid w:val="00A95D78"/>
    <w:rsid w:val="00A9653F"/>
    <w:rsid w:val="00A96CB4"/>
    <w:rsid w:val="00A9719F"/>
    <w:rsid w:val="00A973C1"/>
    <w:rsid w:val="00A979BB"/>
    <w:rsid w:val="00A97A6F"/>
    <w:rsid w:val="00A97BFE"/>
    <w:rsid w:val="00AA0560"/>
    <w:rsid w:val="00AA0A79"/>
    <w:rsid w:val="00AA0A9C"/>
    <w:rsid w:val="00AA0AE0"/>
    <w:rsid w:val="00AA1247"/>
    <w:rsid w:val="00AA177E"/>
    <w:rsid w:val="00AA19E0"/>
    <w:rsid w:val="00AA1A04"/>
    <w:rsid w:val="00AA1E9B"/>
    <w:rsid w:val="00AA28ED"/>
    <w:rsid w:val="00AA2BB9"/>
    <w:rsid w:val="00AA2FA7"/>
    <w:rsid w:val="00AA3527"/>
    <w:rsid w:val="00AA3587"/>
    <w:rsid w:val="00AA374D"/>
    <w:rsid w:val="00AA3F57"/>
    <w:rsid w:val="00AA401F"/>
    <w:rsid w:val="00AA4246"/>
    <w:rsid w:val="00AA42E7"/>
    <w:rsid w:val="00AA491C"/>
    <w:rsid w:val="00AA4AEA"/>
    <w:rsid w:val="00AA53DD"/>
    <w:rsid w:val="00AA5DCE"/>
    <w:rsid w:val="00AA650D"/>
    <w:rsid w:val="00AA70E4"/>
    <w:rsid w:val="00AA7198"/>
    <w:rsid w:val="00AA71A5"/>
    <w:rsid w:val="00AA7A99"/>
    <w:rsid w:val="00AA7BC0"/>
    <w:rsid w:val="00AB00CD"/>
    <w:rsid w:val="00AB076C"/>
    <w:rsid w:val="00AB088C"/>
    <w:rsid w:val="00AB0BB9"/>
    <w:rsid w:val="00AB0C20"/>
    <w:rsid w:val="00AB0E5C"/>
    <w:rsid w:val="00AB140E"/>
    <w:rsid w:val="00AB1DAD"/>
    <w:rsid w:val="00AB2152"/>
    <w:rsid w:val="00AB2332"/>
    <w:rsid w:val="00AB2450"/>
    <w:rsid w:val="00AB26AC"/>
    <w:rsid w:val="00AB289C"/>
    <w:rsid w:val="00AB2C94"/>
    <w:rsid w:val="00AB2F97"/>
    <w:rsid w:val="00AB31A3"/>
    <w:rsid w:val="00AB355D"/>
    <w:rsid w:val="00AB3634"/>
    <w:rsid w:val="00AB36CE"/>
    <w:rsid w:val="00AB37E2"/>
    <w:rsid w:val="00AB394F"/>
    <w:rsid w:val="00AB3A83"/>
    <w:rsid w:val="00AB3C6C"/>
    <w:rsid w:val="00AB421A"/>
    <w:rsid w:val="00AB4296"/>
    <w:rsid w:val="00AB44CE"/>
    <w:rsid w:val="00AB4B06"/>
    <w:rsid w:val="00AB4B0E"/>
    <w:rsid w:val="00AB4CB7"/>
    <w:rsid w:val="00AB4CE4"/>
    <w:rsid w:val="00AB4F40"/>
    <w:rsid w:val="00AB4FCE"/>
    <w:rsid w:val="00AB5062"/>
    <w:rsid w:val="00AB548A"/>
    <w:rsid w:val="00AB56C5"/>
    <w:rsid w:val="00AB5992"/>
    <w:rsid w:val="00AB6172"/>
    <w:rsid w:val="00AB6724"/>
    <w:rsid w:val="00AB6A0A"/>
    <w:rsid w:val="00AB7953"/>
    <w:rsid w:val="00AC00E1"/>
    <w:rsid w:val="00AC04FB"/>
    <w:rsid w:val="00AC0590"/>
    <w:rsid w:val="00AC0608"/>
    <w:rsid w:val="00AC0A9D"/>
    <w:rsid w:val="00AC10FF"/>
    <w:rsid w:val="00AC1560"/>
    <w:rsid w:val="00AC175B"/>
    <w:rsid w:val="00AC1984"/>
    <w:rsid w:val="00AC1B1F"/>
    <w:rsid w:val="00AC1C46"/>
    <w:rsid w:val="00AC1CB3"/>
    <w:rsid w:val="00AC21E4"/>
    <w:rsid w:val="00AC231E"/>
    <w:rsid w:val="00AC255D"/>
    <w:rsid w:val="00AC27DA"/>
    <w:rsid w:val="00AC28C1"/>
    <w:rsid w:val="00AC2910"/>
    <w:rsid w:val="00AC2A8B"/>
    <w:rsid w:val="00AC3093"/>
    <w:rsid w:val="00AC31BA"/>
    <w:rsid w:val="00AC332A"/>
    <w:rsid w:val="00AC34C5"/>
    <w:rsid w:val="00AC36A9"/>
    <w:rsid w:val="00AC3D42"/>
    <w:rsid w:val="00AC3F8D"/>
    <w:rsid w:val="00AC4470"/>
    <w:rsid w:val="00AC4630"/>
    <w:rsid w:val="00AC46AA"/>
    <w:rsid w:val="00AC50E4"/>
    <w:rsid w:val="00AC5526"/>
    <w:rsid w:val="00AC552D"/>
    <w:rsid w:val="00AC566A"/>
    <w:rsid w:val="00AC56F5"/>
    <w:rsid w:val="00AC59FC"/>
    <w:rsid w:val="00AC5CC0"/>
    <w:rsid w:val="00AC5E5F"/>
    <w:rsid w:val="00AC6786"/>
    <w:rsid w:val="00AC6A13"/>
    <w:rsid w:val="00AC714B"/>
    <w:rsid w:val="00AC7579"/>
    <w:rsid w:val="00AC7597"/>
    <w:rsid w:val="00AC7700"/>
    <w:rsid w:val="00AC7CCD"/>
    <w:rsid w:val="00AC7D6B"/>
    <w:rsid w:val="00AC7D7E"/>
    <w:rsid w:val="00AD012D"/>
    <w:rsid w:val="00AD019A"/>
    <w:rsid w:val="00AD0211"/>
    <w:rsid w:val="00AD03A4"/>
    <w:rsid w:val="00AD090E"/>
    <w:rsid w:val="00AD115D"/>
    <w:rsid w:val="00AD1605"/>
    <w:rsid w:val="00AD1ABC"/>
    <w:rsid w:val="00AD1B0F"/>
    <w:rsid w:val="00AD1DAE"/>
    <w:rsid w:val="00AD1DBC"/>
    <w:rsid w:val="00AD225D"/>
    <w:rsid w:val="00AD24FF"/>
    <w:rsid w:val="00AD2654"/>
    <w:rsid w:val="00AD265B"/>
    <w:rsid w:val="00AD26EB"/>
    <w:rsid w:val="00AD2D36"/>
    <w:rsid w:val="00AD2E61"/>
    <w:rsid w:val="00AD376F"/>
    <w:rsid w:val="00AD37EC"/>
    <w:rsid w:val="00AD38A7"/>
    <w:rsid w:val="00AD3A27"/>
    <w:rsid w:val="00AD3B13"/>
    <w:rsid w:val="00AD3D01"/>
    <w:rsid w:val="00AD4A7B"/>
    <w:rsid w:val="00AD4C37"/>
    <w:rsid w:val="00AD4CA3"/>
    <w:rsid w:val="00AD5028"/>
    <w:rsid w:val="00AD5983"/>
    <w:rsid w:val="00AD6515"/>
    <w:rsid w:val="00AD6803"/>
    <w:rsid w:val="00AD6C4E"/>
    <w:rsid w:val="00AD6EEB"/>
    <w:rsid w:val="00AD711B"/>
    <w:rsid w:val="00AD7800"/>
    <w:rsid w:val="00AD7878"/>
    <w:rsid w:val="00AE060A"/>
    <w:rsid w:val="00AE0CD4"/>
    <w:rsid w:val="00AE0E49"/>
    <w:rsid w:val="00AE0FE4"/>
    <w:rsid w:val="00AE1021"/>
    <w:rsid w:val="00AE10C1"/>
    <w:rsid w:val="00AE1791"/>
    <w:rsid w:val="00AE2464"/>
    <w:rsid w:val="00AE29F1"/>
    <w:rsid w:val="00AE2B06"/>
    <w:rsid w:val="00AE2B94"/>
    <w:rsid w:val="00AE2EC7"/>
    <w:rsid w:val="00AE3203"/>
    <w:rsid w:val="00AE32FE"/>
    <w:rsid w:val="00AE344C"/>
    <w:rsid w:val="00AE3C20"/>
    <w:rsid w:val="00AE3EAA"/>
    <w:rsid w:val="00AE3F0C"/>
    <w:rsid w:val="00AE4333"/>
    <w:rsid w:val="00AE4697"/>
    <w:rsid w:val="00AE4883"/>
    <w:rsid w:val="00AE4A65"/>
    <w:rsid w:val="00AE540C"/>
    <w:rsid w:val="00AE5908"/>
    <w:rsid w:val="00AE5DB0"/>
    <w:rsid w:val="00AE5FA9"/>
    <w:rsid w:val="00AE6019"/>
    <w:rsid w:val="00AE6032"/>
    <w:rsid w:val="00AE607D"/>
    <w:rsid w:val="00AE60AB"/>
    <w:rsid w:val="00AE6418"/>
    <w:rsid w:val="00AE6815"/>
    <w:rsid w:val="00AE69AF"/>
    <w:rsid w:val="00AE70EE"/>
    <w:rsid w:val="00AE70FD"/>
    <w:rsid w:val="00AE7369"/>
    <w:rsid w:val="00AE7372"/>
    <w:rsid w:val="00AE73CD"/>
    <w:rsid w:val="00AE749A"/>
    <w:rsid w:val="00AE7A02"/>
    <w:rsid w:val="00AF01AE"/>
    <w:rsid w:val="00AF0784"/>
    <w:rsid w:val="00AF08F7"/>
    <w:rsid w:val="00AF11EF"/>
    <w:rsid w:val="00AF17F0"/>
    <w:rsid w:val="00AF1A7B"/>
    <w:rsid w:val="00AF1AAC"/>
    <w:rsid w:val="00AF1D8D"/>
    <w:rsid w:val="00AF1FD5"/>
    <w:rsid w:val="00AF21DE"/>
    <w:rsid w:val="00AF231C"/>
    <w:rsid w:val="00AF26FC"/>
    <w:rsid w:val="00AF2A6C"/>
    <w:rsid w:val="00AF32BE"/>
    <w:rsid w:val="00AF336A"/>
    <w:rsid w:val="00AF375F"/>
    <w:rsid w:val="00AF37D9"/>
    <w:rsid w:val="00AF39C4"/>
    <w:rsid w:val="00AF3E92"/>
    <w:rsid w:val="00AF4284"/>
    <w:rsid w:val="00AF451C"/>
    <w:rsid w:val="00AF4789"/>
    <w:rsid w:val="00AF4A7C"/>
    <w:rsid w:val="00AF4B6A"/>
    <w:rsid w:val="00AF4F29"/>
    <w:rsid w:val="00AF53D7"/>
    <w:rsid w:val="00AF59D6"/>
    <w:rsid w:val="00AF5AEE"/>
    <w:rsid w:val="00AF5DDC"/>
    <w:rsid w:val="00AF5E24"/>
    <w:rsid w:val="00AF6239"/>
    <w:rsid w:val="00AF63D1"/>
    <w:rsid w:val="00AF6AA7"/>
    <w:rsid w:val="00AF6E82"/>
    <w:rsid w:val="00AF748A"/>
    <w:rsid w:val="00AF7498"/>
    <w:rsid w:val="00AF752B"/>
    <w:rsid w:val="00AF770B"/>
    <w:rsid w:val="00AF7728"/>
    <w:rsid w:val="00B00679"/>
    <w:rsid w:val="00B00B7A"/>
    <w:rsid w:val="00B00E0C"/>
    <w:rsid w:val="00B010BF"/>
    <w:rsid w:val="00B011CE"/>
    <w:rsid w:val="00B011F9"/>
    <w:rsid w:val="00B01840"/>
    <w:rsid w:val="00B01C90"/>
    <w:rsid w:val="00B0213C"/>
    <w:rsid w:val="00B021E0"/>
    <w:rsid w:val="00B0275A"/>
    <w:rsid w:val="00B028FF"/>
    <w:rsid w:val="00B02EE7"/>
    <w:rsid w:val="00B034BF"/>
    <w:rsid w:val="00B038EE"/>
    <w:rsid w:val="00B03E89"/>
    <w:rsid w:val="00B03EA6"/>
    <w:rsid w:val="00B03EFD"/>
    <w:rsid w:val="00B0422B"/>
    <w:rsid w:val="00B04473"/>
    <w:rsid w:val="00B046EC"/>
    <w:rsid w:val="00B053DE"/>
    <w:rsid w:val="00B0560C"/>
    <w:rsid w:val="00B0597C"/>
    <w:rsid w:val="00B06686"/>
    <w:rsid w:val="00B06FEA"/>
    <w:rsid w:val="00B0717E"/>
    <w:rsid w:val="00B07272"/>
    <w:rsid w:val="00B07492"/>
    <w:rsid w:val="00B07612"/>
    <w:rsid w:val="00B07A9D"/>
    <w:rsid w:val="00B07BCC"/>
    <w:rsid w:val="00B07D3B"/>
    <w:rsid w:val="00B10283"/>
    <w:rsid w:val="00B1043B"/>
    <w:rsid w:val="00B10536"/>
    <w:rsid w:val="00B10952"/>
    <w:rsid w:val="00B10BB6"/>
    <w:rsid w:val="00B10BDB"/>
    <w:rsid w:val="00B10C60"/>
    <w:rsid w:val="00B11027"/>
    <w:rsid w:val="00B1157E"/>
    <w:rsid w:val="00B11898"/>
    <w:rsid w:val="00B118DF"/>
    <w:rsid w:val="00B11968"/>
    <w:rsid w:val="00B119C8"/>
    <w:rsid w:val="00B11E3D"/>
    <w:rsid w:val="00B1225B"/>
    <w:rsid w:val="00B125C6"/>
    <w:rsid w:val="00B12DE8"/>
    <w:rsid w:val="00B12EBB"/>
    <w:rsid w:val="00B12F1C"/>
    <w:rsid w:val="00B12FA7"/>
    <w:rsid w:val="00B13C59"/>
    <w:rsid w:val="00B13D57"/>
    <w:rsid w:val="00B14B4A"/>
    <w:rsid w:val="00B14F12"/>
    <w:rsid w:val="00B14F1F"/>
    <w:rsid w:val="00B1599B"/>
    <w:rsid w:val="00B15AA2"/>
    <w:rsid w:val="00B15D1E"/>
    <w:rsid w:val="00B15DD3"/>
    <w:rsid w:val="00B16495"/>
    <w:rsid w:val="00B16B68"/>
    <w:rsid w:val="00B16D7C"/>
    <w:rsid w:val="00B16FA3"/>
    <w:rsid w:val="00B17393"/>
    <w:rsid w:val="00B17C2A"/>
    <w:rsid w:val="00B20182"/>
    <w:rsid w:val="00B2030F"/>
    <w:rsid w:val="00B20555"/>
    <w:rsid w:val="00B20F8C"/>
    <w:rsid w:val="00B21A2B"/>
    <w:rsid w:val="00B21B57"/>
    <w:rsid w:val="00B21B65"/>
    <w:rsid w:val="00B21DC6"/>
    <w:rsid w:val="00B21F3C"/>
    <w:rsid w:val="00B21F5C"/>
    <w:rsid w:val="00B22012"/>
    <w:rsid w:val="00B2257E"/>
    <w:rsid w:val="00B229B0"/>
    <w:rsid w:val="00B22BFA"/>
    <w:rsid w:val="00B22FE2"/>
    <w:rsid w:val="00B231A5"/>
    <w:rsid w:val="00B23347"/>
    <w:rsid w:val="00B23389"/>
    <w:rsid w:val="00B23657"/>
    <w:rsid w:val="00B23A15"/>
    <w:rsid w:val="00B2424D"/>
    <w:rsid w:val="00B242F8"/>
    <w:rsid w:val="00B243BF"/>
    <w:rsid w:val="00B24608"/>
    <w:rsid w:val="00B249B9"/>
    <w:rsid w:val="00B24D78"/>
    <w:rsid w:val="00B24FF3"/>
    <w:rsid w:val="00B250EA"/>
    <w:rsid w:val="00B252F9"/>
    <w:rsid w:val="00B2550C"/>
    <w:rsid w:val="00B25536"/>
    <w:rsid w:val="00B257DD"/>
    <w:rsid w:val="00B25A27"/>
    <w:rsid w:val="00B25C73"/>
    <w:rsid w:val="00B25C8E"/>
    <w:rsid w:val="00B25CC1"/>
    <w:rsid w:val="00B260C9"/>
    <w:rsid w:val="00B26811"/>
    <w:rsid w:val="00B26861"/>
    <w:rsid w:val="00B26A51"/>
    <w:rsid w:val="00B26B5B"/>
    <w:rsid w:val="00B26B79"/>
    <w:rsid w:val="00B26E6D"/>
    <w:rsid w:val="00B2712B"/>
    <w:rsid w:val="00B271F3"/>
    <w:rsid w:val="00B27451"/>
    <w:rsid w:val="00B2790F"/>
    <w:rsid w:val="00B30510"/>
    <w:rsid w:val="00B3084D"/>
    <w:rsid w:val="00B30864"/>
    <w:rsid w:val="00B30958"/>
    <w:rsid w:val="00B30AF5"/>
    <w:rsid w:val="00B30E65"/>
    <w:rsid w:val="00B31049"/>
    <w:rsid w:val="00B312A3"/>
    <w:rsid w:val="00B312E0"/>
    <w:rsid w:val="00B3151E"/>
    <w:rsid w:val="00B31524"/>
    <w:rsid w:val="00B3176A"/>
    <w:rsid w:val="00B31F48"/>
    <w:rsid w:val="00B31FEE"/>
    <w:rsid w:val="00B32176"/>
    <w:rsid w:val="00B3286C"/>
    <w:rsid w:val="00B32FA0"/>
    <w:rsid w:val="00B33133"/>
    <w:rsid w:val="00B333C3"/>
    <w:rsid w:val="00B33674"/>
    <w:rsid w:val="00B33E96"/>
    <w:rsid w:val="00B3400C"/>
    <w:rsid w:val="00B3402D"/>
    <w:rsid w:val="00B343DF"/>
    <w:rsid w:val="00B348D5"/>
    <w:rsid w:val="00B34997"/>
    <w:rsid w:val="00B3502E"/>
    <w:rsid w:val="00B350BD"/>
    <w:rsid w:val="00B350CF"/>
    <w:rsid w:val="00B36DC5"/>
    <w:rsid w:val="00B36ECA"/>
    <w:rsid w:val="00B36FB3"/>
    <w:rsid w:val="00B37F50"/>
    <w:rsid w:val="00B401CF"/>
    <w:rsid w:val="00B40461"/>
    <w:rsid w:val="00B40CB1"/>
    <w:rsid w:val="00B4115B"/>
    <w:rsid w:val="00B415EF"/>
    <w:rsid w:val="00B41C48"/>
    <w:rsid w:val="00B4224A"/>
    <w:rsid w:val="00B425EC"/>
    <w:rsid w:val="00B42B31"/>
    <w:rsid w:val="00B42B50"/>
    <w:rsid w:val="00B42D11"/>
    <w:rsid w:val="00B42E1D"/>
    <w:rsid w:val="00B433FE"/>
    <w:rsid w:val="00B435FF"/>
    <w:rsid w:val="00B43A06"/>
    <w:rsid w:val="00B43F05"/>
    <w:rsid w:val="00B441A3"/>
    <w:rsid w:val="00B44209"/>
    <w:rsid w:val="00B444FD"/>
    <w:rsid w:val="00B44606"/>
    <w:rsid w:val="00B44871"/>
    <w:rsid w:val="00B448D1"/>
    <w:rsid w:val="00B448E7"/>
    <w:rsid w:val="00B44B02"/>
    <w:rsid w:val="00B44DE5"/>
    <w:rsid w:val="00B44F8E"/>
    <w:rsid w:val="00B45188"/>
    <w:rsid w:val="00B451E2"/>
    <w:rsid w:val="00B45280"/>
    <w:rsid w:val="00B453D0"/>
    <w:rsid w:val="00B4541C"/>
    <w:rsid w:val="00B45519"/>
    <w:rsid w:val="00B4562C"/>
    <w:rsid w:val="00B45DBF"/>
    <w:rsid w:val="00B45FB7"/>
    <w:rsid w:val="00B46119"/>
    <w:rsid w:val="00B462B8"/>
    <w:rsid w:val="00B4653F"/>
    <w:rsid w:val="00B47196"/>
    <w:rsid w:val="00B47385"/>
    <w:rsid w:val="00B47661"/>
    <w:rsid w:val="00B47672"/>
    <w:rsid w:val="00B47CAB"/>
    <w:rsid w:val="00B47FF3"/>
    <w:rsid w:val="00B50126"/>
    <w:rsid w:val="00B50186"/>
    <w:rsid w:val="00B50192"/>
    <w:rsid w:val="00B504CD"/>
    <w:rsid w:val="00B512A0"/>
    <w:rsid w:val="00B51B48"/>
    <w:rsid w:val="00B51CA7"/>
    <w:rsid w:val="00B51F8C"/>
    <w:rsid w:val="00B52574"/>
    <w:rsid w:val="00B5301D"/>
    <w:rsid w:val="00B5339D"/>
    <w:rsid w:val="00B5351D"/>
    <w:rsid w:val="00B53A7F"/>
    <w:rsid w:val="00B5411B"/>
    <w:rsid w:val="00B54BBF"/>
    <w:rsid w:val="00B54CA3"/>
    <w:rsid w:val="00B54E7E"/>
    <w:rsid w:val="00B54F30"/>
    <w:rsid w:val="00B54F3A"/>
    <w:rsid w:val="00B556B6"/>
    <w:rsid w:val="00B5573F"/>
    <w:rsid w:val="00B559BF"/>
    <w:rsid w:val="00B56BD7"/>
    <w:rsid w:val="00B56C79"/>
    <w:rsid w:val="00B570C2"/>
    <w:rsid w:val="00B5755C"/>
    <w:rsid w:val="00B576E0"/>
    <w:rsid w:val="00B57784"/>
    <w:rsid w:val="00B577AC"/>
    <w:rsid w:val="00B57858"/>
    <w:rsid w:val="00B57A3E"/>
    <w:rsid w:val="00B57D46"/>
    <w:rsid w:val="00B60190"/>
    <w:rsid w:val="00B60535"/>
    <w:rsid w:val="00B60D18"/>
    <w:rsid w:val="00B60DF9"/>
    <w:rsid w:val="00B61557"/>
    <w:rsid w:val="00B616E3"/>
    <w:rsid w:val="00B6170B"/>
    <w:rsid w:val="00B6173A"/>
    <w:rsid w:val="00B61935"/>
    <w:rsid w:val="00B61B4B"/>
    <w:rsid w:val="00B61D2C"/>
    <w:rsid w:val="00B61FB4"/>
    <w:rsid w:val="00B62594"/>
    <w:rsid w:val="00B6293E"/>
    <w:rsid w:val="00B62998"/>
    <w:rsid w:val="00B633FF"/>
    <w:rsid w:val="00B639EC"/>
    <w:rsid w:val="00B647C3"/>
    <w:rsid w:val="00B64B66"/>
    <w:rsid w:val="00B652EB"/>
    <w:rsid w:val="00B65538"/>
    <w:rsid w:val="00B65D94"/>
    <w:rsid w:val="00B663ED"/>
    <w:rsid w:val="00B667F6"/>
    <w:rsid w:val="00B669D9"/>
    <w:rsid w:val="00B66B6D"/>
    <w:rsid w:val="00B67001"/>
    <w:rsid w:val="00B674B1"/>
    <w:rsid w:val="00B6787A"/>
    <w:rsid w:val="00B6798C"/>
    <w:rsid w:val="00B67B91"/>
    <w:rsid w:val="00B67C6B"/>
    <w:rsid w:val="00B67DC6"/>
    <w:rsid w:val="00B67E27"/>
    <w:rsid w:val="00B70003"/>
    <w:rsid w:val="00B70195"/>
    <w:rsid w:val="00B703F5"/>
    <w:rsid w:val="00B7048A"/>
    <w:rsid w:val="00B70875"/>
    <w:rsid w:val="00B70A3C"/>
    <w:rsid w:val="00B70F8B"/>
    <w:rsid w:val="00B7164A"/>
    <w:rsid w:val="00B71E3B"/>
    <w:rsid w:val="00B72022"/>
    <w:rsid w:val="00B7209D"/>
    <w:rsid w:val="00B720FE"/>
    <w:rsid w:val="00B72239"/>
    <w:rsid w:val="00B72249"/>
    <w:rsid w:val="00B7228A"/>
    <w:rsid w:val="00B7257D"/>
    <w:rsid w:val="00B7267E"/>
    <w:rsid w:val="00B72709"/>
    <w:rsid w:val="00B7282E"/>
    <w:rsid w:val="00B72AA9"/>
    <w:rsid w:val="00B72C75"/>
    <w:rsid w:val="00B733A9"/>
    <w:rsid w:val="00B735DF"/>
    <w:rsid w:val="00B74053"/>
    <w:rsid w:val="00B7442B"/>
    <w:rsid w:val="00B7448E"/>
    <w:rsid w:val="00B744EF"/>
    <w:rsid w:val="00B746D5"/>
    <w:rsid w:val="00B747C3"/>
    <w:rsid w:val="00B74D82"/>
    <w:rsid w:val="00B75701"/>
    <w:rsid w:val="00B757E8"/>
    <w:rsid w:val="00B75A70"/>
    <w:rsid w:val="00B75DDB"/>
    <w:rsid w:val="00B762A7"/>
    <w:rsid w:val="00B7658D"/>
    <w:rsid w:val="00B766CC"/>
    <w:rsid w:val="00B767FD"/>
    <w:rsid w:val="00B76DFC"/>
    <w:rsid w:val="00B77763"/>
    <w:rsid w:val="00B80478"/>
    <w:rsid w:val="00B807DE"/>
    <w:rsid w:val="00B8080C"/>
    <w:rsid w:val="00B80838"/>
    <w:rsid w:val="00B80A51"/>
    <w:rsid w:val="00B81046"/>
    <w:rsid w:val="00B810BC"/>
    <w:rsid w:val="00B81145"/>
    <w:rsid w:val="00B817D3"/>
    <w:rsid w:val="00B81BD3"/>
    <w:rsid w:val="00B81CF8"/>
    <w:rsid w:val="00B81F0F"/>
    <w:rsid w:val="00B8253C"/>
    <w:rsid w:val="00B82680"/>
    <w:rsid w:val="00B82764"/>
    <w:rsid w:val="00B82858"/>
    <w:rsid w:val="00B82A28"/>
    <w:rsid w:val="00B82DDD"/>
    <w:rsid w:val="00B83867"/>
    <w:rsid w:val="00B843B5"/>
    <w:rsid w:val="00B847D9"/>
    <w:rsid w:val="00B84AEF"/>
    <w:rsid w:val="00B84B76"/>
    <w:rsid w:val="00B84C95"/>
    <w:rsid w:val="00B84DE4"/>
    <w:rsid w:val="00B85104"/>
    <w:rsid w:val="00B853FC"/>
    <w:rsid w:val="00B85A50"/>
    <w:rsid w:val="00B85D8B"/>
    <w:rsid w:val="00B85E89"/>
    <w:rsid w:val="00B85EFE"/>
    <w:rsid w:val="00B85FBF"/>
    <w:rsid w:val="00B863EF"/>
    <w:rsid w:val="00B86E40"/>
    <w:rsid w:val="00B8714B"/>
    <w:rsid w:val="00B873E9"/>
    <w:rsid w:val="00B877E3"/>
    <w:rsid w:val="00B8798B"/>
    <w:rsid w:val="00B87D14"/>
    <w:rsid w:val="00B906E2"/>
    <w:rsid w:val="00B9089C"/>
    <w:rsid w:val="00B90DEA"/>
    <w:rsid w:val="00B90FA1"/>
    <w:rsid w:val="00B911E5"/>
    <w:rsid w:val="00B9151F"/>
    <w:rsid w:val="00B916D8"/>
    <w:rsid w:val="00B91B3F"/>
    <w:rsid w:val="00B91BF6"/>
    <w:rsid w:val="00B91F71"/>
    <w:rsid w:val="00B923DA"/>
    <w:rsid w:val="00B9249E"/>
    <w:rsid w:val="00B92AF1"/>
    <w:rsid w:val="00B92E83"/>
    <w:rsid w:val="00B92EF8"/>
    <w:rsid w:val="00B93C25"/>
    <w:rsid w:val="00B93D2A"/>
    <w:rsid w:val="00B93F8C"/>
    <w:rsid w:val="00B94583"/>
    <w:rsid w:val="00B949F4"/>
    <w:rsid w:val="00B94D02"/>
    <w:rsid w:val="00B94E31"/>
    <w:rsid w:val="00B94FE1"/>
    <w:rsid w:val="00B957A2"/>
    <w:rsid w:val="00B9610D"/>
    <w:rsid w:val="00B96297"/>
    <w:rsid w:val="00B96559"/>
    <w:rsid w:val="00B96C99"/>
    <w:rsid w:val="00B97A3E"/>
    <w:rsid w:val="00B97A4D"/>
    <w:rsid w:val="00B97DD6"/>
    <w:rsid w:val="00B97E8A"/>
    <w:rsid w:val="00BA0430"/>
    <w:rsid w:val="00BA06FF"/>
    <w:rsid w:val="00BA0A69"/>
    <w:rsid w:val="00BA0BAC"/>
    <w:rsid w:val="00BA0BB6"/>
    <w:rsid w:val="00BA0C9D"/>
    <w:rsid w:val="00BA0D6C"/>
    <w:rsid w:val="00BA0F19"/>
    <w:rsid w:val="00BA1230"/>
    <w:rsid w:val="00BA1606"/>
    <w:rsid w:val="00BA165B"/>
    <w:rsid w:val="00BA16C5"/>
    <w:rsid w:val="00BA187C"/>
    <w:rsid w:val="00BA18C9"/>
    <w:rsid w:val="00BA1A94"/>
    <w:rsid w:val="00BA1E52"/>
    <w:rsid w:val="00BA1EB7"/>
    <w:rsid w:val="00BA22EA"/>
    <w:rsid w:val="00BA2631"/>
    <w:rsid w:val="00BA2816"/>
    <w:rsid w:val="00BA2AD1"/>
    <w:rsid w:val="00BA2CA6"/>
    <w:rsid w:val="00BA3154"/>
    <w:rsid w:val="00BA359D"/>
    <w:rsid w:val="00BA3A24"/>
    <w:rsid w:val="00BA3B96"/>
    <w:rsid w:val="00BA4167"/>
    <w:rsid w:val="00BA42DF"/>
    <w:rsid w:val="00BA491C"/>
    <w:rsid w:val="00BA4FD6"/>
    <w:rsid w:val="00BA50E8"/>
    <w:rsid w:val="00BA5143"/>
    <w:rsid w:val="00BA5410"/>
    <w:rsid w:val="00BA56FD"/>
    <w:rsid w:val="00BA5AC1"/>
    <w:rsid w:val="00BA5D81"/>
    <w:rsid w:val="00BA5E82"/>
    <w:rsid w:val="00BA618A"/>
    <w:rsid w:val="00BA620D"/>
    <w:rsid w:val="00BA64CA"/>
    <w:rsid w:val="00BA66C4"/>
    <w:rsid w:val="00BA688C"/>
    <w:rsid w:val="00BA6AFE"/>
    <w:rsid w:val="00BA6E4A"/>
    <w:rsid w:val="00BA71BE"/>
    <w:rsid w:val="00BA71E8"/>
    <w:rsid w:val="00BA731E"/>
    <w:rsid w:val="00BA7548"/>
    <w:rsid w:val="00BA7758"/>
    <w:rsid w:val="00BA78D1"/>
    <w:rsid w:val="00BA7A21"/>
    <w:rsid w:val="00BA7A6C"/>
    <w:rsid w:val="00BB0093"/>
    <w:rsid w:val="00BB0632"/>
    <w:rsid w:val="00BB069E"/>
    <w:rsid w:val="00BB06FA"/>
    <w:rsid w:val="00BB0A94"/>
    <w:rsid w:val="00BB10F1"/>
    <w:rsid w:val="00BB1197"/>
    <w:rsid w:val="00BB123F"/>
    <w:rsid w:val="00BB2298"/>
    <w:rsid w:val="00BB2EA7"/>
    <w:rsid w:val="00BB32C8"/>
    <w:rsid w:val="00BB38AC"/>
    <w:rsid w:val="00BB3EA4"/>
    <w:rsid w:val="00BB3FE5"/>
    <w:rsid w:val="00BB47EC"/>
    <w:rsid w:val="00BB52A5"/>
    <w:rsid w:val="00BB57B5"/>
    <w:rsid w:val="00BB5B15"/>
    <w:rsid w:val="00BB5BA2"/>
    <w:rsid w:val="00BB5DD4"/>
    <w:rsid w:val="00BB5EA0"/>
    <w:rsid w:val="00BB609D"/>
    <w:rsid w:val="00BB6170"/>
    <w:rsid w:val="00BB6643"/>
    <w:rsid w:val="00BB6884"/>
    <w:rsid w:val="00BB69F5"/>
    <w:rsid w:val="00BB716B"/>
    <w:rsid w:val="00BB73E5"/>
    <w:rsid w:val="00BB7AAC"/>
    <w:rsid w:val="00BB7BD9"/>
    <w:rsid w:val="00BB7DDA"/>
    <w:rsid w:val="00BC03BF"/>
    <w:rsid w:val="00BC1A06"/>
    <w:rsid w:val="00BC1E84"/>
    <w:rsid w:val="00BC1F48"/>
    <w:rsid w:val="00BC220E"/>
    <w:rsid w:val="00BC232A"/>
    <w:rsid w:val="00BC2422"/>
    <w:rsid w:val="00BC2562"/>
    <w:rsid w:val="00BC2A37"/>
    <w:rsid w:val="00BC2CD2"/>
    <w:rsid w:val="00BC2CD3"/>
    <w:rsid w:val="00BC2DCA"/>
    <w:rsid w:val="00BC2E16"/>
    <w:rsid w:val="00BC3102"/>
    <w:rsid w:val="00BC3513"/>
    <w:rsid w:val="00BC3878"/>
    <w:rsid w:val="00BC3BD9"/>
    <w:rsid w:val="00BC41F9"/>
    <w:rsid w:val="00BC445E"/>
    <w:rsid w:val="00BC4B5C"/>
    <w:rsid w:val="00BC4BD5"/>
    <w:rsid w:val="00BC4D83"/>
    <w:rsid w:val="00BC51A3"/>
    <w:rsid w:val="00BC5682"/>
    <w:rsid w:val="00BC5B65"/>
    <w:rsid w:val="00BC5EF9"/>
    <w:rsid w:val="00BC627F"/>
    <w:rsid w:val="00BC6AAD"/>
    <w:rsid w:val="00BC6E8E"/>
    <w:rsid w:val="00BC71A4"/>
    <w:rsid w:val="00BC77A1"/>
    <w:rsid w:val="00BC7F8C"/>
    <w:rsid w:val="00BD06BB"/>
    <w:rsid w:val="00BD0BC8"/>
    <w:rsid w:val="00BD0C57"/>
    <w:rsid w:val="00BD0D86"/>
    <w:rsid w:val="00BD0DC4"/>
    <w:rsid w:val="00BD109B"/>
    <w:rsid w:val="00BD1D53"/>
    <w:rsid w:val="00BD1DEA"/>
    <w:rsid w:val="00BD1E4F"/>
    <w:rsid w:val="00BD279F"/>
    <w:rsid w:val="00BD29C2"/>
    <w:rsid w:val="00BD2B97"/>
    <w:rsid w:val="00BD2C85"/>
    <w:rsid w:val="00BD2DE2"/>
    <w:rsid w:val="00BD31C2"/>
    <w:rsid w:val="00BD36E2"/>
    <w:rsid w:val="00BD3AD5"/>
    <w:rsid w:val="00BD4080"/>
    <w:rsid w:val="00BD4671"/>
    <w:rsid w:val="00BD4783"/>
    <w:rsid w:val="00BD4D37"/>
    <w:rsid w:val="00BD4FC0"/>
    <w:rsid w:val="00BD5183"/>
    <w:rsid w:val="00BD5706"/>
    <w:rsid w:val="00BD58D6"/>
    <w:rsid w:val="00BD5A59"/>
    <w:rsid w:val="00BD5B91"/>
    <w:rsid w:val="00BD5BFD"/>
    <w:rsid w:val="00BD5E0A"/>
    <w:rsid w:val="00BD5F25"/>
    <w:rsid w:val="00BD5F9C"/>
    <w:rsid w:val="00BD64B2"/>
    <w:rsid w:val="00BD672D"/>
    <w:rsid w:val="00BD69D8"/>
    <w:rsid w:val="00BD6B21"/>
    <w:rsid w:val="00BD6B8B"/>
    <w:rsid w:val="00BD6C88"/>
    <w:rsid w:val="00BD7265"/>
    <w:rsid w:val="00BD74F5"/>
    <w:rsid w:val="00BD76C0"/>
    <w:rsid w:val="00BD7827"/>
    <w:rsid w:val="00BD7905"/>
    <w:rsid w:val="00BD7D7E"/>
    <w:rsid w:val="00BE0BAB"/>
    <w:rsid w:val="00BE0CB5"/>
    <w:rsid w:val="00BE0D54"/>
    <w:rsid w:val="00BE1059"/>
    <w:rsid w:val="00BE14C7"/>
    <w:rsid w:val="00BE15CD"/>
    <w:rsid w:val="00BE18A1"/>
    <w:rsid w:val="00BE1A1B"/>
    <w:rsid w:val="00BE213B"/>
    <w:rsid w:val="00BE2538"/>
    <w:rsid w:val="00BE29A7"/>
    <w:rsid w:val="00BE2A77"/>
    <w:rsid w:val="00BE2BF1"/>
    <w:rsid w:val="00BE2C88"/>
    <w:rsid w:val="00BE3AAD"/>
    <w:rsid w:val="00BE3B20"/>
    <w:rsid w:val="00BE41CC"/>
    <w:rsid w:val="00BE4433"/>
    <w:rsid w:val="00BE4692"/>
    <w:rsid w:val="00BE4756"/>
    <w:rsid w:val="00BE4965"/>
    <w:rsid w:val="00BE51EE"/>
    <w:rsid w:val="00BE5930"/>
    <w:rsid w:val="00BE5A57"/>
    <w:rsid w:val="00BE5DD3"/>
    <w:rsid w:val="00BE5EE5"/>
    <w:rsid w:val="00BE5F71"/>
    <w:rsid w:val="00BE6912"/>
    <w:rsid w:val="00BE6923"/>
    <w:rsid w:val="00BE6932"/>
    <w:rsid w:val="00BE6B0C"/>
    <w:rsid w:val="00BE6BE8"/>
    <w:rsid w:val="00BE6C6C"/>
    <w:rsid w:val="00BE7883"/>
    <w:rsid w:val="00BE7E16"/>
    <w:rsid w:val="00BF0237"/>
    <w:rsid w:val="00BF058E"/>
    <w:rsid w:val="00BF0898"/>
    <w:rsid w:val="00BF1888"/>
    <w:rsid w:val="00BF1CAA"/>
    <w:rsid w:val="00BF1E30"/>
    <w:rsid w:val="00BF20E7"/>
    <w:rsid w:val="00BF228B"/>
    <w:rsid w:val="00BF233D"/>
    <w:rsid w:val="00BF26DF"/>
    <w:rsid w:val="00BF26E3"/>
    <w:rsid w:val="00BF2949"/>
    <w:rsid w:val="00BF29DA"/>
    <w:rsid w:val="00BF2A51"/>
    <w:rsid w:val="00BF2AD5"/>
    <w:rsid w:val="00BF319F"/>
    <w:rsid w:val="00BF389C"/>
    <w:rsid w:val="00BF39A1"/>
    <w:rsid w:val="00BF3B31"/>
    <w:rsid w:val="00BF3B47"/>
    <w:rsid w:val="00BF3C96"/>
    <w:rsid w:val="00BF3D1B"/>
    <w:rsid w:val="00BF4224"/>
    <w:rsid w:val="00BF4365"/>
    <w:rsid w:val="00BF4377"/>
    <w:rsid w:val="00BF43F0"/>
    <w:rsid w:val="00BF46A5"/>
    <w:rsid w:val="00BF4B5D"/>
    <w:rsid w:val="00BF4BE9"/>
    <w:rsid w:val="00BF4C91"/>
    <w:rsid w:val="00BF50C0"/>
    <w:rsid w:val="00BF52C7"/>
    <w:rsid w:val="00BF5375"/>
    <w:rsid w:val="00BF5FC5"/>
    <w:rsid w:val="00BF601A"/>
    <w:rsid w:val="00BF625B"/>
    <w:rsid w:val="00BF667D"/>
    <w:rsid w:val="00BF68E7"/>
    <w:rsid w:val="00BF6A75"/>
    <w:rsid w:val="00BF6AAC"/>
    <w:rsid w:val="00BF6ACF"/>
    <w:rsid w:val="00BF6CFF"/>
    <w:rsid w:val="00BF7119"/>
    <w:rsid w:val="00BF76E1"/>
    <w:rsid w:val="00BF78E9"/>
    <w:rsid w:val="00BF7B3E"/>
    <w:rsid w:val="00BF7B5F"/>
    <w:rsid w:val="00BF7BD3"/>
    <w:rsid w:val="00C002FF"/>
    <w:rsid w:val="00C005DD"/>
    <w:rsid w:val="00C008EC"/>
    <w:rsid w:val="00C00D9A"/>
    <w:rsid w:val="00C00DC8"/>
    <w:rsid w:val="00C00FF2"/>
    <w:rsid w:val="00C011EF"/>
    <w:rsid w:val="00C01F7C"/>
    <w:rsid w:val="00C02046"/>
    <w:rsid w:val="00C021CF"/>
    <w:rsid w:val="00C0229A"/>
    <w:rsid w:val="00C025B1"/>
    <w:rsid w:val="00C02694"/>
    <w:rsid w:val="00C027E2"/>
    <w:rsid w:val="00C02B1E"/>
    <w:rsid w:val="00C02C3D"/>
    <w:rsid w:val="00C02D0D"/>
    <w:rsid w:val="00C02D33"/>
    <w:rsid w:val="00C031CE"/>
    <w:rsid w:val="00C032C5"/>
    <w:rsid w:val="00C03769"/>
    <w:rsid w:val="00C037D6"/>
    <w:rsid w:val="00C03F7E"/>
    <w:rsid w:val="00C04140"/>
    <w:rsid w:val="00C04342"/>
    <w:rsid w:val="00C0440A"/>
    <w:rsid w:val="00C049FE"/>
    <w:rsid w:val="00C051BA"/>
    <w:rsid w:val="00C0544A"/>
    <w:rsid w:val="00C05EE2"/>
    <w:rsid w:val="00C0615E"/>
    <w:rsid w:val="00C061F5"/>
    <w:rsid w:val="00C0678B"/>
    <w:rsid w:val="00C068FE"/>
    <w:rsid w:val="00C06AE2"/>
    <w:rsid w:val="00C06B2F"/>
    <w:rsid w:val="00C06F25"/>
    <w:rsid w:val="00C07826"/>
    <w:rsid w:val="00C07852"/>
    <w:rsid w:val="00C07874"/>
    <w:rsid w:val="00C078AD"/>
    <w:rsid w:val="00C07AC6"/>
    <w:rsid w:val="00C07BAB"/>
    <w:rsid w:val="00C07D97"/>
    <w:rsid w:val="00C07E79"/>
    <w:rsid w:val="00C07F7D"/>
    <w:rsid w:val="00C100CF"/>
    <w:rsid w:val="00C10234"/>
    <w:rsid w:val="00C102B3"/>
    <w:rsid w:val="00C1069F"/>
    <w:rsid w:val="00C1094C"/>
    <w:rsid w:val="00C10BB9"/>
    <w:rsid w:val="00C10BE9"/>
    <w:rsid w:val="00C10D5E"/>
    <w:rsid w:val="00C10F9A"/>
    <w:rsid w:val="00C1111E"/>
    <w:rsid w:val="00C112F7"/>
    <w:rsid w:val="00C11455"/>
    <w:rsid w:val="00C11954"/>
    <w:rsid w:val="00C11957"/>
    <w:rsid w:val="00C11966"/>
    <w:rsid w:val="00C11E96"/>
    <w:rsid w:val="00C122B2"/>
    <w:rsid w:val="00C1269A"/>
    <w:rsid w:val="00C126AE"/>
    <w:rsid w:val="00C12E0B"/>
    <w:rsid w:val="00C12ECD"/>
    <w:rsid w:val="00C13066"/>
    <w:rsid w:val="00C13195"/>
    <w:rsid w:val="00C13297"/>
    <w:rsid w:val="00C141A1"/>
    <w:rsid w:val="00C1467D"/>
    <w:rsid w:val="00C14854"/>
    <w:rsid w:val="00C149D1"/>
    <w:rsid w:val="00C14D34"/>
    <w:rsid w:val="00C14D98"/>
    <w:rsid w:val="00C14F8D"/>
    <w:rsid w:val="00C15394"/>
    <w:rsid w:val="00C15424"/>
    <w:rsid w:val="00C15964"/>
    <w:rsid w:val="00C15DDC"/>
    <w:rsid w:val="00C1644E"/>
    <w:rsid w:val="00C16592"/>
    <w:rsid w:val="00C16A96"/>
    <w:rsid w:val="00C17212"/>
    <w:rsid w:val="00C1736A"/>
    <w:rsid w:val="00C17373"/>
    <w:rsid w:val="00C17F9F"/>
    <w:rsid w:val="00C17FCE"/>
    <w:rsid w:val="00C202AA"/>
    <w:rsid w:val="00C20370"/>
    <w:rsid w:val="00C203E6"/>
    <w:rsid w:val="00C20545"/>
    <w:rsid w:val="00C20814"/>
    <w:rsid w:val="00C20989"/>
    <w:rsid w:val="00C20E09"/>
    <w:rsid w:val="00C210E9"/>
    <w:rsid w:val="00C2158E"/>
    <w:rsid w:val="00C223CD"/>
    <w:rsid w:val="00C22516"/>
    <w:rsid w:val="00C226F5"/>
    <w:rsid w:val="00C22B9F"/>
    <w:rsid w:val="00C232E7"/>
    <w:rsid w:val="00C2338C"/>
    <w:rsid w:val="00C23BE2"/>
    <w:rsid w:val="00C23CD6"/>
    <w:rsid w:val="00C23FA7"/>
    <w:rsid w:val="00C24165"/>
    <w:rsid w:val="00C2434C"/>
    <w:rsid w:val="00C246EB"/>
    <w:rsid w:val="00C24905"/>
    <w:rsid w:val="00C24B4D"/>
    <w:rsid w:val="00C24E4F"/>
    <w:rsid w:val="00C250EE"/>
    <w:rsid w:val="00C2526F"/>
    <w:rsid w:val="00C25530"/>
    <w:rsid w:val="00C25E39"/>
    <w:rsid w:val="00C25FFA"/>
    <w:rsid w:val="00C26055"/>
    <w:rsid w:val="00C26494"/>
    <w:rsid w:val="00C2694E"/>
    <w:rsid w:val="00C26A0A"/>
    <w:rsid w:val="00C26F64"/>
    <w:rsid w:val="00C27D10"/>
    <w:rsid w:val="00C27D2B"/>
    <w:rsid w:val="00C27FF9"/>
    <w:rsid w:val="00C3031E"/>
    <w:rsid w:val="00C305F6"/>
    <w:rsid w:val="00C30845"/>
    <w:rsid w:val="00C30B9D"/>
    <w:rsid w:val="00C3106D"/>
    <w:rsid w:val="00C3106E"/>
    <w:rsid w:val="00C311F6"/>
    <w:rsid w:val="00C318A1"/>
    <w:rsid w:val="00C31997"/>
    <w:rsid w:val="00C31E48"/>
    <w:rsid w:val="00C320CB"/>
    <w:rsid w:val="00C323C7"/>
    <w:rsid w:val="00C32E66"/>
    <w:rsid w:val="00C32E93"/>
    <w:rsid w:val="00C335BF"/>
    <w:rsid w:val="00C3368F"/>
    <w:rsid w:val="00C33991"/>
    <w:rsid w:val="00C33A4E"/>
    <w:rsid w:val="00C33BBD"/>
    <w:rsid w:val="00C33EDF"/>
    <w:rsid w:val="00C34602"/>
    <w:rsid w:val="00C3521D"/>
    <w:rsid w:val="00C35650"/>
    <w:rsid w:val="00C35AF2"/>
    <w:rsid w:val="00C35F61"/>
    <w:rsid w:val="00C3611B"/>
    <w:rsid w:val="00C3615D"/>
    <w:rsid w:val="00C36445"/>
    <w:rsid w:val="00C3669C"/>
    <w:rsid w:val="00C367B8"/>
    <w:rsid w:val="00C36D43"/>
    <w:rsid w:val="00C36FC0"/>
    <w:rsid w:val="00C37136"/>
    <w:rsid w:val="00C3717E"/>
    <w:rsid w:val="00C374D0"/>
    <w:rsid w:val="00C404A3"/>
    <w:rsid w:val="00C404AB"/>
    <w:rsid w:val="00C40B81"/>
    <w:rsid w:val="00C40DD3"/>
    <w:rsid w:val="00C4105C"/>
    <w:rsid w:val="00C41656"/>
    <w:rsid w:val="00C41878"/>
    <w:rsid w:val="00C41E72"/>
    <w:rsid w:val="00C42460"/>
    <w:rsid w:val="00C4277C"/>
    <w:rsid w:val="00C42E90"/>
    <w:rsid w:val="00C42F32"/>
    <w:rsid w:val="00C42FC6"/>
    <w:rsid w:val="00C42FDD"/>
    <w:rsid w:val="00C435E2"/>
    <w:rsid w:val="00C4383D"/>
    <w:rsid w:val="00C43BA8"/>
    <w:rsid w:val="00C43F8F"/>
    <w:rsid w:val="00C44320"/>
    <w:rsid w:val="00C4479E"/>
    <w:rsid w:val="00C4491D"/>
    <w:rsid w:val="00C44A0C"/>
    <w:rsid w:val="00C44CA4"/>
    <w:rsid w:val="00C44DF3"/>
    <w:rsid w:val="00C44E58"/>
    <w:rsid w:val="00C44E88"/>
    <w:rsid w:val="00C44F3C"/>
    <w:rsid w:val="00C450E3"/>
    <w:rsid w:val="00C45465"/>
    <w:rsid w:val="00C454FA"/>
    <w:rsid w:val="00C45940"/>
    <w:rsid w:val="00C45942"/>
    <w:rsid w:val="00C4595C"/>
    <w:rsid w:val="00C459D8"/>
    <w:rsid w:val="00C45E34"/>
    <w:rsid w:val="00C45F8D"/>
    <w:rsid w:val="00C46045"/>
    <w:rsid w:val="00C469FF"/>
    <w:rsid w:val="00C46CC0"/>
    <w:rsid w:val="00C46E7B"/>
    <w:rsid w:val="00C46EC0"/>
    <w:rsid w:val="00C470EB"/>
    <w:rsid w:val="00C4742E"/>
    <w:rsid w:val="00C47897"/>
    <w:rsid w:val="00C4793B"/>
    <w:rsid w:val="00C502B5"/>
    <w:rsid w:val="00C5040C"/>
    <w:rsid w:val="00C50485"/>
    <w:rsid w:val="00C504E5"/>
    <w:rsid w:val="00C50A9C"/>
    <w:rsid w:val="00C50CE5"/>
    <w:rsid w:val="00C50F28"/>
    <w:rsid w:val="00C51201"/>
    <w:rsid w:val="00C5125F"/>
    <w:rsid w:val="00C51819"/>
    <w:rsid w:val="00C51AFC"/>
    <w:rsid w:val="00C52141"/>
    <w:rsid w:val="00C523A7"/>
    <w:rsid w:val="00C527E9"/>
    <w:rsid w:val="00C52800"/>
    <w:rsid w:val="00C52FCC"/>
    <w:rsid w:val="00C5314C"/>
    <w:rsid w:val="00C5338E"/>
    <w:rsid w:val="00C5381C"/>
    <w:rsid w:val="00C53838"/>
    <w:rsid w:val="00C53952"/>
    <w:rsid w:val="00C53BF6"/>
    <w:rsid w:val="00C53FCD"/>
    <w:rsid w:val="00C54417"/>
    <w:rsid w:val="00C54618"/>
    <w:rsid w:val="00C546E2"/>
    <w:rsid w:val="00C54990"/>
    <w:rsid w:val="00C54B19"/>
    <w:rsid w:val="00C54F93"/>
    <w:rsid w:val="00C5518F"/>
    <w:rsid w:val="00C55443"/>
    <w:rsid w:val="00C55C82"/>
    <w:rsid w:val="00C56547"/>
    <w:rsid w:val="00C56C07"/>
    <w:rsid w:val="00C56D53"/>
    <w:rsid w:val="00C5735D"/>
    <w:rsid w:val="00C575F8"/>
    <w:rsid w:val="00C578C6"/>
    <w:rsid w:val="00C579E4"/>
    <w:rsid w:val="00C57A71"/>
    <w:rsid w:val="00C57D0C"/>
    <w:rsid w:val="00C60032"/>
    <w:rsid w:val="00C60047"/>
    <w:rsid w:val="00C60268"/>
    <w:rsid w:val="00C60279"/>
    <w:rsid w:val="00C6029D"/>
    <w:rsid w:val="00C60556"/>
    <w:rsid w:val="00C60753"/>
    <w:rsid w:val="00C6078A"/>
    <w:rsid w:val="00C60915"/>
    <w:rsid w:val="00C61E7E"/>
    <w:rsid w:val="00C62068"/>
    <w:rsid w:val="00C62EA6"/>
    <w:rsid w:val="00C62EA8"/>
    <w:rsid w:val="00C62FC2"/>
    <w:rsid w:val="00C630B7"/>
    <w:rsid w:val="00C6347A"/>
    <w:rsid w:val="00C63688"/>
    <w:rsid w:val="00C6394E"/>
    <w:rsid w:val="00C63A43"/>
    <w:rsid w:val="00C64169"/>
    <w:rsid w:val="00C643BE"/>
    <w:rsid w:val="00C64760"/>
    <w:rsid w:val="00C64A64"/>
    <w:rsid w:val="00C64BA5"/>
    <w:rsid w:val="00C65A8C"/>
    <w:rsid w:val="00C65AA0"/>
    <w:rsid w:val="00C65D22"/>
    <w:rsid w:val="00C65E0B"/>
    <w:rsid w:val="00C65F73"/>
    <w:rsid w:val="00C660A7"/>
    <w:rsid w:val="00C66148"/>
    <w:rsid w:val="00C66284"/>
    <w:rsid w:val="00C66396"/>
    <w:rsid w:val="00C66AB4"/>
    <w:rsid w:val="00C66C9D"/>
    <w:rsid w:val="00C66D15"/>
    <w:rsid w:val="00C66E4B"/>
    <w:rsid w:val="00C675AB"/>
    <w:rsid w:val="00C676B5"/>
    <w:rsid w:val="00C676EB"/>
    <w:rsid w:val="00C6798A"/>
    <w:rsid w:val="00C67C19"/>
    <w:rsid w:val="00C7026D"/>
    <w:rsid w:val="00C7059F"/>
    <w:rsid w:val="00C7067B"/>
    <w:rsid w:val="00C71142"/>
    <w:rsid w:val="00C7148D"/>
    <w:rsid w:val="00C71A59"/>
    <w:rsid w:val="00C728CD"/>
    <w:rsid w:val="00C72BC5"/>
    <w:rsid w:val="00C7350D"/>
    <w:rsid w:val="00C73707"/>
    <w:rsid w:val="00C73965"/>
    <w:rsid w:val="00C73B24"/>
    <w:rsid w:val="00C740B8"/>
    <w:rsid w:val="00C7434C"/>
    <w:rsid w:val="00C744C5"/>
    <w:rsid w:val="00C74572"/>
    <w:rsid w:val="00C75DC0"/>
    <w:rsid w:val="00C75E34"/>
    <w:rsid w:val="00C75EDA"/>
    <w:rsid w:val="00C7627A"/>
    <w:rsid w:val="00C76496"/>
    <w:rsid w:val="00C76602"/>
    <w:rsid w:val="00C766EA"/>
    <w:rsid w:val="00C7672A"/>
    <w:rsid w:val="00C76B34"/>
    <w:rsid w:val="00C77138"/>
    <w:rsid w:val="00C77512"/>
    <w:rsid w:val="00C775F4"/>
    <w:rsid w:val="00C806A3"/>
    <w:rsid w:val="00C80802"/>
    <w:rsid w:val="00C80A6F"/>
    <w:rsid w:val="00C80C14"/>
    <w:rsid w:val="00C80DB8"/>
    <w:rsid w:val="00C80F9C"/>
    <w:rsid w:val="00C8104C"/>
    <w:rsid w:val="00C813D5"/>
    <w:rsid w:val="00C8172D"/>
    <w:rsid w:val="00C81772"/>
    <w:rsid w:val="00C81BC7"/>
    <w:rsid w:val="00C81D73"/>
    <w:rsid w:val="00C81DD9"/>
    <w:rsid w:val="00C8224A"/>
    <w:rsid w:val="00C82299"/>
    <w:rsid w:val="00C82414"/>
    <w:rsid w:val="00C829C7"/>
    <w:rsid w:val="00C82A00"/>
    <w:rsid w:val="00C82FA0"/>
    <w:rsid w:val="00C82FD6"/>
    <w:rsid w:val="00C830D0"/>
    <w:rsid w:val="00C83228"/>
    <w:rsid w:val="00C834C9"/>
    <w:rsid w:val="00C83929"/>
    <w:rsid w:val="00C83E27"/>
    <w:rsid w:val="00C83E47"/>
    <w:rsid w:val="00C8432E"/>
    <w:rsid w:val="00C84831"/>
    <w:rsid w:val="00C84A6A"/>
    <w:rsid w:val="00C84BDC"/>
    <w:rsid w:val="00C85050"/>
    <w:rsid w:val="00C85438"/>
    <w:rsid w:val="00C854E2"/>
    <w:rsid w:val="00C856BC"/>
    <w:rsid w:val="00C85E3E"/>
    <w:rsid w:val="00C85FB9"/>
    <w:rsid w:val="00C86335"/>
    <w:rsid w:val="00C86816"/>
    <w:rsid w:val="00C86A78"/>
    <w:rsid w:val="00C86B27"/>
    <w:rsid w:val="00C87192"/>
    <w:rsid w:val="00C8743A"/>
    <w:rsid w:val="00C875E2"/>
    <w:rsid w:val="00C8793E"/>
    <w:rsid w:val="00C87DAE"/>
    <w:rsid w:val="00C87E0C"/>
    <w:rsid w:val="00C87E54"/>
    <w:rsid w:val="00C90049"/>
    <w:rsid w:val="00C90511"/>
    <w:rsid w:val="00C90573"/>
    <w:rsid w:val="00C9084E"/>
    <w:rsid w:val="00C908FD"/>
    <w:rsid w:val="00C9093F"/>
    <w:rsid w:val="00C90C40"/>
    <w:rsid w:val="00C90E6E"/>
    <w:rsid w:val="00C91079"/>
    <w:rsid w:val="00C915F7"/>
    <w:rsid w:val="00C91874"/>
    <w:rsid w:val="00C91A54"/>
    <w:rsid w:val="00C91D52"/>
    <w:rsid w:val="00C92230"/>
    <w:rsid w:val="00C9275C"/>
    <w:rsid w:val="00C92822"/>
    <w:rsid w:val="00C928EA"/>
    <w:rsid w:val="00C92D2B"/>
    <w:rsid w:val="00C92EEC"/>
    <w:rsid w:val="00C93144"/>
    <w:rsid w:val="00C9318E"/>
    <w:rsid w:val="00C93233"/>
    <w:rsid w:val="00C937AB"/>
    <w:rsid w:val="00C93ACC"/>
    <w:rsid w:val="00C9404D"/>
    <w:rsid w:val="00C943D2"/>
    <w:rsid w:val="00C947D3"/>
    <w:rsid w:val="00C95022"/>
    <w:rsid w:val="00C95AF5"/>
    <w:rsid w:val="00C95BD5"/>
    <w:rsid w:val="00C960B0"/>
    <w:rsid w:val="00C960F9"/>
    <w:rsid w:val="00C96154"/>
    <w:rsid w:val="00C961AA"/>
    <w:rsid w:val="00C9630D"/>
    <w:rsid w:val="00C969F5"/>
    <w:rsid w:val="00C9726B"/>
    <w:rsid w:val="00C9729A"/>
    <w:rsid w:val="00C972E3"/>
    <w:rsid w:val="00C974E2"/>
    <w:rsid w:val="00C9796B"/>
    <w:rsid w:val="00C97D6F"/>
    <w:rsid w:val="00C97F01"/>
    <w:rsid w:val="00CA01FD"/>
    <w:rsid w:val="00CA0D25"/>
    <w:rsid w:val="00CA1361"/>
    <w:rsid w:val="00CA13D3"/>
    <w:rsid w:val="00CA1433"/>
    <w:rsid w:val="00CA157C"/>
    <w:rsid w:val="00CA196C"/>
    <w:rsid w:val="00CA1A77"/>
    <w:rsid w:val="00CA1D81"/>
    <w:rsid w:val="00CA1D85"/>
    <w:rsid w:val="00CA20C4"/>
    <w:rsid w:val="00CA22E6"/>
    <w:rsid w:val="00CA2494"/>
    <w:rsid w:val="00CA276C"/>
    <w:rsid w:val="00CA2EED"/>
    <w:rsid w:val="00CA30B1"/>
    <w:rsid w:val="00CA3164"/>
    <w:rsid w:val="00CA31B2"/>
    <w:rsid w:val="00CA32D4"/>
    <w:rsid w:val="00CA34AC"/>
    <w:rsid w:val="00CA355F"/>
    <w:rsid w:val="00CA3603"/>
    <w:rsid w:val="00CA3CFE"/>
    <w:rsid w:val="00CA3E07"/>
    <w:rsid w:val="00CA3E94"/>
    <w:rsid w:val="00CA45F8"/>
    <w:rsid w:val="00CA4740"/>
    <w:rsid w:val="00CA48E1"/>
    <w:rsid w:val="00CA4EFC"/>
    <w:rsid w:val="00CA5549"/>
    <w:rsid w:val="00CA565F"/>
    <w:rsid w:val="00CA5866"/>
    <w:rsid w:val="00CA596C"/>
    <w:rsid w:val="00CA5997"/>
    <w:rsid w:val="00CA59FA"/>
    <w:rsid w:val="00CA5A73"/>
    <w:rsid w:val="00CA5C2F"/>
    <w:rsid w:val="00CA6167"/>
    <w:rsid w:val="00CA61DC"/>
    <w:rsid w:val="00CA66A5"/>
    <w:rsid w:val="00CA6923"/>
    <w:rsid w:val="00CA6A1E"/>
    <w:rsid w:val="00CA6AF3"/>
    <w:rsid w:val="00CA715D"/>
    <w:rsid w:val="00CA721B"/>
    <w:rsid w:val="00CA73BB"/>
    <w:rsid w:val="00CA7948"/>
    <w:rsid w:val="00CA7979"/>
    <w:rsid w:val="00CA7B8D"/>
    <w:rsid w:val="00CB0758"/>
    <w:rsid w:val="00CB07DF"/>
    <w:rsid w:val="00CB07F9"/>
    <w:rsid w:val="00CB1071"/>
    <w:rsid w:val="00CB158E"/>
    <w:rsid w:val="00CB1643"/>
    <w:rsid w:val="00CB1A39"/>
    <w:rsid w:val="00CB1AFF"/>
    <w:rsid w:val="00CB1B31"/>
    <w:rsid w:val="00CB1B7B"/>
    <w:rsid w:val="00CB1CC6"/>
    <w:rsid w:val="00CB1FBF"/>
    <w:rsid w:val="00CB202F"/>
    <w:rsid w:val="00CB2121"/>
    <w:rsid w:val="00CB2743"/>
    <w:rsid w:val="00CB27A3"/>
    <w:rsid w:val="00CB2C40"/>
    <w:rsid w:val="00CB38E4"/>
    <w:rsid w:val="00CB3BD5"/>
    <w:rsid w:val="00CB3FC8"/>
    <w:rsid w:val="00CB431E"/>
    <w:rsid w:val="00CB44FA"/>
    <w:rsid w:val="00CB4FB1"/>
    <w:rsid w:val="00CB53DD"/>
    <w:rsid w:val="00CB63FA"/>
    <w:rsid w:val="00CB670C"/>
    <w:rsid w:val="00CB6F8A"/>
    <w:rsid w:val="00CB7639"/>
    <w:rsid w:val="00CB767A"/>
    <w:rsid w:val="00CB7A60"/>
    <w:rsid w:val="00CC0018"/>
    <w:rsid w:val="00CC00DE"/>
    <w:rsid w:val="00CC00E4"/>
    <w:rsid w:val="00CC0879"/>
    <w:rsid w:val="00CC08FD"/>
    <w:rsid w:val="00CC0906"/>
    <w:rsid w:val="00CC1718"/>
    <w:rsid w:val="00CC1CDE"/>
    <w:rsid w:val="00CC2142"/>
    <w:rsid w:val="00CC241C"/>
    <w:rsid w:val="00CC2611"/>
    <w:rsid w:val="00CC2B30"/>
    <w:rsid w:val="00CC2BB5"/>
    <w:rsid w:val="00CC2FBE"/>
    <w:rsid w:val="00CC3160"/>
    <w:rsid w:val="00CC3524"/>
    <w:rsid w:val="00CC3988"/>
    <w:rsid w:val="00CC3DA2"/>
    <w:rsid w:val="00CC3E65"/>
    <w:rsid w:val="00CC4216"/>
    <w:rsid w:val="00CC475D"/>
    <w:rsid w:val="00CC4FA2"/>
    <w:rsid w:val="00CC5415"/>
    <w:rsid w:val="00CC54B7"/>
    <w:rsid w:val="00CC59E7"/>
    <w:rsid w:val="00CC5AD8"/>
    <w:rsid w:val="00CC5D90"/>
    <w:rsid w:val="00CC6033"/>
    <w:rsid w:val="00CC63DC"/>
    <w:rsid w:val="00CC6825"/>
    <w:rsid w:val="00CC69A1"/>
    <w:rsid w:val="00CC6A3F"/>
    <w:rsid w:val="00CC6E70"/>
    <w:rsid w:val="00CC6EDA"/>
    <w:rsid w:val="00CC742E"/>
    <w:rsid w:val="00CC7A3C"/>
    <w:rsid w:val="00CC7E38"/>
    <w:rsid w:val="00CD0134"/>
    <w:rsid w:val="00CD065F"/>
    <w:rsid w:val="00CD085D"/>
    <w:rsid w:val="00CD0BCA"/>
    <w:rsid w:val="00CD1116"/>
    <w:rsid w:val="00CD118F"/>
    <w:rsid w:val="00CD13CE"/>
    <w:rsid w:val="00CD1566"/>
    <w:rsid w:val="00CD1870"/>
    <w:rsid w:val="00CD18C7"/>
    <w:rsid w:val="00CD211B"/>
    <w:rsid w:val="00CD236D"/>
    <w:rsid w:val="00CD2470"/>
    <w:rsid w:val="00CD2C8D"/>
    <w:rsid w:val="00CD2F90"/>
    <w:rsid w:val="00CD3145"/>
    <w:rsid w:val="00CD318C"/>
    <w:rsid w:val="00CD353E"/>
    <w:rsid w:val="00CD3928"/>
    <w:rsid w:val="00CD394F"/>
    <w:rsid w:val="00CD3A58"/>
    <w:rsid w:val="00CD3AFE"/>
    <w:rsid w:val="00CD5209"/>
    <w:rsid w:val="00CD5977"/>
    <w:rsid w:val="00CD5981"/>
    <w:rsid w:val="00CD5CFC"/>
    <w:rsid w:val="00CD6029"/>
    <w:rsid w:val="00CD6182"/>
    <w:rsid w:val="00CD61EE"/>
    <w:rsid w:val="00CD63BC"/>
    <w:rsid w:val="00CD655E"/>
    <w:rsid w:val="00CD65C2"/>
    <w:rsid w:val="00CD6D1A"/>
    <w:rsid w:val="00CD70CF"/>
    <w:rsid w:val="00CD70D4"/>
    <w:rsid w:val="00CD7683"/>
    <w:rsid w:val="00CD7811"/>
    <w:rsid w:val="00CD7F00"/>
    <w:rsid w:val="00CE036C"/>
    <w:rsid w:val="00CE03AA"/>
    <w:rsid w:val="00CE0C5B"/>
    <w:rsid w:val="00CE1327"/>
    <w:rsid w:val="00CE140D"/>
    <w:rsid w:val="00CE1A2B"/>
    <w:rsid w:val="00CE1A92"/>
    <w:rsid w:val="00CE1D76"/>
    <w:rsid w:val="00CE1F19"/>
    <w:rsid w:val="00CE2378"/>
    <w:rsid w:val="00CE2458"/>
    <w:rsid w:val="00CE251E"/>
    <w:rsid w:val="00CE252D"/>
    <w:rsid w:val="00CE2800"/>
    <w:rsid w:val="00CE2E7C"/>
    <w:rsid w:val="00CE2F7B"/>
    <w:rsid w:val="00CE3A0B"/>
    <w:rsid w:val="00CE4102"/>
    <w:rsid w:val="00CE417B"/>
    <w:rsid w:val="00CE4628"/>
    <w:rsid w:val="00CE47C0"/>
    <w:rsid w:val="00CE48E4"/>
    <w:rsid w:val="00CE53C7"/>
    <w:rsid w:val="00CE5689"/>
    <w:rsid w:val="00CE58DF"/>
    <w:rsid w:val="00CE64AA"/>
    <w:rsid w:val="00CE6540"/>
    <w:rsid w:val="00CE6FE4"/>
    <w:rsid w:val="00CE7795"/>
    <w:rsid w:val="00CE781C"/>
    <w:rsid w:val="00CE7840"/>
    <w:rsid w:val="00CE79F5"/>
    <w:rsid w:val="00CE7B06"/>
    <w:rsid w:val="00CE7B95"/>
    <w:rsid w:val="00CE7BE7"/>
    <w:rsid w:val="00CE7D0C"/>
    <w:rsid w:val="00CF0008"/>
    <w:rsid w:val="00CF0692"/>
    <w:rsid w:val="00CF0A48"/>
    <w:rsid w:val="00CF0B14"/>
    <w:rsid w:val="00CF0FB9"/>
    <w:rsid w:val="00CF1296"/>
    <w:rsid w:val="00CF1580"/>
    <w:rsid w:val="00CF15EA"/>
    <w:rsid w:val="00CF18BF"/>
    <w:rsid w:val="00CF1A8E"/>
    <w:rsid w:val="00CF1E72"/>
    <w:rsid w:val="00CF1E75"/>
    <w:rsid w:val="00CF1E81"/>
    <w:rsid w:val="00CF1F53"/>
    <w:rsid w:val="00CF260D"/>
    <w:rsid w:val="00CF273A"/>
    <w:rsid w:val="00CF2AA2"/>
    <w:rsid w:val="00CF333E"/>
    <w:rsid w:val="00CF3763"/>
    <w:rsid w:val="00CF3923"/>
    <w:rsid w:val="00CF398F"/>
    <w:rsid w:val="00CF3D04"/>
    <w:rsid w:val="00CF411F"/>
    <w:rsid w:val="00CF4379"/>
    <w:rsid w:val="00CF477F"/>
    <w:rsid w:val="00CF47B6"/>
    <w:rsid w:val="00CF4B18"/>
    <w:rsid w:val="00CF50EA"/>
    <w:rsid w:val="00CF522A"/>
    <w:rsid w:val="00CF53E5"/>
    <w:rsid w:val="00CF5405"/>
    <w:rsid w:val="00CF57FB"/>
    <w:rsid w:val="00CF58AE"/>
    <w:rsid w:val="00CF5AE2"/>
    <w:rsid w:val="00CF5B04"/>
    <w:rsid w:val="00CF5B65"/>
    <w:rsid w:val="00CF5EC9"/>
    <w:rsid w:val="00CF5F8E"/>
    <w:rsid w:val="00CF6819"/>
    <w:rsid w:val="00CF6A8E"/>
    <w:rsid w:val="00CF6BAE"/>
    <w:rsid w:val="00CF713E"/>
    <w:rsid w:val="00CF7499"/>
    <w:rsid w:val="00CF763A"/>
    <w:rsid w:val="00CF767E"/>
    <w:rsid w:val="00CF7866"/>
    <w:rsid w:val="00CF78A4"/>
    <w:rsid w:val="00CF7DC1"/>
    <w:rsid w:val="00D00329"/>
    <w:rsid w:val="00D00D9B"/>
    <w:rsid w:val="00D00F23"/>
    <w:rsid w:val="00D012F0"/>
    <w:rsid w:val="00D019BE"/>
    <w:rsid w:val="00D01A33"/>
    <w:rsid w:val="00D0290D"/>
    <w:rsid w:val="00D0302C"/>
    <w:rsid w:val="00D031A5"/>
    <w:rsid w:val="00D032EF"/>
    <w:rsid w:val="00D03626"/>
    <w:rsid w:val="00D036D1"/>
    <w:rsid w:val="00D03D65"/>
    <w:rsid w:val="00D03E71"/>
    <w:rsid w:val="00D03E8A"/>
    <w:rsid w:val="00D03EE9"/>
    <w:rsid w:val="00D046C2"/>
    <w:rsid w:val="00D04736"/>
    <w:rsid w:val="00D047C8"/>
    <w:rsid w:val="00D0493D"/>
    <w:rsid w:val="00D0511C"/>
    <w:rsid w:val="00D05323"/>
    <w:rsid w:val="00D055C2"/>
    <w:rsid w:val="00D056EC"/>
    <w:rsid w:val="00D05A28"/>
    <w:rsid w:val="00D0638F"/>
    <w:rsid w:val="00D06FC2"/>
    <w:rsid w:val="00D0706C"/>
    <w:rsid w:val="00D07269"/>
    <w:rsid w:val="00D072F3"/>
    <w:rsid w:val="00D07479"/>
    <w:rsid w:val="00D074B6"/>
    <w:rsid w:val="00D07666"/>
    <w:rsid w:val="00D07C60"/>
    <w:rsid w:val="00D07E52"/>
    <w:rsid w:val="00D107FB"/>
    <w:rsid w:val="00D10A73"/>
    <w:rsid w:val="00D10AAC"/>
    <w:rsid w:val="00D10CA8"/>
    <w:rsid w:val="00D10CD2"/>
    <w:rsid w:val="00D10E82"/>
    <w:rsid w:val="00D11294"/>
    <w:rsid w:val="00D117F1"/>
    <w:rsid w:val="00D1187D"/>
    <w:rsid w:val="00D11D4F"/>
    <w:rsid w:val="00D11EEA"/>
    <w:rsid w:val="00D125B8"/>
    <w:rsid w:val="00D1277C"/>
    <w:rsid w:val="00D12B73"/>
    <w:rsid w:val="00D12BB8"/>
    <w:rsid w:val="00D12CEC"/>
    <w:rsid w:val="00D1322E"/>
    <w:rsid w:val="00D13316"/>
    <w:rsid w:val="00D13525"/>
    <w:rsid w:val="00D14111"/>
    <w:rsid w:val="00D141FE"/>
    <w:rsid w:val="00D14293"/>
    <w:rsid w:val="00D14AEB"/>
    <w:rsid w:val="00D15AB3"/>
    <w:rsid w:val="00D15CC4"/>
    <w:rsid w:val="00D15ECB"/>
    <w:rsid w:val="00D15F8F"/>
    <w:rsid w:val="00D16547"/>
    <w:rsid w:val="00D1680A"/>
    <w:rsid w:val="00D169D9"/>
    <w:rsid w:val="00D16A61"/>
    <w:rsid w:val="00D16B75"/>
    <w:rsid w:val="00D16BCE"/>
    <w:rsid w:val="00D16CE7"/>
    <w:rsid w:val="00D16DD3"/>
    <w:rsid w:val="00D173E7"/>
    <w:rsid w:val="00D179F9"/>
    <w:rsid w:val="00D17AF5"/>
    <w:rsid w:val="00D17D13"/>
    <w:rsid w:val="00D17DB8"/>
    <w:rsid w:val="00D17E24"/>
    <w:rsid w:val="00D203B3"/>
    <w:rsid w:val="00D20846"/>
    <w:rsid w:val="00D2084E"/>
    <w:rsid w:val="00D2085C"/>
    <w:rsid w:val="00D20BD1"/>
    <w:rsid w:val="00D212A6"/>
    <w:rsid w:val="00D21A63"/>
    <w:rsid w:val="00D21BD1"/>
    <w:rsid w:val="00D222FD"/>
    <w:rsid w:val="00D224A8"/>
    <w:rsid w:val="00D22F8B"/>
    <w:rsid w:val="00D23399"/>
    <w:rsid w:val="00D23BD7"/>
    <w:rsid w:val="00D23C0B"/>
    <w:rsid w:val="00D23C59"/>
    <w:rsid w:val="00D24284"/>
    <w:rsid w:val="00D24721"/>
    <w:rsid w:val="00D24730"/>
    <w:rsid w:val="00D24916"/>
    <w:rsid w:val="00D24A95"/>
    <w:rsid w:val="00D24E0E"/>
    <w:rsid w:val="00D24F84"/>
    <w:rsid w:val="00D24FEB"/>
    <w:rsid w:val="00D25096"/>
    <w:rsid w:val="00D25137"/>
    <w:rsid w:val="00D2573D"/>
    <w:rsid w:val="00D2577F"/>
    <w:rsid w:val="00D25837"/>
    <w:rsid w:val="00D25AD9"/>
    <w:rsid w:val="00D25D57"/>
    <w:rsid w:val="00D25E84"/>
    <w:rsid w:val="00D25E9F"/>
    <w:rsid w:val="00D265DA"/>
    <w:rsid w:val="00D268DA"/>
    <w:rsid w:val="00D26C96"/>
    <w:rsid w:val="00D272A6"/>
    <w:rsid w:val="00D275DC"/>
    <w:rsid w:val="00D276E7"/>
    <w:rsid w:val="00D27A7A"/>
    <w:rsid w:val="00D27C6E"/>
    <w:rsid w:val="00D30332"/>
    <w:rsid w:val="00D305C4"/>
    <w:rsid w:val="00D306F1"/>
    <w:rsid w:val="00D30ABD"/>
    <w:rsid w:val="00D30B9D"/>
    <w:rsid w:val="00D312A8"/>
    <w:rsid w:val="00D313E4"/>
    <w:rsid w:val="00D31A9D"/>
    <w:rsid w:val="00D3202E"/>
    <w:rsid w:val="00D32055"/>
    <w:rsid w:val="00D323E0"/>
    <w:rsid w:val="00D32A6A"/>
    <w:rsid w:val="00D32B9A"/>
    <w:rsid w:val="00D331DC"/>
    <w:rsid w:val="00D33458"/>
    <w:rsid w:val="00D3351D"/>
    <w:rsid w:val="00D3354C"/>
    <w:rsid w:val="00D335E9"/>
    <w:rsid w:val="00D33602"/>
    <w:rsid w:val="00D33682"/>
    <w:rsid w:val="00D336CA"/>
    <w:rsid w:val="00D338B0"/>
    <w:rsid w:val="00D33AC3"/>
    <w:rsid w:val="00D344F5"/>
    <w:rsid w:val="00D34B08"/>
    <w:rsid w:val="00D34F7C"/>
    <w:rsid w:val="00D35261"/>
    <w:rsid w:val="00D3550E"/>
    <w:rsid w:val="00D3585C"/>
    <w:rsid w:val="00D3586F"/>
    <w:rsid w:val="00D36339"/>
    <w:rsid w:val="00D365F5"/>
    <w:rsid w:val="00D3663F"/>
    <w:rsid w:val="00D36E3C"/>
    <w:rsid w:val="00D372E9"/>
    <w:rsid w:val="00D37378"/>
    <w:rsid w:val="00D37421"/>
    <w:rsid w:val="00D37584"/>
    <w:rsid w:val="00D40224"/>
    <w:rsid w:val="00D4077B"/>
    <w:rsid w:val="00D408CC"/>
    <w:rsid w:val="00D40DD5"/>
    <w:rsid w:val="00D414D5"/>
    <w:rsid w:val="00D41509"/>
    <w:rsid w:val="00D41548"/>
    <w:rsid w:val="00D415EB"/>
    <w:rsid w:val="00D41776"/>
    <w:rsid w:val="00D4186B"/>
    <w:rsid w:val="00D41901"/>
    <w:rsid w:val="00D424B0"/>
    <w:rsid w:val="00D4268B"/>
    <w:rsid w:val="00D42B09"/>
    <w:rsid w:val="00D42DA2"/>
    <w:rsid w:val="00D43162"/>
    <w:rsid w:val="00D43532"/>
    <w:rsid w:val="00D439F8"/>
    <w:rsid w:val="00D43BD2"/>
    <w:rsid w:val="00D43EB2"/>
    <w:rsid w:val="00D443F1"/>
    <w:rsid w:val="00D446A6"/>
    <w:rsid w:val="00D4481E"/>
    <w:rsid w:val="00D448CB"/>
    <w:rsid w:val="00D44C21"/>
    <w:rsid w:val="00D44D44"/>
    <w:rsid w:val="00D44D51"/>
    <w:rsid w:val="00D44EAD"/>
    <w:rsid w:val="00D45079"/>
    <w:rsid w:val="00D450CB"/>
    <w:rsid w:val="00D451DE"/>
    <w:rsid w:val="00D4521E"/>
    <w:rsid w:val="00D45587"/>
    <w:rsid w:val="00D45820"/>
    <w:rsid w:val="00D45AC5"/>
    <w:rsid w:val="00D45CB5"/>
    <w:rsid w:val="00D45F15"/>
    <w:rsid w:val="00D46CA0"/>
    <w:rsid w:val="00D46F4B"/>
    <w:rsid w:val="00D46FE6"/>
    <w:rsid w:val="00D470F9"/>
    <w:rsid w:val="00D47606"/>
    <w:rsid w:val="00D47F90"/>
    <w:rsid w:val="00D50704"/>
    <w:rsid w:val="00D50F6E"/>
    <w:rsid w:val="00D50F70"/>
    <w:rsid w:val="00D513B6"/>
    <w:rsid w:val="00D51791"/>
    <w:rsid w:val="00D51BDC"/>
    <w:rsid w:val="00D5282F"/>
    <w:rsid w:val="00D528E9"/>
    <w:rsid w:val="00D52A2A"/>
    <w:rsid w:val="00D52B7C"/>
    <w:rsid w:val="00D532E3"/>
    <w:rsid w:val="00D533EC"/>
    <w:rsid w:val="00D536BC"/>
    <w:rsid w:val="00D5380B"/>
    <w:rsid w:val="00D53BC3"/>
    <w:rsid w:val="00D548CF"/>
    <w:rsid w:val="00D548E5"/>
    <w:rsid w:val="00D54B79"/>
    <w:rsid w:val="00D55284"/>
    <w:rsid w:val="00D557B1"/>
    <w:rsid w:val="00D55AB2"/>
    <w:rsid w:val="00D55DFC"/>
    <w:rsid w:val="00D56187"/>
    <w:rsid w:val="00D5667D"/>
    <w:rsid w:val="00D566D1"/>
    <w:rsid w:val="00D5699C"/>
    <w:rsid w:val="00D569FC"/>
    <w:rsid w:val="00D5714C"/>
    <w:rsid w:val="00D5742F"/>
    <w:rsid w:val="00D57AC5"/>
    <w:rsid w:val="00D57D0D"/>
    <w:rsid w:val="00D57DDA"/>
    <w:rsid w:val="00D57E1B"/>
    <w:rsid w:val="00D57E76"/>
    <w:rsid w:val="00D60135"/>
    <w:rsid w:val="00D60867"/>
    <w:rsid w:val="00D6090D"/>
    <w:rsid w:val="00D609A0"/>
    <w:rsid w:val="00D60C71"/>
    <w:rsid w:val="00D60DFB"/>
    <w:rsid w:val="00D61174"/>
    <w:rsid w:val="00D614EA"/>
    <w:rsid w:val="00D615B1"/>
    <w:rsid w:val="00D6247D"/>
    <w:rsid w:val="00D62500"/>
    <w:rsid w:val="00D62844"/>
    <w:rsid w:val="00D62BD9"/>
    <w:rsid w:val="00D62D6D"/>
    <w:rsid w:val="00D62E1A"/>
    <w:rsid w:val="00D62EE8"/>
    <w:rsid w:val="00D6328D"/>
    <w:rsid w:val="00D632B5"/>
    <w:rsid w:val="00D63424"/>
    <w:rsid w:val="00D63673"/>
    <w:rsid w:val="00D639D3"/>
    <w:rsid w:val="00D639EB"/>
    <w:rsid w:val="00D63A37"/>
    <w:rsid w:val="00D63A41"/>
    <w:rsid w:val="00D63F6D"/>
    <w:rsid w:val="00D6414F"/>
    <w:rsid w:val="00D645C7"/>
    <w:rsid w:val="00D645DC"/>
    <w:rsid w:val="00D64A1A"/>
    <w:rsid w:val="00D64AEC"/>
    <w:rsid w:val="00D64EC9"/>
    <w:rsid w:val="00D64F1B"/>
    <w:rsid w:val="00D65803"/>
    <w:rsid w:val="00D65BDE"/>
    <w:rsid w:val="00D65C10"/>
    <w:rsid w:val="00D65C7F"/>
    <w:rsid w:val="00D65CDD"/>
    <w:rsid w:val="00D65D2A"/>
    <w:rsid w:val="00D663E7"/>
    <w:rsid w:val="00D6680C"/>
    <w:rsid w:val="00D66C5D"/>
    <w:rsid w:val="00D66CEC"/>
    <w:rsid w:val="00D66D06"/>
    <w:rsid w:val="00D67210"/>
    <w:rsid w:val="00D6758A"/>
    <w:rsid w:val="00D67F57"/>
    <w:rsid w:val="00D7021C"/>
    <w:rsid w:val="00D704CA"/>
    <w:rsid w:val="00D7078B"/>
    <w:rsid w:val="00D707DD"/>
    <w:rsid w:val="00D70853"/>
    <w:rsid w:val="00D70AB2"/>
    <w:rsid w:val="00D70BC7"/>
    <w:rsid w:val="00D710CC"/>
    <w:rsid w:val="00D713E6"/>
    <w:rsid w:val="00D713F5"/>
    <w:rsid w:val="00D715C1"/>
    <w:rsid w:val="00D7193E"/>
    <w:rsid w:val="00D71C05"/>
    <w:rsid w:val="00D71D01"/>
    <w:rsid w:val="00D72292"/>
    <w:rsid w:val="00D724BD"/>
    <w:rsid w:val="00D72B2E"/>
    <w:rsid w:val="00D733CF"/>
    <w:rsid w:val="00D733D7"/>
    <w:rsid w:val="00D736BA"/>
    <w:rsid w:val="00D737D3"/>
    <w:rsid w:val="00D73896"/>
    <w:rsid w:val="00D73EEE"/>
    <w:rsid w:val="00D73F4A"/>
    <w:rsid w:val="00D7487D"/>
    <w:rsid w:val="00D74966"/>
    <w:rsid w:val="00D74CD9"/>
    <w:rsid w:val="00D75249"/>
    <w:rsid w:val="00D75942"/>
    <w:rsid w:val="00D75A3B"/>
    <w:rsid w:val="00D7605E"/>
    <w:rsid w:val="00D76331"/>
    <w:rsid w:val="00D76349"/>
    <w:rsid w:val="00D7638E"/>
    <w:rsid w:val="00D764B4"/>
    <w:rsid w:val="00D7651F"/>
    <w:rsid w:val="00D7695C"/>
    <w:rsid w:val="00D76AF5"/>
    <w:rsid w:val="00D76CC9"/>
    <w:rsid w:val="00D76D44"/>
    <w:rsid w:val="00D76D96"/>
    <w:rsid w:val="00D76E92"/>
    <w:rsid w:val="00D76ED2"/>
    <w:rsid w:val="00D76F4B"/>
    <w:rsid w:val="00D76FBA"/>
    <w:rsid w:val="00D77048"/>
    <w:rsid w:val="00D77072"/>
    <w:rsid w:val="00D770BC"/>
    <w:rsid w:val="00D77330"/>
    <w:rsid w:val="00D773F8"/>
    <w:rsid w:val="00D77523"/>
    <w:rsid w:val="00D7782D"/>
    <w:rsid w:val="00D77A39"/>
    <w:rsid w:val="00D77DC0"/>
    <w:rsid w:val="00D807BA"/>
    <w:rsid w:val="00D80A08"/>
    <w:rsid w:val="00D80ABB"/>
    <w:rsid w:val="00D80F64"/>
    <w:rsid w:val="00D8122C"/>
    <w:rsid w:val="00D817BB"/>
    <w:rsid w:val="00D81932"/>
    <w:rsid w:val="00D81C01"/>
    <w:rsid w:val="00D821D4"/>
    <w:rsid w:val="00D823A8"/>
    <w:rsid w:val="00D823BA"/>
    <w:rsid w:val="00D82793"/>
    <w:rsid w:val="00D8296D"/>
    <w:rsid w:val="00D83039"/>
    <w:rsid w:val="00D831B6"/>
    <w:rsid w:val="00D8345E"/>
    <w:rsid w:val="00D835BF"/>
    <w:rsid w:val="00D83990"/>
    <w:rsid w:val="00D84334"/>
    <w:rsid w:val="00D845CB"/>
    <w:rsid w:val="00D84E87"/>
    <w:rsid w:val="00D85039"/>
    <w:rsid w:val="00D851AA"/>
    <w:rsid w:val="00D8538C"/>
    <w:rsid w:val="00D85842"/>
    <w:rsid w:val="00D859CD"/>
    <w:rsid w:val="00D85BA1"/>
    <w:rsid w:val="00D85DF0"/>
    <w:rsid w:val="00D8615D"/>
    <w:rsid w:val="00D8616D"/>
    <w:rsid w:val="00D869FA"/>
    <w:rsid w:val="00D869FB"/>
    <w:rsid w:val="00D86BCD"/>
    <w:rsid w:val="00D86DEE"/>
    <w:rsid w:val="00D87072"/>
    <w:rsid w:val="00D870D4"/>
    <w:rsid w:val="00D87BE6"/>
    <w:rsid w:val="00D87C6D"/>
    <w:rsid w:val="00D90279"/>
    <w:rsid w:val="00D902D6"/>
    <w:rsid w:val="00D904F7"/>
    <w:rsid w:val="00D91089"/>
    <w:rsid w:val="00D9139E"/>
    <w:rsid w:val="00D91772"/>
    <w:rsid w:val="00D91A8A"/>
    <w:rsid w:val="00D91D76"/>
    <w:rsid w:val="00D92110"/>
    <w:rsid w:val="00D9234A"/>
    <w:rsid w:val="00D9242E"/>
    <w:rsid w:val="00D924A8"/>
    <w:rsid w:val="00D9253B"/>
    <w:rsid w:val="00D925E8"/>
    <w:rsid w:val="00D92925"/>
    <w:rsid w:val="00D9296A"/>
    <w:rsid w:val="00D929CD"/>
    <w:rsid w:val="00D92A11"/>
    <w:rsid w:val="00D92D39"/>
    <w:rsid w:val="00D93169"/>
    <w:rsid w:val="00D93300"/>
    <w:rsid w:val="00D933C7"/>
    <w:rsid w:val="00D933E6"/>
    <w:rsid w:val="00D937BD"/>
    <w:rsid w:val="00D93A2E"/>
    <w:rsid w:val="00D93D1F"/>
    <w:rsid w:val="00D93D49"/>
    <w:rsid w:val="00D93F24"/>
    <w:rsid w:val="00D944F0"/>
    <w:rsid w:val="00D946C1"/>
    <w:rsid w:val="00D9498C"/>
    <w:rsid w:val="00D9500D"/>
    <w:rsid w:val="00D95026"/>
    <w:rsid w:val="00D958B7"/>
    <w:rsid w:val="00D958FB"/>
    <w:rsid w:val="00D95DA1"/>
    <w:rsid w:val="00D96DE2"/>
    <w:rsid w:val="00D97033"/>
    <w:rsid w:val="00D971FB"/>
    <w:rsid w:val="00D97376"/>
    <w:rsid w:val="00D97D81"/>
    <w:rsid w:val="00DA063D"/>
    <w:rsid w:val="00DA0BA4"/>
    <w:rsid w:val="00DA0E19"/>
    <w:rsid w:val="00DA100F"/>
    <w:rsid w:val="00DA1097"/>
    <w:rsid w:val="00DA137E"/>
    <w:rsid w:val="00DA1428"/>
    <w:rsid w:val="00DA1832"/>
    <w:rsid w:val="00DA2085"/>
    <w:rsid w:val="00DA229F"/>
    <w:rsid w:val="00DA247E"/>
    <w:rsid w:val="00DA2986"/>
    <w:rsid w:val="00DA29C9"/>
    <w:rsid w:val="00DA2B7E"/>
    <w:rsid w:val="00DA2D19"/>
    <w:rsid w:val="00DA3246"/>
    <w:rsid w:val="00DA331D"/>
    <w:rsid w:val="00DA3384"/>
    <w:rsid w:val="00DA3387"/>
    <w:rsid w:val="00DA33CE"/>
    <w:rsid w:val="00DA364D"/>
    <w:rsid w:val="00DA3819"/>
    <w:rsid w:val="00DA3842"/>
    <w:rsid w:val="00DA3E84"/>
    <w:rsid w:val="00DA3EB2"/>
    <w:rsid w:val="00DA42E8"/>
    <w:rsid w:val="00DA4582"/>
    <w:rsid w:val="00DA45E7"/>
    <w:rsid w:val="00DA4694"/>
    <w:rsid w:val="00DA4F12"/>
    <w:rsid w:val="00DA57BC"/>
    <w:rsid w:val="00DA58ED"/>
    <w:rsid w:val="00DA5C9A"/>
    <w:rsid w:val="00DA5CD8"/>
    <w:rsid w:val="00DA5CEA"/>
    <w:rsid w:val="00DA5FA4"/>
    <w:rsid w:val="00DA60E4"/>
    <w:rsid w:val="00DA649A"/>
    <w:rsid w:val="00DA66DD"/>
    <w:rsid w:val="00DA7681"/>
    <w:rsid w:val="00DA7F14"/>
    <w:rsid w:val="00DA7F78"/>
    <w:rsid w:val="00DB0BEC"/>
    <w:rsid w:val="00DB0D82"/>
    <w:rsid w:val="00DB12C5"/>
    <w:rsid w:val="00DB131C"/>
    <w:rsid w:val="00DB1BB1"/>
    <w:rsid w:val="00DB1DAD"/>
    <w:rsid w:val="00DB260E"/>
    <w:rsid w:val="00DB2AB6"/>
    <w:rsid w:val="00DB2BA8"/>
    <w:rsid w:val="00DB2ED4"/>
    <w:rsid w:val="00DB35A6"/>
    <w:rsid w:val="00DB368C"/>
    <w:rsid w:val="00DB3B2B"/>
    <w:rsid w:val="00DB3FF8"/>
    <w:rsid w:val="00DB45C7"/>
    <w:rsid w:val="00DB487E"/>
    <w:rsid w:val="00DB4D28"/>
    <w:rsid w:val="00DB4EB4"/>
    <w:rsid w:val="00DB4F11"/>
    <w:rsid w:val="00DB51EC"/>
    <w:rsid w:val="00DB5781"/>
    <w:rsid w:val="00DB57F0"/>
    <w:rsid w:val="00DB5B51"/>
    <w:rsid w:val="00DB5C17"/>
    <w:rsid w:val="00DB6428"/>
    <w:rsid w:val="00DB6A51"/>
    <w:rsid w:val="00DB6B56"/>
    <w:rsid w:val="00DB6BBC"/>
    <w:rsid w:val="00DB6BD0"/>
    <w:rsid w:val="00DB7033"/>
    <w:rsid w:val="00DB751C"/>
    <w:rsid w:val="00DB7BAF"/>
    <w:rsid w:val="00DB7ECF"/>
    <w:rsid w:val="00DC0270"/>
    <w:rsid w:val="00DC039B"/>
    <w:rsid w:val="00DC05FE"/>
    <w:rsid w:val="00DC06B7"/>
    <w:rsid w:val="00DC0A52"/>
    <w:rsid w:val="00DC0CC5"/>
    <w:rsid w:val="00DC0DE8"/>
    <w:rsid w:val="00DC0E48"/>
    <w:rsid w:val="00DC0EF6"/>
    <w:rsid w:val="00DC130D"/>
    <w:rsid w:val="00DC181C"/>
    <w:rsid w:val="00DC1C77"/>
    <w:rsid w:val="00DC21E2"/>
    <w:rsid w:val="00DC2459"/>
    <w:rsid w:val="00DC249C"/>
    <w:rsid w:val="00DC25F1"/>
    <w:rsid w:val="00DC2AA4"/>
    <w:rsid w:val="00DC2FFA"/>
    <w:rsid w:val="00DC304D"/>
    <w:rsid w:val="00DC306A"/>
    <w:rsid w:val="00DC3579"/>
    <w:rsid w:val="00DC3AB0"/>
    <w:rsid w:val="00DC3AC0"/>
    <w:rsid w:val="00DC3DD3"/>
    <w:rsid w:val="00DC3F20"/>
    <w:rsid w:val="00DC3FA7"/>
    <w:rsid w:val="00DC405F"/>
    <w:rsid w:val="00DC4446"/>
    <w:rsid w:val="00DC44D7"/>
    <w:rsid w:val="00DC51BF"/>
    <w:rsid w:val="00DC5214"/>
    <w:rsid w:val="00DC5278"/>
    <w:rsid w:val="00DC535B"/>
    <w:rsid w:val="00DC5635"/>
    <w:rsid w:val="00DC5930"/>
    <w:rsid w:val="00DC59BE"/>
    <w:rsid w:val="00DC5AB2"/>
    <w:rsid w:val="00DC5BD1"/>
    <w:rsid w:val="00DC5F8C"/>
    <w:rsid w:val="00DC628E"/>
    <w:rsid w:val="00DC648A"/>
    <w:rsid w:val="00DC659D"/>
    <w:rsid w:val="00DC679D"/>
    <w:rsid w:val="00DC67F6"/>
    <w:rsid w:val="00DC6AD5"/>
    <w:rsid w:val="00DC71D3"/>
    <w:rsid w:val="00DC72E8"/>
    <w:rsid w:val="00DC77F0"/>
    <w:rsid w:val="00DC7C0A"/>
    <w:rsid w:val="00DC7D46"/>
    <w:rsid w:val="00DD0136"/>
    <w:rsid w:val="00DD0144"/>
    <w:rsid w:val="00DD04AE"/>
    <w:rsid w:val="00DD0585"/>
    <w:rsid w:val="00DD110D"/>
    <w:rsid w:val="00DD1171"/>
    <w:rsid w:val="00DD1192"/>
    <w:rsid w:val="00DD1542"/>
    <w:rsid w:val="00DD1789"/>
    <w:rsid w:val="00DD18D8"/>
    <w:rsid w:val="00DD2008"/>
    <w:rsid w:val="00DD25BC"/>
    <w:rsid w:val="00DD265C"/>
    <w:rsid w:val="00DD2802"/>
    <w:rsid w:val="00DD2AB4"/>
    <w:rsid w:val="00DD2FF2"/>
    <w:rsid w:val="00DD3339"/>
    <w:rsid w:val="00DD3C5C"/>
    <w:rsid w:val="00DD3D3B"/>
    <w:rsid w:val="00DD3D66"/>
    <w:rsid w:val="00DD3E29"/>
    <w:rsid w:val="00DD478D"/>
    <w:rsid w:val="00DD4C09"/>
    <w:rsid w:val="00DD4C78"/>
    <w:rsid w:val="00DD4EB5"/>
    <w:rsid w:val="00DD557F"/>
    <w:rsid w:val="00DD59A3"/>
    <w:rsid w:val="00DD59E2"/>
    <w:rsid w:val="00DD5A7F"/>
    <w:rsid w:val="00DD5B3B"/>
    <w:rsid w:val="00DD5CCC"/>
    <w:rsid w:val="00DD5DA2"/>
    <w:rsid w:val="00DD621D"/>
    <w:rsid w:val="00DD6222"/>
    <w:rsid w:val="00DD6965"/>
    <w:rsid w:val="00DD69DF"/>
    <w:rsid w:val="00DD6B8E"/>
    <w:rsid w:val="00DD6B9B"/>
    <w:rsid w:val="00DD6F1A"/>
    <w:rsid w:val="00DD6FAF"/>
    <w:rsid w:val="00DD6FC1"/>
    <w:rsid w:val="00DD7664"/>
    <w:rsid w:val="00DD7B1B"/>
    <w:rsid w:val="00DD7C3C"/>
    <w:rsid w:val="00DD7DB9"/>
    <w:rsid w:val="00DE0179"/>
    <w:rsid w:val="00DE0D05"/>
    <w:rsid w:val="00DE0D16"/>
    <w:rsid w:val="00DE0E8D"/>
    <w:rsid w:val="00DE11BF"/>
    <w:rsid w:val="00DE1610"/>
    <w:rsid w:val="00DE1779"/>
    <w:rsid w:val="00DE1BD2"/>
    <w:rsid w:val="00DE1CA4"/>
    <w:rsid w:val="00DE1E81"/>
    <w:rsid w:val="00DE205F"/>
    <w:rsid w:val="00DE2B05"/>
    <w:rsid w:val="00DE2DF2"/>
    <w:rsid w:val="00DE2FAB"/>
    <w:rsid w:val="00DE397A"/>
    <w:rsid w:val="00DE3AC7"/>
    <w:rsid w:val="00DE3DE9"/>
    <w:rsid w:val="00DE3FEB"/>
    <w:rsid w:val="00DE4283"/>
    <w:rsid w:val="00DE43FF"/>
    <w:rsid w:val="00DE4495"/>
    <w:rsid w:val="00DE4734"/>
    <w:rsid w:val="00DE4842"/>
    <w:rsid w:val="00DE4938"/>
    <w:rsid w:val="00DE4B41"/>
    <w:rsid w:val="00DE4CD6"/>
    <w:rsid w:val="00DE4FE6"/>
    <w:rsid w:val="00DE5325"/>
    <w:rsid w:val="00DE551D"/>
    <w:rsid w:val="00DE5A85"/>
    <w:rsid w:val="00DE5DE8"/>
    <w:rsid w:val="00DE656B"/>
    <w:rsid w:val="00DE6AA2"/>
    <w:rsid w:val="00DE704A"/>
    <w:rsid w:val="00DE7303"/>
    <w:rsid w:val="00DE7CF3"/>
    <w:rsid w:val="00DF0156"/>
    <w:rsid w:val="00DF020F"/>
    <w:rsid w:val="00DF023A"/>
    <w:rsid w:val="00DF0274"/>
    <w:rsid w:val="00DF0368"/>
    <w:rsid w:val="00DF06D4"/>
    <w:rsid w:val="00DF0794"/>
    <w:rsid w:val="00DF07E0"/>
    <w:rsid w:val="00DF12FB"/>
    <w:rsid w:val="00DF14F8"/>
    <w:rsid w:val="00DF1AA7"/>
    <w:rsid w:val="00DF2235"/>
    <w:rsid w:val="00DF2472"/>
    <w:rsid w:val="00DF2604"/>
    <w:rsid w:val="00DF2676"/>
    <w:rsid w:val="00DF2790"/>
    <w:rsid w:val="00DF29BC"/>
    <w:rsid w:val="00DF29FC"/>
    <w:rsid w:val="00DF2B0F"/>
    <w:rsid w:val="00DF38BC"/>
    <w:rsid w:val="00DF398A"/>
    <w:rsid w:val="00DF3DFE"/>
    <w:rsid w:val="00DF41BA"/>
    <w:rsid w:val="00DF4A68"/>
    <w:rsid w:val="00DF4E55"/>
    <w:rsid w:val="00DF520E"/>
    <w:rsid w:val="00DF52B7"/>
    <w:rsid w:val="00DF53E6"/>
    <w:rsid w:val="00DF572D"/>
    <w:rsid w:val="00DF58D1"/>
    <w:rsid w:val="00DF5960"/>
    <w:rsid w:val="00DF603D"/>
    <w:rsid w:val="00DF604A"/>
    <w:rsid w:val="00DF6099"/>
    <w:rsid w:val="00DF60C4"/>
    <w:rsid w:val="00DF613A"/>
    <w:rsid w:val="00DF653D"/>
    <w:rsid w:val="00DF6641"/>
    <w:rsid w:val="00DF687E"/>
    <w:rsid w:val="00DF6DF2"/>
    <w:rsid w:val="00DF714C"/>
    <w:rsid w:val="00DF71A1"/>
    <w:rsid w:val="00DF7219"/>
    <w:rsid w:val="00DF72C0"/>
    <w:rsid w:val="00DF72D5"/>
    <w:rsid w:val="00DF7C81"/>
    <w:rsid w:val="00DF7D87"/>
    <w:rsid w:val="00E000AA"/>
    <w:rsid w:val="00E00225"/>
    <w:rsid w:val="00E00695"/>
    <w:rsid w:val="00E008E4"/>
    <w:rsid w:val="00E00909"/>
    <w:rsid w:val="00E00CFF"/>
    <w:rsid w:val="00E00DE8"/>
    <w:rsid w:val="00E01411"/>
    <w:rsid w:val="00E01562"/>
    <w:rsid w:val="00E0158A"/>
    <w:rsid w:val="00E01B3B"/>
    <w:rsid w:val="00E01CEC"/>
    <w:rsid w:val="00E02439"/>
    <w:rsid w:val="00E025A3"/>
    <w:rsid w:val="00E02A44"/>
    <w:rsid w:val="00E02C3D"/>
    <w:rsid w:val="00E03137"/>
    <w:rsid w:val="00E0391E"/>
    <w:rsid w:val="00E03B1C"/>
    <w:rsid w:val="00E041AD"/>
    <w:rsid w:val="00E04E6F"/>
    <w:rsid w:val="00E04E73"/>
    <w:rsid w:val="00E04F2B"/>
    <w:rsid w:val="00E0512E"/>
    <w:rsid w:val="00E058FD"/>
    <w:rsid w:val="00E05D6D"/>
    <w:rsid w:val="00E067F8"/>
    <w:rsid w:val="00E06C05"/>
    <w:rsid w:val="00E06E33"/>
    <w:rsid w:val="00E06F79"/>
    <w:rsid w:val="00E0722A"/>
    <w:rsid w:val="00E07CA9"/>
    <w:rsid w:val="00E07EF8"/>
    <w:rsid w:val="00E10536"/>
    <w:rsid w:val="00E109AC"/>
    <w:rsid w:val="00E10E05"/>
    <w:rsid w:val="00E10E33"/>
    <w:rsid w:val="00E11BAD"/>
    <w:rsid w:val="00E125A5"/>
    <w:rsid w:val="00E1269C"/>
    <w:rsid w:val="00E127B9"/>
    <w:rsid w:val="00E12867"/>
    <w:rsid w:val="00E128A2"/>
    <w:rsid w:val="00E128BD"/>
    <w:rsid w:val="00E13082"/>
    <w:rsid w:val="00E13102"/>
    <w:rsid w:val="00E1334F"/>
    <w:rsid w:val="00E1364D"/>
    <w:rsid w:val="00E13A7A"/>
    <w:rsid w:val="00E13CEB"/>
    <w:rsid w:val="00E13E76"/>
    <w:rsid w:val="00E144D4"/>
    <w:rsid w:val="00E148D5"/>
    <w:rsid w:val="00E14D70"/>
    <w:rsid w:val="00E15278"/>
    <w:rsid w:val="00E152C3"/>
    <w:rsid w:val="00E154AE"/>
    <w:rsid w:val="00E15534"/>
    <w:rsid w:val="00E15629"/>
    <w:rsid w:val="00E156B4"/>
    <w:rsid w:val="00E15914"/>
    <w:rsid w:val="00E15C42"/>
    <w:rsid w:val="00E16017"/>
    <w:rsid w:val="00E16042"/>
    <w:rsid w:val="00E1608E"/>
    <w:rsid w:val="00E16532"/>
    <w:rsid w:val="00E16AB7"/>
    <w:rsid w:val="00E1722D"/>
    <w:rsid w:val="00E1754C"/>
    <w:rsid w:val="00E17A69"/>
    <w:rsid w:val="00E17F95"/>
    <w:rsid w:val="00E20C43"/>
    <w:rsid w:val="00E20C7A"/>
    <w:rsid w:val="00E20EE7"/>
    <w:rsid w:val="00E21027"/>
    <w:rsid w:val="00E211C1"/>
    <w:rsid w:val="00E21393"/>
    <w:rsid w:val="00E215EE"/>
    <w:rsid w:val="00E21C2A"/>
    <w:rsid w:val="00E22325"/>
    <w:rsid w:val="00E22851"/>
    <w:rsid w:val="00E228FC"/>
    <w:rsid w:val="00E22A4F"/>
    <w:rsid w:val="00E22B03"/>
    <w:rsid w:val="00E22B38"/>
    <w:rsid w:val="00E22B6F"/>
    <w:rsid w:val="00E22C0A"/>
    <w:rsid w:val="00E22C4D"/>
    <w:rsid w:val="00E22E3A"/>
    <w:rsid w:val="00E22EBA"/>
    <w:rsid w:val="00E235D0"/>
    <w:rsid w:val="00E235E5"/>
    <w:rsid w:val="00E23683"/>
    <w:rsid w:val="00E23699"/>
    <w:rsid w:val="00E238D5"/>
    <w:rsid w:val="00E23A07"/>
    <w:rsid w:val="00E243D3"/>
    <w:rsid w:val="00E2447E"/>
    <w:rsid w:val="00E24656"/>
    <w:rsid w:val="00E25028"/>
    <w:rsid w:val="00E254ED"/>
    <w:rsid w:val="00E2557D"/>
    <w:rsid w:val="00E25D3A"/>
    <w:rsid w:val="00E2617B"/>
    <w:rsid w:val="00E26CAC"/>
    <w:rsid w:val="00E26F7D"/>
    <w:rsid w:val="00E271C6"/>
    <w:rsid w:val="00E27662"/>
    <w:rsid w:val="00E27724"/>
    <w:rsid w:val="00E27B5B"/>
    <w:rsid w:val="00E3078E"/>
    <w:rsid w:val="00E31535"/>
    <w:rsid w:val="00E31744"/>
    <w:rsid w:val="00E31785"/>
    <w:rsid w:val="00E31B89"/>
    <w:rsid w:val="00E31D94"/>
    <w:rsid w:val="00E320C8"/>
    <w:rsid w:val="00E324A2"/>
    <w:rsid w:val="00E32507"/>
    <w:rsid w:val="00E325DA"/>
    <w:rsid w:val="00E3384F"/>
    <w:rsid w:val="00E33963"/>
    <w:rsid w:val="00E33978"/>
    <w:rsid w:val="00E33E59"/>
    <w:rsid w:val="00E33EA5"/>
    <w:rsid w:val="00E33F91"/>
    <w:rsid w:val="00E3435A"/>
    <w:rsid w:val="00E34AA6"/>
    <w:rsid w:val="00E34BAF"/>
    <w:rsid w:val="00E34E30"/>
    <w:rsid w:val="00E35039"/>
    <w:rsid w:val="00E3505D"/>
    <w:rsid w:val="00E3520B"/>
    <w:rsid w:val="00E35308"/>
    <w:rsid w:val="00E35561"/>
    <w:rsid w:val="00E3583D"/>
    <w:rsid w:val="00E359F6"/>
    <w:rsid w:val="00E35AE4"/>
    <w:rsid w:val="00E35BE1"/>
    <w:rsid w:val="00E35C1A"/>
    <w:rsid w:val="00E35CE4"/>
    <w:rsid w:val="00E35D7C"/>
    <w:rsid w:val="00E35F98"/>
    <w:rsid w:val="00E36004"/>
    <w:rsid w:val="00E3677A"/>
    <w:rsid w:val="00E367F1"/>
    <w:rsid w:val="00E36E83"/>
    <w:rsid w:val="00E376D4"/>
    <w:rsid w:val="00E3779A"/>
    <w:rsid w:val="00E37865"/>
    <w:rsid w:val="00E37C90"/>
    <w:rsid w:val="00E401AF"/>
    <w:rsid w:val="00E4076B"/>
    <w:rsid w:val="00E40833"/>
    <w:rsid w:val="00E40E8F"/>
    <w:rsid w:val="00E40FCC"/>
    <w:rsid w:val="00E40FE0"/>
    <w:rsid w:val="00E4111C"/>
    <w:rsid w:val="00E4194F"/>
    <w:rsid w:val="00E41B06"/>
    <w:rsid w:val="00E42C07"/>
    <w:rsid w:val="00E42DA7"/>
    <w:rsid w:val="00E42F2B"/>
    <w:rsid w:val="00E43326"/>
    <w:rsid w:val="00E43C92"/>
    <w:rsid w:val="00E43F50"/>
    <w:rsid w:val="00E43F93"/>
    <w:rsid w:val="00E43FB0"/>
    <w:rsid w:val="00E443C5"/>
    <w:rsid w:val="00E443F0"/>
    <w:rsid w:val="00E444E3"/>
    <w:rsid w:val="00E44EF0"/>
    <w:rsid w:val="00E44F55"/>
    <w:rsid w:val="00E452FD"/>
    <w:rsid w:val="00E46774"/>
    <w:rsid w:val="00E46C82"/>
    <w:rsid w:val="00E46D3B"/>
    <w:rsid w:val="00E47089"/>
    <w:rsid w:val="00E471DA"/>
    <w:rsid w:val="00E50092"/>
    <w:rsid w:val="00E50562"/>
    <w:rsid w:val="00E5072F"/>
    <w:rsid w:val="00E50A74"/>
    <w:rsid w:val="00E51481"/>
    <w:rsid w:val="00E51509"/>
    <w:rsid w:val="00E51AE9"/>
    <w:rsid w:val="00E51B86"/>
    <w:rsid w:val="00E52777"/>
    <w:rsid w:val="00E52B55"/>
    <w:rsid w:val="00E52CBA"/>
    <w:rsid w:val="00E52CE3"/>
    <w:rsid w:val="00E530FF"/>
    <w:rsid w:val="00E53846"/>
    <w:rsid w:val="00E5385B"/>
    <w:rsid w:val="00E5399D"/>
    <w:rsid w:val="00E53A8B"/>
    <w:rsid w:val="00E53CAA"/>
    <w:rsid w:val="00E53D54"/>
    <w:rsid w:val="00E53FBD"/>
    <w:rsid w:val="00E53FDE"/>
    <w:rsid w:val="00E542E8"/>
    <w:rsid w:val="00E5440E"/>
    <w:rsid w:val="00E548A8"/>
    <w:rsid w:val="00E54918"/>
    <w:rsid w:val="00E5498A"/>
    <w:rsid w:val="00E54CE2"/>
    <w:rsid w:val="00E55041"/>
    <w:rsid w:val="00E55404"/>
    <w:rsid w:val="00E55465"/>
    <w:rsid w:val="00E556CD"/>
    <w:rsid w:val="00E556D3"/>
    <w:rsid w:val="00E55AF4"/>
    <w:rsid w:val="00E55C2F"/>
    <w:rsid w:val="00E55E63"/>
    <w:rsid w:val="00E55E77"/>
    <w:rsid w:val="00E567E6"/>
    <w:rsid w:val="00E56821"/>
    <w:rsid w:val="00E56847"/>
    <w:rsid w:val="00E56D7E"/>
    <w:rsid w:val="00E56DDD"/>
    <w:rsid w:val="00E573C0"/>
    <w:rsid w:val="00E5772E"/>
    <w:rsid w:val="00E578A0"/>
    <w:rsid w:val="00E57B2A"/>
    <w:rsid w:val="00E57ED1"/>
    <w:rsid w:val="00E60841"/>
    <w:rsid w:val="00E609E5"/>
    <w:rsid w:val="00E60BB4"/>
    <w:rsid w:val="00E60C0A"/>
    <w:rsid w:val="00E60C51"/>
    <w:rsid w:val="00E61521"/>
    <w:rsid w:val="00E615B1"/>
    <w:rsid w:val="00E6177C"/>
    <w:rsid w:val="00E62032"/>
    <w:rsid w:val="00E620E3"/>
    <w:rsid w:val="00E63188"/>
    <w:rsid w:val="00E6392B"/>
    <w:rsid w:val="00E644CB"/>
    <w:rsid w:val="00E649E2"/>
    <w:rsid w:val="00E64A56"/>
    <w:rsid w:val="00E64C61"/>
    <w:rsid w:val="00E651A8"/>
    <w:rsid w:val="00E652ED"/>
    <w:rsid w:val="00E6534D"/>
    <w:rsid w:val="00E65558"/>
    <w:rsid w:val="00E656C2"/>
    <w:rsid w:val="00E657FC"/>
    <w:rsid w:val="00E6583D"/>
    <w:rsid w:val="00E65BF3"/>
    <w:rsid w:val="00E65DAB"/>
    <w:rsid w:val="00E663CF"/>
    <w:rsid w:val="00E665E4"/>
    <w:rsid w:val="00E66904"/>
    <w:rsid w:val="00E6694B"/>
    <w:rsid w:val="00E669F3"/>
    <w:rsid w:val="00E66BFA"/>
    <w:rsid w:val="00E66CFE"/>
    <w:rsid w:val="00E67650"/>
    <w:rsid w:val="00E67730"/>
    <w:rsid w:val="00E677D8"/>
    <w:rsid w:val="00E67A4C"/>
    <w:rsid w:val="00E67C95"/>
    <w:rsid w:val="00E67F13"/>
    <w:rsid w:val="00E67FA1"/>
    <w:rsid w:val="00E7026E"/>
    <w:rsid w:val="00E70669"/>
    <w:rsid w:val="00E706D9"/>
    <w:rsid w:val="00E70713"/>
    <w:rsid w:val="00E708D9"/>
    <w:rsid w:val="00E70A16"/>
    <w:rsid w:val="00E70ACF"/>
    <w:rsid w:val="00E70B99"/>
    <w:rsid w:val="00E70FF1"/>
    <w:rsid w:val="00E71151"/>
    <w:rsid w:val="00E713A2"/>
    <w:rsid w:val="00E7210C"/>
    <w:rsid w:val="00E725DC"/>
    <w:rsid w:val="00E72900"/>
    <w:rsid w:val="00E72CDF"/>
    <w:rsid w:val="00E7325C"/>
    <w:rsid w:val="00E73396"/>
    <w:rsid w:val="00E733D2"/>
    <w:rsid w:val="00E73405"/>
    <w:rsid w:val="00E73507"/>
    <w:rsid w:val="00E7389C"/>
    <w:rsid w:val="00E73D86"/>
    <w:rsid w:val="00E73E74"/>
    <w:rsid w:val="00E73F13"/>
    <w:rsid w:val="00E7437E"/>
    <w:rsid w:val="00E7476A"/>
    <w:rsid w:val="00E74C9C"/>
    <w:rsid w:val="00E74EAD"/>
    <w:rsid w:val="00E75253"/>
    <w:rsid w:val="00E75324"/>
    <w:rsid w:val="00E754BD"/>
    <w:rsid w:val="00E7583A"/>
    <w:rsid w:val="00E75924"/>
    <w:rsid w:val="00E75CC3"/>
    <w:rsid w:val="00E7647D"/>
    <w:rsid w:val="00E76C4F"/>
    <w:rsid w:val="00E76E10"/>
    <w:rsid w:val="00E76F9E"/>
    <w:rsid w:val="00E771CF"/>
    <w:rsid w:val="00E775AD"/>
    <w:rsid w:val="00E775B0"/>
    <w:rsid w:val="00E80140"/>
    <w:rsid w:val="00E80420"/>
    <w:rsid w:val="00E8045D"/>
    <w:rsid w:val="00E80C3F"/>
    <w:rsid w:val="00E80E2F"/>
    <w:rsid w:val="00E8197B"/>
    <w:rsid w:val="00E81B2C"/>
    <w:rsid w:val="00E81EBB"/>
    <w:rsid w:val="00E82192"/>
    <w:rsid w:val="00E827EE"/>
    <w:rsid w:val="00E82CED"/>
    <w:rsid w:val="00E83137"/>
    <w:rsid w:val="00E831A2"/>
    <w:rsid w:val="00E83263"/>
    <w:rsid w:val="00E833C2"/>
    <w:rsid w:val="00E834D7"/>
    <w:rsid w:val="00E837D7"/>
    <w:rsid w:val="00E83937"/>
    <w:rsid w:val="00E83A35"/>
    <w:rsid w:val="00E83DE3"/>
    <w:rsid w:val="00E83EC9"/>
    <w:rsid w:val="00E84220"/>
    <w:rsid w:val="00E84279"/>
    <w:rsid w:val="00E8450E"/>
    <w:rsid w:val="00E84966"/>
    <w:rsid w:val="00E84B8B"/>
    <w:rsid w:val="00E84BC9"/>
    <w:rsid w:val="00E84BD8"/>
    <w:rsid w:val="00E8543B"/>
    <w:rsid w:val="00E85952"/>
    <w:rsid w:val="00E85AA2"/>
    <w:rsid w:val="00E85B1C"/>
    <w:rsid w:val="00E85BE3"/>
    <w:rsid w:val="00E86185"/>
    <w:rsid w:val="00E8677E"/>
    <w:rsid w:val="00E86940"/>
    <w:rsid w:val="00E86A89"/>
    <w:rsid w:val="00E86C13"/>
    <w:rsid w:val="00E87216"/>
    <w:rsid w:val="00E87233"/>
    <w:rsid w:val="00E8753F"/>
    <w:rsid w:val="00E8787B"/>
    <w:rsid w:val="00E87935"/>
    <w:rsid w:val="00E87A29"/>
    <w:rsid w:val="00E87A74"/>
    <w:rsid w:val="00E87C6D"/>
    <w:rsid w:val="00E87D86"/>
    <w:rsid w:val="00E87D88"/>
    <w:rsid w:val="00E87E02"/>
    <w:rsid w:val="00E87F1D"/>
    <w:rsid w:val="00E90545"/>
    <w:rsid w:val="00E908A8"/>
    <w:rsid w:val="00E91031"/>
    <w:rsid w:val="00E910C9"/>
    <w:rsid w:val="00E917D4"/>
    <w:rsid w:val="00E9190F"/>
    <w:rsid w:val="00E921CD"/>
    <w:rsid w:val="00E92931"/>
    <w:rsid w:val="00E92BEA"/>
    <w:rsid w:val="00E92D0E"/>
    <w:rsid w:val="00E9327F"/>
    <w:rsid w:val="00E93638"/>
    <w:rsid w:val="00E9387E"/>
    <w:rsid w:val="00E93984"/>
    <w:rsid w:val="00E93D19"/>
    <w:rsid w:val="00E93D31"/>
    <w:rsid w:val="00E940AD"/>
    <w:rsid w:val="00E9417D"/>
    <w:rsid w:val="00E94193"/>
    <w:rsid w:val="00E94322"/>
    <w:rsid w:val="00E94DDF"/>
    <w:rsid w:val="00E94E4B"/>
    <w:rsid w:val="00E94F41"/>
    <w:rsid w:val="00E950C1"/>
    <w:rsid w:val="00E95460"/>
    <w:rsid w:val="00E968EE"/>
    <w:rsid w:val="00E968FF"/>
    <w:rsid w:val="00E96B74"/>
    <w:rsid w:val="00E96BBB"/>
    <w:rsid w:val="00E97163"/>
    <w:rsid w:val="00E9747F"/>
    <w:rsid w:val="00E97679"/>
    <w:rsid w:val="00E9775C"/>
    <w:rsid w:val="00E97D5E"/>
    <w:rsid w:val="00E97FDE"/>
    <w:rsid w:val="00EA0AC9"/>
    <w:rsid w:val="00EA0CE3"/>
    <w:rsid w:val="00EA0F71"/>
    <w:rsid w:val="00EA102F"/>
    <w:rsid w:val="00EA15F1"/>
    <w:rsid w:val="00EA181B"/>
    <w:rsid w:val="00EA1A33"/>
    <w:rsid w:val="00EA1A6C"/>
    <w:rsid w:val="00EA1D08"/>
    <w:rsid w:val="00EA2259"/>
    <w:rsid w:val="00EA2968"/>
    <w:rsid w:val="00EA3203"/>
    <w:rsid w:val="00EA396B"/>
    <w:rsid w:val="00EA3ADB"/>
    <w:rsid w:val="00EA4D1E"/>
    <w:rsid w:val="00EA503D"/>
    <w:rsid w:val="00EA5307"/>
    <w:rsid w:val="00EA555D"/>
    <w:rsid w:val="00EA599A"/>
    <w:rsid w:val="00EA663D"/>
    <w:rsid w:val="00EA6781"/>
    <w:rsid w:val="00EA682E"/>
    <w:rsid w:val="00EA6EAC"/>
    <w:rsid w:val="00EA6F22"/>
    <w:rsid w:val="00EA704F"/>
    <w:rsid w:val="00EA7212"/>
    <w:rsid w:val="00EA73B0"/>
    <w:rsid w:val="00EA7594"/>
    <w:rsid w:val="00EA7DA5"/>
    <w:rsid w:val="00EB01CD"/>
    <w:rsid w:val="00EB02AF"/>
    <w:rsid w:val="00EB04BB"/>
    <w:rsid w:val="00EB112C"/>
    <w:rsid w:val="00EB12B5"/>
    <w:rsid w:val="00EB13BA"/>
    <w:rsid w:val="00EB1541"/>
    <w:rsid w:val="00EB1765"/>
    <w:rsid w:val="00EB1B68"/>
    <w:rsid w:val="00EB1BB2"/>
    <w:rsid w:val="00EB1CA0"/>
    <w:rsid w:val="00EB1CF9"/>
    <w:rsid w:val="00EB238E"/>
    <w:rsid w:val="00EB2757"/>
    <w:rsid w:val="00EB27F6"/>
    <w:rsid w:val="00EB284A"/>
    <w:rsid w:val="00EB2873"/>
    <w:rsid w:val="00EB35FD"/>
    <w:rsid w:val="00EB36EC"/>
    <w:rsid w:val="00EB38BE"/>
    <w:rsid w:val="00EB3E99"/>
    <w:rsid w:val="00EB45F3"/>
    <w:rsid w:val="00EB4843"/>
    <w:rsid w:val="00EB50F6"/>
    <w:rsid w:val="00EB5166"/>
    <w:rsid w:val="00EB5749"/>
    <w:rsid w:val="00EB5C19"/>
    <w:rsid w:val="00EB5CD4"/>
    <w:rsid w:val="00EB61F2"/>
    <w:rsid w:val="00EB6440"/>
    <w:rsid w:val="00EB6DB8"/>
    <w:rsid w:val="00EB733C"/>
    <w:rsid w:val="00EB7505"/>
    <w:rsid w:val="00EB7FF6"/>
    <w:rsid w:val="00EC0262"/>
    <w:rsid w:val="00EC07DC"/>
    <w:rsid w:val="00EC09CC"/>
    <w:rsid w:val="00EC0F54"/>
    <w:rsid w:val="00EC146D"/>
    <w:rsid w:val="00EC15BE"/>
    <w:rsid w:val="00EC1780"/>
    <w:rsid w:val="00EC1846"/>
    <w:rsid w:val="00EC1A67"/>
    <w:rsid w:val="00EC1CFC"/>
    <w:rsid w:val="00EC1DB3"/>
    <w:rsid w:val="00EC2337"/>
    <w:rsid w:val="00EC2760"/>
    <w:rsid w:val="00EC309A"/>
    <w:rsid w:val="00EC37BC"/>
    <w:rsid w:val="00EC3933"/>
    <w:rsid w:val="00EC3A09"/>
    <w:rsid w:val="00EC3AA8"/>
    <w:rsid w:val="00EC3F5E"/>
    <w:rsid w:val="00EC4474"/>
    <w:rsid w:val="00EC4B4B"/>
    <w:rsid w:val="00EC4CF7"/>
    <w:rsid w:val="00EC5102"/>
    <w:rsid w:val="00EC5214"/>
    <w:rsid w:val="00EC53DF"/>
    <w:rsid w:val="00EC53E5"/>
    <w:rsid w:val="00EC5538"/>
    <w:rsid w:val="00EC5716"/>
    <w:rsid w:val="00EC5D0B"/>
    <w:rsid w:val="00EC63FB"/>
    <w:rsid w:val="00EC65EC"/>
    <w:rsid w:val="00EC66A8"/>
    <w:rsid w:val="00EC66FE"/>
    <w:rsid w:val="00EC685A"/>
    <w:rsid w:val="00EC7145"/>
    <w:rsid w:val="00EC7307"/>
    <w:rsid w:val="00EC763A"/>
    <w:rsid w:val="00EC79FC"/>
    <w:rsid w:val="00EC7BB1"/>
    <w:rsid w:val="00EC7C41"/>
    <w:rsid w:val="00EC7CC6"/>
    <w:rsid w:val="00EC7CD5"/>
    <w:rsid w:val="00EC7E2F"/>
    <w:rsid w:val="00EC7F56"/>
    <w:rsid w:val="00ED0093"/>
    <w:rsid w:val="00ED030A"/>
    <w:rsid w:val="00ED06F6"/>
    <w:rsid w:val="00ED0A5C"/>
    <w:rsid w:val="00ED0FED"/>
    <w:rsid w:val="00ED13F1"/>
    <w:rsid w:val="00ED1AA2"/>
    <w:rsid w:val="00ED1FBE"/>
    <w:rsid w:val="00ED218E"/>
    <w:rsid w:val="00ED223B"/>
    <w:rsid w:val="00ED2423"/>
    <w:rsid w:val="00ED26D1"/>
    <w:rsid w:val="00ED2C4C"/>
    <w:rsid w:val="00ED2EDF"/>
    <w:rsid w:val="00ED2FB9"/>
    <w:rsid w:val="00ED3412"/>
    <w:rsid w:val="00ED3E01"/>
    <w:rsid w:val="00ED499D"/>
    <w:rsid w:val="00ED55FE"/>
    <w:rsid w:val="00ED56B5"/>
    <w:rsid w:val="00ED57E1"/>
    <w:rsid w:val="00ED586A"/>
    <w:rsid w:val="00ED5CA7"/>
    <w:rsid w:val="00ED5FC7"/>
    <w:rsid w:val="00ED6360"/>
    <w:rsid w:val="00ED63B7"/>
    <w:rsid w:val="00ED6974"/>
    <w:rsid w:val="00ED6BE9"/>
    <w:rsid w:val="00ED7289"/>
    <w:rsid w:val="00ED7B11"/>
    <w:rsid w:val="00ED7CB0"/>
    <w:rsid w:val="00EE022A"/>
    <w:rsid w:val="00EE0902"/>
    <w:rsid w:val="00EE0EF0"/>
    <w:rsid w:val="00EE0FCA"/>
    <w:rsid w:val="00EE1008"/>
    <w:rsid w:val="00EE1255"/>
    <w:rsid w:val="00EE133B"/>
    <w:rsid w:val="00EE13B3"/>
    <w:rsid w:val="00EE18B9"/>
    <w:rsid w:val="00EE1B2F"/>
    <w:rsid w:val="00EE1B50"/>
    <w:rsid w:val="00EE1DB8"/>
    <w:rsid w:val="00EE211C"/>
    <w:rsid w:val="00EE23C0"/>
    <w:rsid w:val="00EE26E5"/>
    <w:rsid w:val="00EE277B"/>
    <w:rsid w:val="00EE2B3B"/>
    <w:rsid w:val="00EE3155"/>
    <w:rsid w:val="00EE33BC"/>
    <w:rsid w:val="00EE38AE"/>
    <w:rsid w:val="00EE3A74"/>
    <w:rsid w:val="00EE4037"/>
    <w:rsid w:val="00EE4B9F"/>
    <w:rsid w:val="00EE4BFF"/>
    <w:rsid w:val="00EE4C61"/>
    <w:rsid w:val="00EE4E98"/>
    <w:rsid w:val="00EE4FE8"/>
    <w:rsid w:val="00EE5A91"/>
    <w:rsid w:val="00EE5B58"/>
    <w:rsid w:val="00EE5E80"/>
    <w:rsid w:val="00EE634B"/>
    <w:rsid w:val="00EE63DA"/>
    <w:rsid w:val="00EE6460"/>
    <w:rsid w:val="00EE692E"/>
    <w:rsid w:val="00EE6A63"/>
    <w:rsid w:val="00EE7109"/>
    <w:rsid w:val="00EE724D"/>
    <w:rsid w:val="00EE725E"/>
    <w:rsid w:val="00EE7266"/>
    <w:rsid w:val="00EE74D6"/>
    <w:rsid w:val="00EE79C4"/>
    <w:rsid w:val="00EE7F26"/>
    <w:rsid w:val="00EF025F"/>
    <w:rsid w:val="00EF0887"/>
    <w:rsid w:val="00EF0914"/>
    <w:rsid w:val="00EF0B73"/>
    <w:rsid w:val="00EF0CE1"/>
    <w:rsid w:val="00EF0EB6"/>
    <w:rsid w:val="00EF1E5C"/>
    <w:rsid w:val="00EF1F72"/>
    <w:rsid w:val="00EF1F9B"/>
    <w:rsid w:val="00EF2A39"/>
    <w:rsid w:val="00EF2F10"/>
    <w:rsid w:val="00EF2F4B"/>
    <w:rsid w:val="00EF33A8"/>
    <w:rsid w:val="00EF3449"/>
    <w:rsid w:val="00EF3C1D"/>
    <w:rsid w:val="00EF3F11"/>
    <w:rsid w:val="00EF3F49"/>
    <w:rsid w:val="00EF41AA"/>
    <w:rsid w:val="00EF445E"/>
    <w:rsid w:val="00EF45C8"/>
    <w:rsid w:val="00EF477D"/>
    <w:rsid w:val="00EF5082"/>
    <w:rsid w:val="00EF509B"/>
    <w:rsid w:val="00EF5404"/>
    <w:rsid w:val="00EF5691"/>
    <w:rsid w:val="00EF5880"/>
    <w:rsid w:val="00EF5D7C"/>
    <w:rsid w:val="00EF5F35"/>
    <w:rsid w:val="00EF65A6"/>
    <w:rsid w:val="00EF6868"/>
    <w:rsid w:val="00EF6B09"/>
    <w:rsid w:val="00EF71CA"/>
    <w:rsid w:val="00EF731D"/>
    <w:rsid w:val="00EF784E"/>
    <w:rsid w:val="00EF7A44"/>
    <w:rsid w:val="00EF7AA5"/>
    <w:rsid w:val="00EF7C75"/>
    <w:rsid w:val="00EF7E6A"/>
    <w:rsid w:val="00F00173"/>
    <w:rsid w:val="00F00677"/>
    <w:rsid w:val="00F00856"/>
    <w:rsid w:val="00F00C91"/>
    <w:rsid w:val="00F00D7E"/>
    <w:rsid w:val="00F01F4C"/>
    <w:rsid w:val="00F02188"/>
    <w:rsid w:val="00F02C11"/>
    <w:rsid w:val="00F03574"/>
    <w:rsid w:val="00F03787"/>
    <w:rsid w:val="00F03C85"/>
    <w:rsid w:val="00F041D0"/>
    <w:rsid w:val="00F04CDE"/>
    <w:rsid w:val="00F05681"/>
    <w:rsid w:val="00F0575D"/>
    <w:rsid w:val="00F05C8B"/>
    <w:rsid w:val="00F05CF2"/>
    <w:rsid w:val="00F06231"/>
    <w:rsid w:val="00F064EE"/>
    <w:rsid w:val="00F0697F"/>
    <w:rsid w:val="00F069B0"/>
    <w:rsid w:val="00F06C68"/>
    <w:rsid w:val="00F06D96"/>
    <w:rsid w:val="00F07A13"/>
    <w:rsid w:val="00F07EDC"/>
    <w:rsid w:val="00F10232"/>
    <w:rsid w:val="00F102F4"/>
    <w:rsid w:val="00F10F63"/>
    <w:rsid w:val="00F11161"/>
    <w:rsid w:val="00F11AA5"/>
    <w:rsid w:val="00F11C2C"/>
    <w:rsid w:val="00F11CBF"/>
    <w:rsid w:val="00F12607"/>
    <w:rsid w:val="00F12850"/>
    <w:rsid w:val="00F12934"/>
    <w:rsid w:val="00F12A27"/>
    <w:rsid w:val="00F12B60"/>
    <w:rsid w:val="00F12D3B"/>
    <w:rsid w:val="00F13261"/>
    <w:rsid w:val="00F13BEE"/>
    <w:rsid w:val="00F13C55"/>
    <w:rsid w:val="00F14448"/>
    <w:rsid w:val="00F1477D"/>
    <w:rsid w:val="00F148B7"/>
    <w:rsid w:val="00F14D36"/>
    <w:rsid w:val="00F14DE4"/>
    <w:rsid w:val="00F14E33"/>
    <w:rsid w:val="00F14EAD"/>
    <w:rsid w:val="00F150B7"/>
    <w:rsid w:val="00F15273"/>
    <w:rsid w:val="00F15581"/>
    <w:rsid w:val="00F157EA"/>
    <w:rsid w:val="00F15951"/>
    <w:rsid w:val="00F161CB"/>
    <w:rsid w:val="00F165F8"/>
    <w:rsid w:val="00F16F66"/>
    <w:rsid w:val="00F16F8A"/>
    <w:rsid w:val="00F1732B"/>
    <w:rsid w:val="00F176DB"/>
    <w:rsid w:val="00F17DCD"/>
    <w:rsid w:val="00F2031E"/>
    <w:rsid w:val="00F20B49"/>
    <w:rsid w:val="00F2127B"/>
    <w:rsid w:val="00F2174C"/>
    <w:rsid w:val="00F21CFE"/>
    <w:rsid w:val="00F21D06"/>
    <w:rsid w:val="00F224D9"/>
    <w:rsid w:val="00F2255B"/>
    <w:rsid w:val="00F2266C"/>
    <w:rsid w:val="00F2274F"/>
    <w:rsid w:val="00F22A6F"/>
    <w:rsid w:val="00F22C8A"/>
    <w:rsid w:val="00F22CBD"/>
    <w:rsid w:val="00F2319E"/>
    <w:rsid w:val="00F23B0E"/>
    <w:rsid w:val="00F23B75"/>
    <w:rsid w:val="00F23BA9"/>
    <w:rsid w:val="00F23CD8"/>
    <w:rsid w:val="00F23D89"/>
    <w:rsid w:val="00F24074"/>
    <w:rsid w:val="00F242F0"/>
    <w:rsid w:val="00F244B5"/>
    <w:rsid w:val="00F2487E"/>
    <w:rsid w:val="00F24C9A"/>
    <w:rsid w:val="00F24D9A"/>
    <w:rsid w:val="00F25860"/>
    <w:rsid w:val="00F25931"/>
    <w:rsid w:val="00F25983"/>
    <w:rsid w:val="00F260D4"/>
    <w:rsid w:val="00F265DC"/>
    <w:rsid w:val="00F26642"/>
    <w:rsid w:val="00F267D4"/>
    <w:rsid w:val="00F269B7"/>
    <w:rsid w:val="00F2713A"/>
    <w:rsid w:val="00F274EF"/>
    <w:rsid w:val="00F278C1"/>
    <w:rsid w:val="00F27D3E"/>
    <w:rsid w:val="00F30055"/>
    <w:rsid w:val="00F30579"/>
    <w:rsid w:val="00F30C8C"/>
    <w:rsid w:val="00F30CCD"/>
    <w:rsid w:val="00F3142D"/>
    <w:rsid w:val="00F3146D"/>
    <w:rsid w:val="00F3176F"/>
    <w:rsid w:val="00F322DD"/>
    <w:rsid w:val="00F323DD"/>
    <w:rsid w:val="00F324A6"/>
    <w:rsid w:val="00F3261F"/>
    <w:rsid w:val="00F3288D"/>
    <w:rsid w:val="00F3298D"/>
    <w:rsid w:val="00F32AFE"/>
    <w:rsid w:val="00F32E29"/>
    <w:rsid w:val="00F332C7"/>
    <w:rsid w:val="00F33474"/>
    <w:rsid w:val="00F335F8"/>
    <w:rsid w:val="00F33635"/>
    <w:rsid w:val="00F336B0"/>
    <w:rsid w:val="00F338E4"/>
    <w:rsid w:val="00F33B7D"/>
    <w:rsid w:val="00F342EB"/>
    <w:rsid w:val="00F3468A"/>
    <w:rsid w:val="00F34721"/>
    <w:rsid w:val="00F3496F"/>
    <w:rsid w:val="00F3571C"/>
    <w:rsid w:val="00F35B41"/>
    <w:rsid w:val="00F36143"/>
    <w:rsid w:val="00F3670C"/>
    <w:rsid w:val="00F36E96"/>
    <w:rsid w:val="00F37026"/>
    <w:rsid w:val="00F370A2"/>
    <w:rsid w:val="00F37906"/>
    <w:rsid w:val="00F37C6A"/>
    <w:rsid w:val="00F37ED5"/>
    <w:rsid w:val="00F40102"/>
    <w:rsid w:val="00F4037B"/>
    <w:rsid w:val="00F4074B"/>
    <w:rsid w:val="00F4130C"/>
    <w:rsid w:val="00F414A6"/>
    <w:rsid w:val="00F41543"/>
    <w:rsid w:val="00F41607"/>
    <w:rsid w:val="00F417FF"/>
    <w:rsid w:val="00F418D5"/>
    <w:rsid w:val="00F422EB"/>
    <w:rsid w:val="00F42321"/>
    <w:rsid w:val="00F42435"/>
    <w:rsid w:val="00F42586"/>
    <w:rsid w:val="00F4271B"/>
    <w:rsid w:val="00F42788"/>
    <w:rsid w:val="00F4283B"/>
    <w:rsid w:val="00F42868"/>
    <w:rsid w:val="00F42C8B"/>
    <w:rsid w:val="00F446CA"/>
    <w:rsid w:val="00F44896"/>
    <w:rsid w:val="00F450AE"/>
    <w:rsid w:val="00F450E0"/>
    <w:rsid w:val="00F454A1"/>
    <w:rsid w:val="00F455A0"/>
    <w:rsid w:val="00F456B8"/>
    <w:rsid w:val="00F45DCF"/>
    <w:rsid w:val="00F46099"/>
    <w:rsid w:val="00F46171"/>
    <w:rsid w:val="00F46565"/>
    <w:rsid w:val="00F46A7E"/>
    <w:rsid w:val="00F46F1F"/>
    <w:rsid w:val="00F47014"/>
    <w:rsid w:val="00F4744C"/>
    <w:rsid w:val="00F474B6"/>
    <w:rsid w:val="00F4772A"/>
    <w:rsid w:val="00F479D0"/>
    <w:rsid w:val="00F50429"/>
    <w:rsid w:val="00F508A7"/>
    <w:rsid w:val="00F50BDE"/>
    <w:rsid w:val="00F5100C"/>
    <w:rsid w:val="00F5128B"/>
    <w:rsid w:val="00F51357"/>
    <w:rsid w:val="00F51397"/>
    <w:rsid w:val="00F513CC"/>
    <w:rsid w:val="00F51A46"/>
    <w:rsid w:val="00F51B22"/>
    <w:rsid w:val="00F51BD8"/>
    <w:rsid w:val="00F51E93"/>
    <w:rsid w:val="00F51F79"/>
    <w:rsid w:val="00F51FAA"/>
    <w:rsid w:val="00F522DD"/>
    <w:rsid w:val="00F523D6"/>
    <w:rsid w:val="00F52B81"/>
    <w:rsid w:val="00F52BB4"/>
    <w:rsid w:val="00F52E22"/>
    <w:rsid w:val="00F52F05"/>
    <w:rsid w:val="00F5301E"/>
    <w:rsid w:val="00F53023"/>
    <w:rsid w:val="00F53251"/>
    <w:rsid w:val="00F534B5"/>
    <w:rsid w:val="00F53514"/>
    <w:rsid w:val="00F53C14"/>
    <w:rsid w:val="00F5407D"/>
    <w:rsid w:val="00F546F7"/>
    <w:rsid w:val="00F54B36"/>
    <w:rsid w:val="00F552F2"/>
    <w:rsid w:val="00F55C39"/>
    <w:rsid w:val="00F55D6C"/>
    <w:rsid w:val="00F56BD1"/>
    <w:rsid w:val="00F56C59"/>
    <w:rsid w:val="00F56C86"/>
    <w:rsid w:val="00F571D2"/>
    <w:rsid w:val="00F57533"/>
    <w:rsid w:val="00F57A7E"/>
    <w:rsid w:val="00F57C0F"/>
    <w:rsid w:val="00F57F87"/>
    <w:rsid w:val="00F60432"/>
    <w:rsid w:val="00F60587"/>
    <w:rsid w:val="00F60862"/>
    <w:rsid w:val="00F608D4"/>
    <w:rsid w:val="00F60CF5"/>
    <w:rsid w:val="00F6109F"/>
    <w:rsid w:val="00F611C2"/>
    <w:rsid w:val="00F61405"/>
    <w:rsid w:val="00F61536"/>
    <w:rsid w:val="00F6169F"/>
    <w:rsid w:val="00F619AA"/>
    <w:rsid w:val="00F61A00"/>
    <w:rsid w:val="00F61C6E"/>
    <w:rsid w:val="00F61D19"/>
    <w:rsid w:val="00F61E78"/>
    <w:rsid w:val="00F6229C"/>
    <w:rsid w:val="00F62757"/>
    <w:rsid w:val="00F62861"/>
    <w:rsid w:val="00F62995"/>
    <w:rsid w:val="00F62BEB"/>
    <w:rsid w:val="00F62C75"/>
    <w:rsid w:val="00F62DD8"/>
    <w:rsid w:val="00F630E4"/>
    <w:rsid w:val="00F631CE"/>
    <w:rsid w:val="00F6378D"/>
    <w:rsid w:val="00F63836"/>
    <w:rsid w:val="00F63B81"/>
    <w:rsid w:val="00F63B90"/>
    <w:rsid w:val="00F64330"/>
    <w:rsid w:val="00F64C0D"/>
    <w:rsid w:val="00F64C23"/>
    <w:rsid w:val="00F64F84"/>
    <w:rsid w:val="00F6522C"/>
    <w:rsid w:val="00F6578E"/>
    <w:rsid w:val="00F6579A"/>
    <w:rsid w:val="00F659DD"/>
    <w:rsid w:val="00F65B77"/>
    <w:rsid w:val="00F65CF5"/>
    <w:rsid w:val="00F65E41"/>
    <w:rsid w:val="00F65FE3"/>
    <w:rsid w:val="00F6606A"/>
    <w:rsid w:val="00F66076"/>
    <w:rsid w:val="00F660DE"/>
    <w:rsid w:val="00F66575"/>
    <w:rsid w:val="00F66BFD"/>
    <w:rsid w:val="00F6710D"/>
    <w:rsid w:val="00F67238"/>
    <w:rsid w:val="00F673AF"/>
    <w:rsid w:val="00F67BC7"/>
    <w:rsid w:val="00F7079D"/>
    <w:rsid w:val="00F70A3F"/>
    <w:rsid w:val="00F70F1C"/>
    <w:rsid w:val="00F716CE"/>
    <w:rsid w:val="00F71CD6"/>
    <w:rsid w:val="00F71F73"/>
    <w:rsid w:val="00F72019"/>
    <w:rsid w:val="00F72376"/>
    <w:rsid w:val="00F734E9"/>
    <w:rsid w:val="00F735A2"/>
    <w:rsid w:val="00F73A7D"/>
    <w:rsid w:val="00F74674"/>
    <w:rsid w:val="00F74712"/>
    <w:rsid w:val="00F74769"/>
    <w:rsid w:val="00F74DB0"/>
    <w:rsid w:val="00F74E1A"/>
    <w:rsid w:val="00F74E77"/>
    <w:rsid w:val="00F7539E"/>
    <w:rsid w:val="00F755F5"/>
    <w:rsid w:val="00F757FA"/>
    <w:rsid w:val="00F75A00"/>
    <w:rsid w:val="00F75BA0"/>
    <w:rsid w:val="00F75D7C"/>
    <w:rsid w:val="00F75DD9"/>
    <w:rsid w:val="00F764FB"/>
    <w:rsid w:val="00F77179"/>
    <w:rsid w:val="00F7774C"/>
    <w:rsid w:val="00F77DC0"/>
    <w:rsid w:val="00F77DD3"/>
    <w:rsid w:val="00F77F02"/>
    <w:rsid w:val="00F8017D"/>
    <w:rsid w:val="00F80407"/>
    <w:rsid w:val="00F8094D"/>
    <w:rsid w:val="00F8099B"/>
    <w:rsid w:val="00F80B35"/>
    <w:rsid w:val="00F812DD"/>
    <w:rsid w:val="00F819EC"/>
    <w:rsid w:val="00F82125"/>
    <w:rsid w:val="00F826E5"/>
    <w:rsid w:val="00F82BA4"/>
    <w:rsid w:val="00F82CAD"/>
    <w:rsid w:val="00F8331E"/>
    <w:rsid w:val="00F833D8"/>
    <w:rsid w:val="00F83E0E"/>
    <w:rsid w:val="00F83E26"/>
    <w:rsid w:val="00F83FD0"/>
    <w:rsid w:val="00F840FF"/>
    <w:rsid w:val="00F84101"/>
    <w:rsid w:val="00F8438F"/>
    <w:rsid w:val="00F848A2"/>
    <w:rsid w:val="00F84B1E"/>
    <w:rsid w:val="00F84F51"/>
    <w:rsid w:val="00F850DC"/>
    <w:rsid w:val="00F85252"/>
    <w:rsid w:val="00F859EC"/>
    <w:rsid w:val="00F85B5E"/>
    <w:rsid w:val="00F8606D"/>
    <w:rsid w:val="00F86079"/>
    <w:rsid w:val="00F861A8"/>
    <w:rsid w:val="00F86439"/>
    <w:rsid w:val="00F8655C"/>
    <w:rsid w:val="00F865A2"/>
    <w:rsid w:val="00F867D7"/>
    <w:rsid w:val="00F8686A"/>
    <w:rsid w:val="00F86D9E"/>
    <w:rsid w:val="00F875D2"/>
    <w:rsid w:val="00F8761D"/>
    <w:rsid w:val="00F8796E"/>
    <w:rsid w:val="00F87F36"/>
    <w:rsid w:val="00F9062C"/>
    <w:rsid w:val="00F90E8C"/>
    <w:rsid w:val="00F91057"/>
    <w:rsid w:val="00F9124C"/>
    <w:rsid w:val="00F912C1"/>
    <w:rsid w:val="00F91791"/>
    <w:rsid w:val="00F91844"/>
    <w:rsid w:val="00F91923"/>
    <w:rsid w:val="00F91FA9"/>
    <w:rsid w:val="00F92728"/>
    <w:rsid w:val="00F9288C"/>
    <w:rsid w:val="00F92908"/>
    <w:rsid w:val="00F92980"/>
    <w:rsid w:val="00F92A47"/>
    <w:rsid w:val="00F92A8F"/>
    <w:rsid w:val="00F92BE1"/>
    <w:rsid w:val="00F92D29"/>
    <w:rsid w:val="00F92E1D"/>
    <w:rsid w:val="00F931EF"/>
    <w:rsid w:val="00F932BC"/>
    <w:rsid w:val="00F932F2"/>
    <w:rsid w:val="00F9348A"/>
    <w:rsid w:val="00F93806"/>
    <w:rsid w:val="00F93C38"/>
    <w:rsid w:val="00F93D30"/>
    <w:rsid w:val="00F93EC0"/>
    <w:rsid w:val="00F941F1"/>
    <w:rsid w:val="00F943F6"/>
    <w:rsid w:val="00F94D12"/>
    <w:rsid w:val="00F94E52"/>
    <w:rsid w:val="00F95B47"/>
    <w:rsid w:val="00F96047"/>
    <w:rsid w:val="00F960C9"/>
    <w:rsid w:val="00F962CA"/>
    <w:rsid w:val="00F96395"/>
    <w:rsid w:val="00F966BE"/>
    <w:rsid w:val="00F9676B"/>
    <w:rsid w:val="00F96DFC"/>
    <w:rsid w:val="00F97115"/>
    <w:rsid w:val="00F976E8"/>
    <w:rsid w:val="00F97A52"/>
    <w:rsid w:val="00F97E7D"/>
    <w:rsid w:val="00FA00FB"/>
    <w:rsid w:val="00FA02AD"/>
    <w:rsid w:val="00FA02B3"/>
    <w:rsid w:val="00FA08A9"/>
    <w:rsid w:val="00FA1329"/>
    <w:rsid w:val="00FA1B22"/>
    <w:rsid w:val="00FA1F67"/>
    <w:rsid w:val="00FA242E"/>
    <w:rsid w:val="00FA2BC3"/>
    <w:rsid w:val="00FA2C2C"/>
    <w:rsid w:val="00FA2D55"/>
    <w:rsid w:val="00FA3075"/>
    <w:rsid w:val="00FA3236"/>
    <w:rsid w:val="00FA3FD2"/>
    <w:rsid w:val="00FA42BA"/>
    <w:rsid w:val="00FA47DA"/>
    <w:rsid w:val="00FA4AF9"/>
    <w:rsid w:val="00FA4B86"/>
    <w:rsid w:val="00FA53C8"/>
    <w:rsid w:val="00FA563A"/>
    <w:rsid w:val="00FA56D9"/>
    <w:rsid w:val="00FA5986"/>
    <w:rsid w:val="00FA5C82"/>
    <w:rsid w:val="00FA6AF9"/>
    <w:rsid w:val="00FA71F8"/>
    <w:rsid w:val="00FA76FC"/>
    <w:rsid w:val="00FA78D5"/>
    <w:rsid w:val="00FA7BD7"/>
    <w:rsid w:val="00FA7D45"/>
    <w:rsid w:val="00FA7D81"/>
    <w:rsid w:val="00FB0236"/>
    <w:rsid w:val="00FB0CA6"/>
    <w:rsid w:val="00FB0EEA"/>
    <w:rsid w:val="00FB1128"/>
    <w:rsid w:val="00FB1835"/>
    <w:rsid w:val="00FB18B2"/>
    <w:rsid w:val="00FB1A15"/>
    <w:rsid w:val="00FB1B3E"/>
    <w:rsid w:val="00FB20E6"/>
    <w:rsid w:val="00FB2275"/>
    <w:rsid w:val="00FB24F8"/>
    <w:rsid w:val="00FB25AD"/>
    <w:rsid w:val="00FB267C"/>
    <w:rsid w:val="00FB2730"/>
    <w:rsid w:val="00FB2864"/>
    <w:rsid w:val="00FB28EE"/>
    <w:rsid w:val="00FB2B58"/>
    <w:rsid w:val="00FB3232"/>
    <w:rsid w:val="00FB33E9"/>
    <w:rsid w:val="00FB33EF"/>
    <w:rsid w:val="00FB39B7"/>
    <w:rsid w:val="00FB3DEB"/>
    <w:rsid w:val="00FB3E3E"/>
    <w:rsid w:val="00FB4035"/>
    <w:rsid w:val="00FB41A5"/>
    <w:rsid w:val="00FB46AD"/>
    <w:rsid w:val="00FB4A14"/>
    <w:rsid w:val="00FB4AD5"/>
    <w:rsid w:val="00FB4C10"/>
    <w:rsid w:val="00FB5348"/>
    <w:rsid w:val="00FB579D"/>
    <w:rsid w:val="00FB57CA"/>
    <w:rsid w:val="00FB5A03"/>
    <w:rsid w:val="00FB5B8A"/>
    <w:rsid w:val="00FB6093"/>
    <w:rsid w:val="00FB61DD"/>
    <w:rsid w:val="00FB62F1"/>
    <w:rsid w:val="00FB6DF4"/>
    <w:rsid w:val="00FB6E0B"/>
    <w:rsid w:val="00FB7107"/>
    <w:rsid w:val="00FB7109"/>
    <w:rsid w:val="00FB7555"/>
    <w:rsid w:val="00FB75C3"/>
    <w:rsid w:val="00FB7849"/>
    <w:rsid w:val="00FC0136"/>
    <w:rsid w:val="00FC04CC"/>
    <w:rsid w:val="00FC09CE"/>
    <w:rsid w:val="00FC0A1C"/>
    <w:rsid w:val="00FC0D90"/>
    <w:rsid w:val="00FC0F8C"/>
    <w:rsid w:val="00FC11A8"/>
    <w:rsid w:val="00FC150F"/>
    <w:rsid w:val="00FC15F7"/>
    <w:rsid w:val="00FC172F"/>
    <w:rsid w:val="00FC17FF"/>
    <w:rsid w:val="00FC1940"/>
    <w:rsid w:val="00FC1BCD"/>
    <w:rsid w:val="00FC23C1"/>
    <w:rsid w:val="00FC240C"/>
    <w:rsid w:val="00FC2654"/>
    <w:rsid w:val="00FC290A"/>
    <w:rsid w:val="00FC2A26"/>
    <w:rsid w:val="00FC2BBE"/>
    <w:rsid w:val="00FC2C9A"/>
    <w:rsid w:val="00FC30EC"/>
    <w:rsid w:val="00FC35B2"/>
    <w:rsid w:val="00FC3656"/>
    <w:rsid w:val="00FC3740"/>
    <w:rsid w:val="00FC3B21"/>
    <w:rsid w:val="00FC3F6C"/>
    <w:rsid w:val="00FC4194"/>
    <w:rsid w:val="00FC4490"/>
    <w:rsid w:val="00FC4AD4"/>
    <w:rsid w:val="00FC4C15"/>
    <w:rsid w:val="00FC4D60"/>
    <w:rsid w:val="00FC55BE"/>
    <w:rsid w:val="00FC6503"/>
    <w:rsid w:val="00FC6BF4"/>
    <w:rsid w:val="00FC6E86"/>
    <w:rsid w:val="00FD02A9"/>
    <w:rsid w:val="00FD0825"/>
    <w:rsid w:val="00FD0AA5"/>
    <w:rsid w:val="00FD107C"/>
    <w:rsid w:val="00FD1319"/>
    <w:rsid w:val="00FD14C0"/>
    <w:rsid w:val="00FD1C54"/>
    <w:rsid w:val="00FD1C6A"/>
    <w:rsid w:val="00FD275A"/>
    <w:rsid w:val="00FD27EE"/>
    <w:rsid w:val="00FD2880"/>
    <w:rsid w:val="00FD2990"/>
    <w:rsid w:val="00FD2E5B"/>
    <w:rsid w:val="00FD30CB"/>
    <w:rsid w:val="00FD316F"/>
    <w:rsid w:val="00FD3397"/>
    <w:rsid w:val="00FD42AD"/>
    <w:rsid w:val="00FD4774"/>
    <w:rsid w:val="00FD4E64"/>
    <w:rsid w:val="00FD51A1"/>
    <w:rsid w:val="00FD528A"/>
    <w:rsid w:val="00FD52FD"/>
    <w:rsid w:val="00FD5483"/>
    <w:rsid w:val="00FD5591"/>
    <w:rsid w:val="00FD5644"/>
    <w:rsid w:val="00FD5AAB"/>
    <w:rsid w:val="00FD5D70"/>
    <w:rsid w:val="00FD5E26"/>
    <w:rsid w:val="00FD5E72"/>
    <w:rsid w:val="00FD60C7"/>
    <w:rsid w:val="00FD6537"/>
    <w:rsid w:val="00FD698B"/>
    <w:rsid w:val="00FD6B00"/>
    <w:rsid w:val="00FD6CDA"/>
    <w:rsid w:val="00FD6CE2"/>
    <w:rsid w:val="00FD6EAC"/>
    <w:rsid w:val="00FD7503"/>
    <w:rsid w:val="00FD7715"/>
    <w:rsid w:val="00FD77EB"/>
    <w:rsid w:val="00FD7892"/>
    <w:rsid w:val="00FD7C46"/>
    <w:rsid w:val="00FD7DE3"/>
    <w:rsid w:val="00FD7FAA"/>
    <w:rsid w:val="00FE0245"/>
    <w:rsid w:val="00FE0275"/>
    <w:rsid w:val="00FE02BA"/>
    <w:rsid w:val="00FE02F4"/>
    <w:rsid w:val="00FE03A5"/>
    <w:rsid w:val="00FE0478"/>
    <w:rsid w:val="00FE0548"/>
    <w:rsid w:val="00FE06E2"/>
    <w:rsid w:val="00FE0954"/>
    <w:rsid w:val="00FE0C70"/>
    <w:rsid w:val="00FE0E6E"/>
    <w:rsid w:val="00FE0F32"/>
    <w:rsid w:val="00FE1A49"/>
    <w:rsid w:val="00FE1A7D"/>
    <w:rsid w:val="00FE1E00"/>
    <w:rsid w:val="00FE2790"/>
    <w:rsid w:val="00FE2939"/>
    <w:rsid w:val="00FE2B44"/>
    <w:rsid w:val="00FE2C18"/>
    <w:rsid w:val="00FE30FB"/>
    <w:rsid w:val="00FE32F9"/>
    <w:rsid w:val="00FE394F"/>
    <w:rsid w:val="00FE3BE0"/>
    <w:rsid w:val="00FE42BA"/>
    <w:rsid w:val="00FE4A08"/>
    <w:rsid w:val="00FE4A23"/>
    <w:rsid w:val="00FE4AAD"/>
    <w:rsid w:val="00FE4B04"/>
    <w:rsid w:val="00FE4D22"/>
    <w:rsid w:val="00FE4E29"/>
    <w:rsid w:val="00FE5003"/>
    <w:rsid w:val="00FE5160"/>
    <w:rsid w:val="00FE5330"/>
    <w:rsid w:val="00FE58DB"/>
    <w:rsid w:val="00FE5905"/>
    <w:rsid w:val="00FE6385"/>
    <w:rsid w:val="00FE65A1"/>
    <w:rsid w:val="00FE6A00"/>
    <w:rsid w:val="00FE6EAF"/>
    <w:rsid w:val="00FE7158"/>
    <w:rsid w:val="00FE7183"/>
    <w:rsid w:val="00FE7372"/>
    <w:rsid w:val="00FE738D"/>
    <w:rsid w:val="00FE7EC3"/>
    <w:rsid w:val="00FF0003"/>
    <w:rsid w:val="00FF0329"/>
    <w:rsid w:val="00FF05EC"/>
    <w:rsid w:val="00FF073E"/>
    <w:rsid w:val="00FF0C8E"/>
    <w:rsid w:val="00FF0E61"/>
    <w:rsid w:val="00FF0E8C"/>
    <w:rsid w:val="00FF1017"/>
    <w:rsid w:val="00FF1254"/>
    <w:rsid w:val="00FF13F0"/>
    <w:rsid w:val="00FF189F"/>
    <w:rsid w:val="00FF1AB7"/>
    <w:rsid w:val="00FF1E3F"/>
    <w:rsid w:val="00FF1E5B"/>
    <w:rsid w:val="00FF22E6"/>
    <w:rsid w:val="00FF2303"/>
    <w:rsid w:val="00FF2414"/>
    <w:rsid w:val="00FF24D5"/>
    <w:rsid w:val="00FF2642"/>
    <w:rsid w:val="00FF26FD"/>
    <w:rsid w:val="00FF29EF"/>
    <w:rsid w:val="00FF2D45"/>
    <w:rsid w:val="00FF2ECA"/>
    <w:rsid w:val="00FF3589"/>
    <w:rsid w:val="00FF377E"/>
    <w:rsid w:val="00FF3920"/>
    <w:rsid w:val="00FF3AAD"/>
    <w:rsid w:val="00FF405A"/>
    <w:rsid w:val="00FF4295"/>
    <w:rsid w:val="00FF4930"/>
    <w:rsid w:val="00FF4F7E"/>
    <w:rsid w:val="00FF5006"/>
    <w:rsid w:val="00FF594D"/>
    <w:rsid w:val="00FF5AFF"/>
    <w:rsid w:val="00FF5C05"/>
    <w:rsid w:val="00FF64D0"/>
    <w:rsid w:val="00FF6C65"/>
    <w:rsid w:val="00FF6DFD"/>
    <w:rsid w:val="00FF6F8B"/>
    <w:rsid w:val="00FF73E5"/>
    <w:rsid w:val="00FF7810"/>
    <w:rsid w:val="00FF78E4"/>
    <w:rsid w:val="00FF7956"/>
    <w:rsid w:val="00FF7A44"/>
    <w:rsid w:val="010E06F0"/>
    <w:rsid w:val="011D4840"/>
    <w:rsid w:val="0176195C"/>
    <w:rsid w:val="01A63A8A"/>
    <w:rsid w:val="01BA6370"/>
    <w:rsid w:val="01D1559F"/>
    <w:rsid w:val="02215E74"/>
    <w:rsid w:val="02247BD9"/>
    <w:rsid w:val="024C63DE"/>
    <w:rsid w:val="025C05E3"/>
    <w:rsid w:val="026551B3"/>
    <w:rsid w:val="027C5111"/>
    <w:rsid w:val="02CC71D8"/>
    <w:rsid w:val="02CF6DB0"/>
    <w:rsid w:val="02E62B9E"/>
    <w:rsid w:val="02FD0232"/>
    <w:rsid w:val="039327D7"/>
    <w:rsid w:val="03A036D8"/>
    <w:rsid w:val="03A56822"/>
    <w:rsid w:val="03B54AD9"/>
    <w:rsid w:val="03F02033"/>
    <w:rsid w:val="04043E73"/>
    <w:rsid w:val="042C0C92"/>
    <w:rsid w:val="04BE7A05"/>
    <w:rsid w:val="053A1A39"/>
    <w:rsid w:val="053E595E"/>
    <w:rsid w:val="05660E60"/>
    <w:rsid w:val="0596395E"/>
    <w:rsid w:val="059A5B0E"/>
    <w:rsid w:val="05B74B3A"/>
    <w:rsid w:val="05BC5B15"/>
    <w:rsid w:val="05C30F17"/>
    <w:rsid w:val="060C511C"/>
    <w:rsid w:val="06160DDD"/>
    <w:rsid w:val="063319D5"/>
    <w:rsid w:val="06665711"/>
    <w:rsid w:val="06880378"/>
    <w:rsid w:val="06E5651B"/>
    <w:rsid w:val="06E87A8E"/>
    <w:rsid w:val="070370E8"/>
    <w:rsid w:val="070B097B"/>
    <w:rsid w:val="07151D79"/>
    <w:rsid w:val="071C71FE"/>
    <w:rsid w:val="07341F8D"/>
    <w:rsid w:val="07484206"/>
    <w:rsid w:val="075B370D"/>
    <w:rsid w:val="075D4E5C"/>
    <w:rsid w:val="07710908"/>
    <w:rsid w:val="080C4C4A"/>
    <w:rsid w:val="082E7EF3"/>
    <w:rsid w:val="08457021"/>
    <w:rsid w:val="0879327F"/>
    <w:rsid w:val="09242CC4"/>
    <w:rsid w:val="09544F03"/>
    <w:rsid w:val="098032F7"/>
    <w:rsid w:val="09926E4D"/>
    <w:rsid w:val="09DA6CF5"/>
    <w:rsid w:val="0A2A62B8"/>
    <w:rsid w:val="0A6502DE"/>
    <w:rsid w:val="0A8715A7"/>
    <w:rsid w:val="0AE67B5D"/>
    <w:rsid w:val="0B0E362B"/>
    <w:rsid w:val="0B1E16C7"/>
    <w:rsid w:val="0B377BDA"/>
    <w:rsid w:val="0B4446D9"/>
    <w:rsid w:val="0B750B7D"/>
    <w:rsid w:val="0B7C3824"/>
    <w:rsid w:val="0BC25A20"/>
    <w:rsid w:val="0BD90ABC"/>
    <w:rsid w:val="0BFE6104"/>
    <w:rsid w:val="0C68195B"/>
    <w:rsid w:val="0C697691"/>
    <w:rsid w:val="0CE970EE"/>
    <w:rsid w:val="0D005D70"/>
    <w:rsid w:val="0D50214F"/>
    <w:rsid w:val="0D5C327A"/>
    <w:rsid w:val="0D781572"/>
    <w:rsid w:val="0D8C0564"/>
    <w:rsid w:val="0DF145F9"/>
    <w:rsid w:val="0E066F0E"/>
    <w:rsid w:val="0E3C740D"/>
    <w:rsid w:val="0E540111"/>
    <w:rsid w:val="0E6C44CD"/>
    <w:rsid w:val="0EB30C03"/>
    <w:rsid w:val="0EC55A66"/>
    <w:rsid w:val="0EFE608A"/>
    <w:rsid w:val="0F1C2F2E"/>
    <w:rsid w:val="0F854004"/>
    <w:rsid w:val="0F9250AC"/>
    <w:rsid w:val="0FE63AC6"/>
    <w:rsid w:val="10211382"/>
    <w:rsid w:val="102B6CCC"/>
    <w:rsid w:val="10631102"/>
    <w:rsid w:val="106A057A"/>
    <w:rsid w:val="10774888"/>
    <w:rsid w:val="109769C0"/>
    <w:rsid w:val="10CD30F7"/>
    <w:rsid w:val="10D66C12"/>
    <w:rsid w:val="10F25629"/>
    <w:rsid w:val="10FB5165"/>
    <w:rsid w:val="115300D0"/>
    <w:rsid w:val="116A72C4"/>
    <w:rsid w:val="116F0A85"/>
    <w:rsid w:val="1199220D"/>
    <w:rsid w:val="11B5102E"/>
    <w:rsid w:val="11FD002B"/>
    <w:rsid w:val="1223785E"/>
    <w:rsid w:val="123D6AF0"/>
    <w:rsid w:val="128D66E5"/>
    <w:rsid w:val="12E43169"/>
    <w:rsid w:val="12E640FF"/>
    <w:rsid w:val="13054F41"/>
    <w:rsid w:val="132A11B2"/>
    <w:rsid w:val="132B04DA"/>
    <w:rsid w:val="13764894"/>
    <w:rsid w:val="138675FB"/>
    <w:rsid w:val="13C84D9A"/>
    <w:rsid w:val="14011F59"/>
    <w:rsid w:val="14063CD2"/>
    <w:rsid w:val="140878F7"/>
    <w:rsid w:val="14175551"/>
    <w:rsid w:val="14295707"/>
    <w:rsid w:val="143E0678"/>
    <w:rsid w:val="144700B6"/>
    <w:rsid w:val="14745313"/>
    <w:rsid w:val="1479384A"/>
    <w:rsid w:val="14EA79EA"/>
    <w:rsid w:val="150753F0"/>
    <w:rsid w:val="15425B46"/>
    <w:rsid w:val="154A365B"/>
    <w:rsid w:val="154D2649"/>
    <w:rsid w:val="156A6884"/>
    <w:rsid w:val="157D1C3C"/>
    <w:rsid w:val="158057A4"/>
    <w:rsid w:val="158426D2"/>
    <w:rsid w:val="15923E86"/>
    <w:rsid w:val="159D448B"/>
    <w:rsid w:val="15B45B3C"/>
    <w:rsid w:val="15EA60AA"/>
    <w:rsid w:val="15F252DD"/>
    <w:rsid w:val="160B7A08"/>
    <w:rsid w:val="162A2EB3"/>
    <w:rsid w:val="1662403C"/>
    <w:rsid w:val="167D4070"/>
    <w:rsid w:val="16B26FFE"/>
    <w:rsid w:val="16D63468"/>
    <w:rsid w:val="16F212BE"/>
    <w:rsid w:val="17206E54"/>
    <w:rsid w:val="174A65ED"/>
    <w:rsid w:val="17D20906"/>
    <w:rsid w:val="17D872AB"/>
    <w:rsid w:val="17E626A8"/>
    <w:rsid w:val="18036F32"/>
    <w:rsid w:val="182176E8"/>
    <w:rsid w:val="1897661B"/>
    <w:rsid w:val="18B268B5"/>
    <w:rsid w:val="18CF06A6"/>
    <w:rsid w:val="1968243D"/>
    <w:rsid w:val="19756F88"/>
    <w:rsid w:val="197E1FAD"/>
    <w:rsid w:val="198B0472"/>
    <w:rsid w:val="19AE7BF0"/>
    <w:rsid w:val="19BB2C65"/>
    <w:rsid w:val="19CD55BD"/>
    <w:rsid w:val="19E10B61"/>
    <w:rsid w:val="1A413313"/>
    <w:rsid w:val="1A5018AD"/>
    <w:rsid w:val="1A5F7C1A"/>
    <w:rsid w:val="1A6431B3"/>
    <w:rsid w:val="1A696AB9"/>
    <w:rsid w:val="1A792811"/>
    <w:rsid w:val="1AC354A9"/>
    <w:rsid w:val="1AC474F7"/>
    <w:rsid w:val="1B2B47FA"/>
    <w:rsid w:val="1B3D2EBC"/>
    <w:rsid w:val="1B433DDD"/>
    <w:rsid w:val="1B5C7137"/>
    <w:rsid w:val="1B773E6F"/>
    <w:rsid w:val="1BA47F3F"/>
    <w:rsid w:val="1BC3436D"/>
    <w:rsid w:val="1BCB24E9"/>
    <w:rsid w:val="1BD162D1"/>
    <w:rsid w:val="1BD26F48"/>
    <w:rsid w:val="1C011996"/>
    <w:rsid w:val="1C0342C0"/>
    <w:rsid w:val="1C0946AC"/>
    <w:rsid w:val="1C2122FD"/>
    <w:rsid w:val="1C765378"/>
    <w:rsid w:val="1CA95615"/>
    <w:rsid w:val="1CB96991"/>
    <w:rsid w:val="1CD61F11"/>
    <w:rsid w:val="1CD9785E"/>
    <w:rsid w:val="1CF9550D"/>
    <w:rsid w:val="1D1E410F"/>
    <w:rsid w:val="1D4A7E9E"/>
    <w:rsid w:val="1D6B7BA0"/>
    <w:rsid w:val="1DAA2454"/>
    <w:rsid w:val="1DBE44DB"/>
    <w:rsid w:val="1DCA7B96"/>
    <w:rsid w:val="1DF4721B"/>
    <w:rsid w:val="1E2A3959"/>
    <w:rsid w:val="1E3A522C"/>
    <w:rsid w:val="1E4565DD"/>
    <w:rsid w:val="1E587CAE"/>
    <w:rsid w:val="1E820F29"/>
    <w:rsid w:val="1E8643DF"/>
    <w:rsid w:val="1E866F97"/>
    <w:rsid w:val="1E8E5C1E"/>
    <w:rsid w:val="1EC81B9A"/>
    <w:rsid w:val="1EF60076"/>
    <w:rsid w:val="1EFA58E7"/>
    <w:rsid w:val="1F0077FF"/>
    <w:rsid w:val="1F2229B1"/>
    <w:rsid w:val="1F3F258F"/>
    <w:rsid w:val="1F906371"/>
    <w:rsid w:val="1F9C3F81"/>
    <w:rsid w:val="1F9C7E50"/>
    <w:rsid w:val="1FA35C31"/>
    <w:rsid w:val="201E2675"/>
    <w:rsid w:val="202C459A"/>
    <w:rsid w:val="204415BC"/>
    <w:rsid w:val="204674E9"/>
    <w:rsid w:val="20614BAA"/>
    <w:rsid w:val="207D3D14"/>
    <w:rsid w:val="20A4299F"/>
    <w:rsid w:val="20A84061"/>
    <w:rsid w:val="210710ED"/>
    <w:rsid w:val="211B395F"/>
    <w:rsid w:val="21452E3A"/>
    <w:rsid w:val="215B0EA4"/>
    <w:rsid w:val="21770891"/>
    <w:rsid w:val="21AA1DD5"/>
    <w:rsid w:val="21C504BD"/>
    <w:rsid w:val="21DA71B4"/>
    <w:rsid w:val="220A24B9"/>
    <w:rsid w:val="221B2F81"/>
    <w:rsid w:val="2249164F"/>
    <w:rsid w:val="22A53EBB"/>
    <w:rsid w:val="22AC77B2"/>
    <w:rsid w:val="22CD619C"/>
    <w:rsid w:val="22D94D57"/>
    <w:rsid w:val="22E24538"/>
    <w:rsid w:val="22E63564"/>
    <w:rsid w:val="23201435"/>
    <w:rsid w:val="23423E37"/>
    <w:rsid w:val="234C7AA0"/>
    <w:rsid w:val="236727F3"/>
    <w:rsid w:val="239039F3"/>
    <w:rsid w:val="23B1045A"/>
    <w:rsid w:val="23CC1C94"/>
    <w:rsid w:val="23CD4A35"/>
    <w:rsid w:val="23D04C9C"/>
    <w:rsid w:val="23EF0D09"/>
    <w:rsid w:val="24131137"/>
    <w:rsid w:val="24542CB7"/>
    <w:rsid w:val="24CE6187"/>
    <w:rsid w:val="24D31F98"/>
    <w:rsid w:val="24D451BF"/>
    <w:rsid w:val="24D96ACF"/>
    <w:rsid w:val="24E811A0"/>
    <w:rsid w:val="25270A19"/>
    <w:rsid w:val="253E3CF5"/>
    <w:rsid w:val="255165F9"/>
    <w:rsid w:val="258B2864"/>
    <w:rsid w:val="259376F2"/>
    <w:rsid w:val="25E32663"/>
    <w:rsid w:val="26631700"/>
    <w:rsid w:val="26744675"/>
    <w:rsid w:val="267B753D"/>
    <w:rsid w:val="267E1A8F"/>
    <w:rsid w:val="26A20E60"/>
    <w:rsid w:val="26BB17A1"/>
    <w:rsid w:val="2700080D"/>
    <w:rsid w:val="27333A35"/>
    <w:rsid w:val="279E4FF2"/>
    <w:rsid w:val="27AF145E"/>
    <w:rsid w:val="27C75ABF"/>
    <w:rsid w:val="27CD01FC"/>
    <w:rsid w:val="281A7F7E"/>
    <w:rsid w:val="282835C4"/>
    <w:rsid w:val="2833270A"/>
    <w:rsid w:val="287F1D78"/>
    <w:rsid w:val="2891171B"/>
    <w:rsid w:val="28964DAD"/>
    <w:rsid w:val="28AC4F45"/>
    <w:rsid w:val="28B138BB"/>
    <w:rsid w:val="2918216C"/>
    <w:rsid w:val="292358FF"/>
    <w:rsid w:val="29A94F7B"/>
    <w:rsid w:val="29BE15CE"/>
    <w:rsid w:val="2A0F7D6A"/>
    <w:rsid w:val="2A10164B"/>
    <w:rsid w:val="2A16697C"/>
    <w:rsid w:val="2A227B4D"/>
    <w:rsid w:val="2A2E77DA"/>
    <w:rsid w:val="2A6341A8"/>
    <w:rsid w:val="2AE10D6A"/>
    <w:rsid w:val="2AF33546"/>
    <w:rsid w:val="2B236AD5"/>
    <w:rsid w:val="2B487D7D"/>
    <w:rsid w:val="2B5922A5"/>
    <w:rsid w:val="2BA0143D"/>
    <w:rsid w:val="2BA0335E"/>
    <w:rsid w:val="2BC922AB"/>
    <w:rsid w:val="2BD12CCD"/>
    <w:rsid w:val="2BE059B1"/>
    <w:rsid w:val="2BE11088"/>
    <w:rsid w:val="2BF35ED0"/>
    <w:rsid w:val="2BFA1E3E"/>
    <w:rsid w:val="2C0B0E04"/>
    <w:rsid w:val="2C0B3BFD"/>
    <w:rsid w:val="2C95320C"/>
    <w:rsid w:val="2CA44C09"/>
    <w:rsid w:val="2CAD58EB"/>
    <w:rsid w:val="2CAE0A33"/>
    <w:rsid w:val="2CB45546"/>
    <w:rsid w:val="2CC136D2"/>
    <w:rsid w:val="2CE915E7"/>
    <w:rsid w:val="2CF63A5D"/>
    <w:rsid w:val="2D6D65BA"/>
    <w:rsid w:val="2D9676C0"/>
    <w:rsid w:val="2DC25921"/>
    <w:rsid w:val="2E0717A5"/>
    <w:rsid w:val="2E334383"/>
    <w:rsid w:val="2E66463C"/>
    <w:rsid w:val="2E864326"/>
    <w:rsid w:val="2EC344D9"/>
    <w:rsid w:val="2ED8429D"/>
    <w:rsid w:val="2F36121E"/>
    <w:rsid w:val="2FAB0637"/>
    <w:rsid w:val="300C61D6"/>
    <w:rsid w:val="30125048"/>
    <w:rsid w:val="301775B5"/>
    <w:rsid w:val="301D5463"/>
    <w:rsid w:val="30723F9F"/>
    <w:rsid w:val="3077000B"/>
    <w:rsid w:val="308C4A21"/>
    <w:rsid w:val="30A44744"/>
    <w:rsid w:val="30AE14E1"/>
    <w:rsid w:val="30D93CB0"/>
    <w:rsid w:val="310310B4"/>
    <w:rsid w:val="31174C62"/>
    <w:rsid w:val="31454E29"/>
    <w:rsid w:val="315B72A5"/>
    <w:rsid w:val="316512C9"/>
    <w:rsid w:val="31814A20"/>
    <w:rsid w:val="31FB6F64"/>
    <w:rsid w:val="32012EEE"/>
    <w:rsid w:val="32125CD5"/>
    <w:rsid w:val="3213330D"/>
    <w:rsid w:val="323061CB"/>
    <w:rsid w:val="32442929"/>
    <w:rsid w:val="32FE3B78"/>
    <w:rsid w:val="330A6D52"/>
    <w:rsid w:val="33264D72"/>
    <w:rsid w:val="33312C9F"/>
    <w:rsid w:val="33367DAC"/>
    <w:rsid w:val="334144E1"/>
    <w:rsid w:val="33A06624"/>
    <w:rsid w:val="33E053A8"/>
    <w:rsid w:val="340F3120"/>
    <w:rsid w:val="342257DF"/>
    <w:rsid w:val="34284717"/>
    <w:rsid w:val="34411868"/>
    <w:rsid w:val="34515C51"/>
    <w:rsid w:val="346F2A77"/>
    <w:rsid w:val="34B65ABF"/>
    <w:rsid w:val="34BF787D"/>
    <w:rsid w:val="35172A04"/>
    <w:rsid w:val="35192B0A"/>
    <w:rsid w:val="353E01A0"/>
    <w:rsid w:val="35840495"/>
    <w:rsid w:val="359370D0"/>
    <w:rsid w:val="35AF6480"/>
    <w:rsid w:val="35BF0195"/>
    <w:rsid w:val="35C620D1"/>
    <w:rsid w:val="35C92783"/>
    <w:rsid w:val="35E978C9"/>
    <w:rsid w:val="35FA19DF"/>
    <w:rsid w:val="3654172E"/>
    <w:rsid w:val="36627006"/>
    <w:rsid w:val="36934F38"/>
    <w:rsid w:val="36C02E61"/>
    <w:rsid w:val="36C90D97"/>
    <w:rsid w:val="37135DC8"/>
    <w:rsid w:val="3740606F"/>
    <w:rsid w:val="3741328A"/>
    <w:rsid w:val="375B7D29"/>
    <w:rsid w:val="379A4826"/>
    <w:rsid w:val="37AF5615"/>
    <w:rsid w:val="37BE5A81"/>
    <w:rsid w:val="37D83373"/>
    <w:rsid w:val="38036FA3"/>
    <w:rsid w:val="381D348E"/>
    <w:rsid w:val="387D7E1C"/>
    <w:rsid w:val="38A652FA"/>
    <w:rsid w:val="38A76D15"/>
    <w:rsid w:val="38B84BD0"/>
    <w:rsid w:val="38E82936"/>
    <w:rsid w:val="394021CA"/>
    <w:rsid w:val="396D684F"/>
    <w:rsid w:val="39A93F6A"/>
    <w:rsid w:val="39C574BE"/>
    <w:rsid w:val="39D45671"/>
    <w:rsid w:val="39D66114"/>
    <w:rsid w:val="39FD18E2"/>
    <w:rsid w:val="3A167BCB"/>
    <w:rsid w:val="3A4A692D"/>
    <w:rsid w:val="3A501CA0"/>
    <w:rsid w:val="3A6D3E95"/>
    <w:rsid w:val="3A986BB1"/>
    <w:rsid w:val="3AA1788F"/>
    <w:rsid w:val="3AAA009C"/>
    <w:rsid w:val="3AC62DE8"/>
    <w:rsid w:val="3B263D20"/>
    <w:rsid w:val="3B4754A9"/>
    <w:rsid w:val="3B9D4728"/>
    <w:rsid w:val="3BB41798"/>
    <w:rsid w:val="3BF43C71"/>
    <w:rsid w:val="3C03469E"/>
    <w:rsid w:val="3C0753E1"/>
    <w:rsid w:val="3C1D7152"/>
    <w:rsid w:val="3C3E77DA"/>
    <w:rsid w:val="3C44738C"/>
    <w:rsid w:val="3C5D7AF9"/>
    <w:rsid w:val="3C873AF0"/>
    <w:rsid w:val="3CAB02CA"/>
    <w:rsid w:val="3CAD6378"/>
    <w:rsid w:val="3CB70E33"/>
    <w:rsid w:val="3D0775FC"/>
    <w:rsid w:val="3D0C53CD"/>
    <w:rsid w:val="3D1F6D88"/>
    <w:rsid w:val="3D5C17FF"/>
    <w:rsid w:val="3D5C5F10"/>
    <w:rsid w:val="3D780738"/>
    <w:rsid w:val="3D933FE2"/>
    <w:rsid w:val="3D9978B1"/>
    <w:rsid w:val="3DA02CC2"/>
    <w:rsid w:val="3DA611BF"/>
    <w:rsid w:val="3DAD43C0"/>
    <w:rsid w:val="3DC36B5D"/>
    <w:rsid w:val="3DD708CE"/>
    <w:rsid w:val="3DF0169E"/>
    <w:rsid w:val="3E1630B6"/>
    <w:rsid w:val="3E396FC2"/>
    <w:rsid w:val="3E4A1263"/>
    <w:rsid w:val="3E6B24FB"/>
    <w:rsid w:val="3E9203C8"/>
    <w:rsid w:val="3EA67DCA"/>
    <w:rsid w:val="3EC45E94"/>
    <w:rsid w:val="3F4F6EA8"/>
    <w:rsid w:val="3F6E4F60"/>
    <w:rsid w:val="3F7F2A4D"/>
    <w:rsid w:val="3F832F45"/>
    <w:rsid w:val="3FCC1DA1"/>
    <w:rsid w:val="3FF81676"/>
    <w:rsid w:val="40126128"/>
    <w:rsid w:val="401A6B37"/>
    <w:rsid w:val="40465FB9"/>
    <w:rsid w:val="40620587"/>
    <w:rsid w:val="408B6EED"/>
    <w:rsid w:val="408D72F4"/>
    <w:rsid w:val="40B80565"/>
    <w:rsid w:val="40B80D1A"/>
    <w:rsid w:val="40C712EA"/>
    <w:rsid w:val="40DC1454"/>
    <w:rsid w:val="412C14E0"/>
    <w:rsid w:val="415210FB"/>
    <w:rsid w:val="41535114"/>
    <w:rsid w:val="415E4F05"/>
    <w:rsid w:val="417D4941"/>
    <w:rsid w:val="41B97E34"/>
    <w:rsid w:val="41F61C50"/>
    <w:rsid w:val="420E6D21"/>
    <w:rsid w:val="423A205F"/>
    <w:rsid w:val="42491AAB"/>
    <w:rsid w:val="424C14FA"/>
    <w:rsid w:val="424F4F27"/>
    <w:rsid w:val="427D392A"/>
    <w:rsid w:val="42A35139"/>
    <w:rsid w:val="43022BEC"/>
    <w:rsid w:val="4321660E"/>
    <w:rsid w:val="43745B5A"/>
    <w:rsid w:val="43913E80"/>
    <w:rsid w:val="43A26A07"/>
    <w:rsid w:val="43AC3F21"/>
    <w:rsid w:val="43C1195B"/>
    <w:rsid w:val="43F01CC1"/>
    <w:rsid w:val="441F0394"/>
    <w:rsid w:val="444045ED"/>
    <w:rsid w:val="44BA58C3"/>
    <w:rsid w:val="45192A46"/>
    <w:rsid w:val="457453C4"/>
    <w:rsid w:val="4584481B"/>
    <w:rsid w:val="45BD47F6"/>
    <w:rsid w:val="460E6671"/>
    <w:rsid w:val="462F1030"/>
    <w:rsid w:val="46380529"/>
    <w:rsid w:val="463902F9"/>
    <w:rsid w:val="46727366"/>
    <w:rsid w:val="467F787B"/>
    <w:rsid w:val="46A14F88"/>
    <w:rsid w:val="46AA35F9"/>
    <w:rsid w:val="46E42CC5"/>
    <w:rsid w:val="471172A3"/>
    <w:rsid w:val="471A4D3E"/>
    <w:rsid w:val="47370D53"/>
    <w:rsid w:val="47CB10D1"/>
    <w:rsid w:val="47EC2CC3"/>
    <w:rsid w:val="47F63BF2"/>
    <w:rsid w:val="482A0D78"/>
    <w:rsid w:val="48A24C87"/>
    <w:rsid w:val="48AB5DF8"/>
    <w:rsid w:val="48D41126"/>
    <w:rsid w:val="494803CB"/>
    <w:rsid w:val="495D4197"/>
    <w:rsid w:val="49622465"/>
    <w:rsid w:val="49774C4F"/>
    <w:rsid w:val="49A26B83"/>
    <w:rsid w:val="49B6616D"/>
    <w:rsid w:val="49BE6E63"/>
    <w:rsid w:val="49E74B39"/>
    <w:rsid w:val="4A160EB7"/>
    <w:rsid w:val="4A284A47"/>
    <w:rsid w:val="4A9A2333"/>
    <w:rsid w:val="4AC46823"/>
    <w:rsid w:val="4AC65FF5"/>
    <w:rsid w:val="4AEA5C19"/>
    <w:rsid w:val="4B166B84"/>
    <w:rsid w:val="4B7D0C77"/>
    <w:rsid w:val="4BA74DBC"/>
    <w:rsid w:val="4BE22DD9"/>
    <w:rsid w:val="4BF86053"/>
    <w:rsid w:val="4C0C3E88"/>
    <w:rsid w:val="4C23123A"/>
    <w:rsid w:val="4C434815"/>
    <w:rsid w:val="4C4D6776"/>
    <w:rsid w:val="4C6B2D4A"/>
    <w:rsid w:val="4C79769B"/>
    <w:rsid w:val="4C7B5AC0"/>
    <w:rsid w:val="4C961F75"/>
    <w:rsid w:val="4CC26184"/>
    <w:rsid w:val="4CCF0574"/>
    <w:rsid w:val="4CFF260C"/>
    <w:rsid w:val="4D0C492B"/>
    <w:rsid w:val="4D0E072B"/>
    <w:rsid w:val="4D1F6B5C"/>
    <w:rsid w:val="4D630DAE"/>
    <w:rsid w:val="4D8C362E"/>
    <w:rsid w:val="4E1D437B"/>
    <w:rsid w:val="4E234594"/>
    <w:rsid w:val="4E6B02AB"/>
    <w:rsid w:val="4E952982"/>
    <w:rsid w:val="4EA72BBA"/>
    <w:rsid w:val="4EAA2EDC"/>
    <w:rsid w:val="4EF51114"/>
    <w:rsid w:val="4F1D6A56"/>
    <w:rsid w:val="4F270D4B"/>
    <w:rsid w:val="4F581E90"/>
    <w:rsid w:val="4F6202E0"/>
    <w:rsid w:val="4F892A16"/>
    <w:rsid w:val="4F9704AE"/>
    <w:rsid w:val="4FB009A3"/>
    <w:rsid w:val="4FB41E5C"/>
    <w:rsid w:val="501E1B0A"/>
    <w:rsid w:val="50255F3E"/>
    <w:rsid w:val="505A0FD1"/>
    <w:rsid w:val="50795A83"/>
    <w:rsid w:val="50AB6ED5"/>
    <w:rsid w:val="50F2423B"/>
    <w:rsid w:val="50F6750C"/>
    <w:rsid w:val="51364D28"/>
    <w:rsid w:val="515420B3"/>
    <w:rsid w:val="51655364"/>
    <w:rsid w:val="51942992"/>
    <w:rsid w:val="51A21F1A"/>
    <w:rsid w:val="51BA0708"/>
    <w:rsid w:val="526012FC"/>
    <w:rsid w:val="527B0E74"/>
    <w:rsid w:val="52B116A4"/>
    <w:rsid w:val="52D241FA"/>
    <w:rsid w:val="52F90D39"/>
    <w:rsid w:val="531B2E61"/>
    <w:rsid w:val="53222A9B"/>
    <w:rsid w:val="53396A1D"/>
    <w:rsid w:val="533B48CE"/>
    <w:rsid w:val="53452D12"/>
    <w:rsid w:val="537D01C8"/>
    <w:rsid w:val="53D31F79"/>
    <w:rsid w:val="53E01D7F"/>
    <w:rsid w:val="53FB4BF4"/>
    <w:rsid w:val="540D2EFE"/>
    <w:rsid w:val="541F3A6F"/>
    <w:rsid w:val="548E3537"/>
    <w:rsid w:val="54CE3567"/>
    <w:rsid w:val="54F81488"/>
    <w:rsid w:val="54FE6C3E"/>
    <w:rsid w:val="55440236"/>
    <w:rsid w:val="556E0BC6"/>
    <w:rsid w:val="55792DE5"/>
    <w:rsid w:val="559B4B80"/>
    <w:rsid w:val="55E23D88"/>
    <w:rsid w:val="56151F8A"/>
    <w:rsid w:val="562C7A7F"/>
    <w:rsid w:val="56492662"/>
    <w:rsid w:val="5660712D"/>
    <w:rsid w:val="56BD51D9"/>
    <w:rsid w:val="56CD6945"/>
    <w:rsid w:val="56CE5314"/>
    <w:rsid w:val="57152B9B"/>
    <w:rsid w:val="575E7407"/>
    <w:rsid w:val="57730928"/>
    <w:rsid w:val="577D687C"/>
    <w:rsid w:val="578F08BF"/>
    <w:rsid w:val="57C14E14"/>
    <w:rsid w:val="57E8363B"/>
    <w:rsid w:val="582B2DBD"/>
    <w:rsid w:val="584743F7"/>
    <w:rsid w:val="5850528F"/>
    <w:rsid w:val="58602A91"/>
    <w:rsid w:val="586A753F"/>
    <w:rsid w:val="58790774"/>
    <w:rsid w:val="587C4E7A"/>
    <w:rsid w:val="58CB1A53"/>
    <w:rsid w:val="58E614D0"/>
    <w:rsid w:val="58FB3D41"/>
    <w:rsid w:val="590645B9"/>
    <w:rsid w:val="5912549B"/>
    <w:rsid w:val="592B1FEA"/>
    <w:rsid w:val="593C384D"/>
    <w:rsid w:val="596B358E"/>
    <w:rsid w:val="59A17755"/>
    <w:rsid w:val="59CB24B8"/>
    <w:rsid w:val="59D47B1D"/>
    <w:rsid w:val="59DA7FFE"/>
    <w:rsid w:val="5A0E3275"/>
    <w:rsid w:val="5A0E3D8B"/>
    <w:rsid w:val="5A1D5304"/>
    <w:rsid w:val="5A802F25"/>
    <w:rsid w:val="5A980C37"/>
    <w:rsid w:val="5AA91B9F"/>
    <w:rsid w:val="5AC031F1"/>
    <w:rsid w:val="5ADC534A"/>
    <w:rsid w:val="5AE87230"/>
    <w:rsid w:val="5B4854D4"/>
    <w:rsid w:val="5B4A4BB2"/>
    <w:rsid w:val="5B507138"/>
    <w:rsid w:val="5BC82A44"/>
    <w:rsid w:val="5BDB1229"/>
    <w:rsid w:val="5C8A031D"/>
    <w:rsid w:val="5C9C12BF"/>
    <w:rsid w:val="5CAC60CF"/>
    <w:rsid w:val="5CAF702B"/>
    <w:rsid w:val="5CE02587"/>
    <w:rsid w:val="5CE269AB"/>
    <w:rsid w:val="5D0667AA"/>
    <w:rsid w:val="5D442E4E"/>
    <w:rsid w:val="5D71743C"/>
    <w:rsid w:val="5D760341"/>
    <w:rsid w:val="5D8F6991"/>
    <w:rsid w:val="5DA72444"/>
    <w:rsid w:val="5DBE3029"/>
    <w:rsid w:val="5DC069A9"/>
    <w:rsid w:val="5DC775CE"/>
    <w:rsid w:val="5DFD1653"/>
    <w:rsid w:val="5DFD3071"/>
    <w:rsid w:val="5E086207"/>
    <w:rsid w:val="5E2C43E4"/>
    <w:rsid w:val="5E371DB2"/>
    <w:rsid w:val="5E9921FE"/>
    <w:rsid w:val="5EAA040C"/>
    <w:rsid w:val="5EB552E1"/>
    <w:rsid w:val="5EDD3BBF"/>
    <w:rsid w:val="5F0A312B"/>
    <w:rsid w:val="5F4D4A1E"/>
    <w:rsid w:val="5F866D52"/>
    <w:rsid w:val="5F8A353C"/>
    <w:rsid w:val="5FCC6617"/>
    <w:rsid w:val="5FD91A1D"/>
    <w:rsid w:val="5FED57D9"/>
    <w:rsid w:val="60271EB0"/>
    <w:rsid w:val="603A4260"/>
    <w:rsid w:val="60714E01"/>
    <w:rsid w:val="60781307"/>
    <w:rsid w:val="60830BE1"/>
    <w:rsid w:val="60B62E43"/>
    <w:rsid w:val="60B966FC"/>
    <w:rsid w:val="60F670B5"/>
    <w:rsid w:val="60F877AC"/>
    <w:rsid w:val="61197168"/>
    <w:rsid w:val="61235853"/>
    <w:rsid w:val="61403F07"/>
    <w:rsid w:val="614B287B"/>
    <w:rsid w:val="61717886"/>
    <w:rsid w:val="61B53AE1"/>
    <w:rsid w:val="61D54019"/>
    <w:rsid w:val="62662BDE"/>
    <w:rsid w:val="62855420"/>
    <w:rsid w:val="62A45BDB"/>
    <w:rsid w:val="62BE0826"/>
    <w:rsid w:val="62CA7C50"/>
    <w:rsid w:val="630E138C"/>
    <w:rsid w:val="631909D2"/>
    <w:rsid w:val="632B4FFB"/>
    <w:rsid w:val="63354A5F"/>
    <w:rsid w:val="63687A91"/>
    <w:rsid w:val="638852E5"/>
    <w:rsid w:val="63934206"/>
    <w:rsid w:val="639B49D2"/>
    <w:rsid w:val="642F6298"/>
    <w:rsid w:val="6443281D"/>
    <w:rsid w:val="648F407A"/>
    <w:rsid w:val="6512405B"/>
    <w:rsid w:val="65326420"/>
    <w:rsid w:val="655A5AC2"/>
    <w:rsid w:val="65705687"/>
    <w:rsid w:val="657D1B5E"/>
    <w:rsid w:val="65883D80"/>
    <w:rsid w:val="65A05E32"/>
    <w:rsid w:val="66140E05"/>
    <w:rsid w:val="6696057E"/>
    <w:rsid w:val="66B00DEB"/>
    <w:rsid w:val="66DD0DCF"/>
    <w:rsid w:val="66F30A18"/>
    <w:rsid w:val="671A5B83"/>
    <w:rsid w:val="671B3131"/>
    <w:rsid w:val="676059A5"/>
    <w:rsid w:val="67882638"/>
    <w:rsid w:val="67896940"/>
    <w:rsid w:val="678A22FC"/>
    <w:rsid w:val="6797018A"/>
    <w:rsid w:val="6825719F"/>
    <w:rsid w:val="685806E6"/>
    <w:rsid w:val="68610D54"/>
    <w:rsid w:val="68A00A21"/>
    <w:rsid w:val="68DE6ED5"/>
    <w:rsid w:val="69012022"/>
    <w:rsid w:val="69344809"/>
    <w:rsid w:val="693C05E2"/>
    <w:rsid w:val="694B1B6E"/>
    <w:rsid w:val="696603B3"/>
    <w:rsid w:val="69696A3A"/>
    <w:rsid w:val="69806EDF"/>
    <w:rsid w:val="699A09DE"/>
    <w:rsid w:val="69E87CC7"/>
    <w:rsid w:val="6A556BCF"/>
    <w:rsid w:val="6A5C4FB7"/>
    <w:rsid w:val="6A91453A"/>
    <w:rsid w:val="6AB034A9"/>
    <w:rsid w:val="6ABF3CC1"/>
    <w:rsid w:val="6AC8647E"/>
    <w:rsid w:val="6B0674BA"/>
    <w:rsid w:val="6B136C46"/>
    <w:rsid w:val="6B1E04D5"/>
    <w:rsid w:val="6B413622"/>
    <w:rsid w:val="6B5F179F"/>
    <w:rsid w:val="6B983604"/>
    <w:rsid w:val="6BA442DD"/>
    <w:rsid w:val="6BFE0707"/>
    <w:rsid w:val="6C067A7F"/>
    <w:rsid w:val="6C316996"/>
    <w:rsid w:val="6C3F31D0"/>
    <w:rsid w:val="6C7E1AFF"/>
    <w:rsid w:val="6C8300AC"/>
    <w:rsid w:val="6C9E0809"/>
    <w:rsid w:val="6D1F259F"/>
    <w:rsid w:val="6D2B5C7D"/>
    <w:rsid w:val="6D3C7C38"/>
    <w:rsid w:val="6D903A14"/>
    <w:rsid w:val="6DBE0B18"/>
    <w:rsid w:val="6DCF3E7B"/>
    <w:rsid w:val="6E1B50DF"/>
    <w:rsid w:val="6E5A361E"/>
    <w:rsid w:val="6EF750F4"/>
    <w:rsid w:val="6F82063C"/>
    <w:rsid w:val="6FC90366"/>
    <w:rsid w:val="701E77AF"/>
    <w:rsid w:val="70257EDA"/>
    <w:rsid w:val="7055125B"/>
    <w:rsid w:val="709D267D"/>
    <w:rsid w:val="70E51137"/>
    <w:rsid w:val="711E0DE1"/>
    <w:rsid w:val="715F06A2"/>
    <w:rsid w:val="71602316"/>
    <w:rsid w:val="719D28D3"/>
    <w:rsid w:val="71B23142"/>
    <w:rsid w:val="71E52CD4"/>
    <w:rsid w:val="71E61671"/>
    <w:rsid w:val="72117FE9"/>
    <w:rsid w:val="7223668F"/>
    <w:rsid w:val="723509B9"/>
    <w:rsid w:val="72482D98"/>
    <w:rsid w:val="727222FF"/>
    <w:rsid w:val="72DB3E6C"/>
    <w:rsid w:val="72E118F0"/>
    <w:rsid w:val="72E157F3"/>
    <w:rsid w:val="73000817"/>
    <w:rsid w:val="733453F7"/>
    <w:rsid w:val="7343551A"/>
    <w:rsid w:val="736373B5"/>
    <w:rsid w:val="738B6CFF"/>
    <w:rsid w:val="73AC6FA8"/>
    <w:rsid w:val="73B33F80"/>
    <w:rsid w:val="73BD783B"/>
    <w:rsid w:val="73E813FE"/>
    <w:rsid w:val="742731CF"/>
    <w:rsid w:val="742E3D51"/>
    <w:rsid w:val="74360083"/>
    <w:rsid w:val="744F2187"/>
    <w:rsid w:val="745E6711"/>
    <w:rsid w:val="74682541"/>
    <w:rsid w:val="74802157"/>
    <w:rsid w:val="74A63EF3"/>
    <w:rsid w:val="74B8654C"/>
    <w:rsid w:val="74B91FBE"/>
    <w:rsid w:val="75126C14"/>
    <w:rsid w:val="751B3ECD"/>
    <w:rsid w:val="7537091A"/>
    <w:rsid w:val="754719F0"/>
    <w:rsid w:val="755B2119"/>
    <w:rsid w:val="756E3864"/>
    <w:rsid w:val="75BB530C"/>
    <w:rsid w:val="76030EF1"/>
    <w:rsid w:val="764B57B2"/>
    <w:rsid w:val="764D7AFE"/>
    <w:rsid w:val="764E73CA"/>
    <w:rsid w:val="765F2465"/>
    <w:rsid w:val="76672BAF"/>
    <w:rsid w:val="76685D81"/>
    <w:rsid w:val="76F15969"/>
    <w:rsid w:val="76F87B76"/>
    <w:rsid w:val="770B64AB"/>
    <w:rsid w:val="772A1657"/>
    <w:rsid w:val="774E406A"/>
    <w:rsid w:val="776F0AA2"/>
    <w:rsid w:val="779C0A5C"/>
    <w:rsid w:val="77BF1A70"/>
    <w:rsid w:val="78136793"/>
    <w:rsid w:val="784B3700"/>
    <w:rsid w:val="784F05DA"/>
    <w:rsid w:val="785F7FDA"/>
    <w:rsid w:val="788A6819"/>
    <w:rsid w:val="793904F0"/>
    <w:rsid w:val="79497D6F"/>
    <w:rsid w:val="796948BB"/>
    <w:rsid w:val="799A79AC"/>
    <w:rsid w:val="79BC06CA"/>
    <w:rsid w:val="79BC57E9"/>
    <w:rsid w:val="79BD123B"/>
    <w:rsid w:val="79BE6251"/>
    <w:rsid w:val="79F469EC"/>
    <w:rsid w:val="7A186B5D"/>
    <w:rsid w:val="7A2C2406"/>
    <w:rsid w:val="7A524B86"/>
    <w:rsid w:val="7A550E6F"/>
    <w:rsid w:val="7A555082"/>
    <w:rsid w:val="7A8B69CD"/>
    <w:rsid w:val="7AAE15DB"/>
    <w:rsid w:val="7AEA5651"/>
    <w:rsid w:val="7B416DB3"/>
    <w:rsid w:val="7B47113B"/>
    <w:rsid w:val="7B945D27"/>
    <w:rsid w:val="7BCC2662"/>
    <w:rsid w:val="7BD95B58"/>
    <w:rsid w:val="7C0B7BF2"/>
    <w:rsid w:val="7C175670"/>
    <w:rsid w:val="7C426002"/>
    <w:rsid w:val="7C4C4D87"/>
    <w:rsid w:val="7C81711F"/>
    <w:rsid w:val="7CB40853"/>
    <w:rsid w:val="7CF10953"/>
    <w:rsid w:val="7D170F72"/>
    <w:rsid w:val="7D1F3F3E"/>
    <w:rsid w:val="7D3D7D46"/>
    <w:rsid w:val="7D4B55A5"/>
    <w:rsid w:val="7D502F43"/>
    <w:rsid w:val="7D540E29"/>
    <w:rsid w:val="7D5E55DC"/>
    <w:rsid w:val="7D772979"/>
    <w:rsid w:val="7D9C0906"/>
    <w:rsid w:val="7DE52991"/>
    <w:rsid w:val="7DE82A56"/>
    <w:rsid w:val="7DE91A32"/>
    <w:rsid w:val="7DEB43E1"/>
    <w:rsid w:val="7E066FE8"/>
    <w:rsid w:val="7E6671D0"/>
    <w:rsid w:val="7E820B86"/>
    <w:rsid w:val="7E9E1542"/>
    <w:rsid w:val="7EA57012"/>
    <w:rsid w:val="7EA66657"/>
    <w:rsid w:val="7EC7049D"/>
    <w:rsid w:val="7EED29FD"/>
    <w:rsid w:val="7F2E4D37"/>
    <w:rsid w:val="7F390E37"/>
    <w:rsid w:val="7F6430E6"/>
    <w:rsid w:val="7F796265"/>
  </w:rsids>
  <m:mathPr>
    <m:mathFont m:val="Cambria Math"/>
    <m:brkBin m:val="before"/>
    <m:brkBinSub m:val="--"/>
    <m:smallFrac m:val="1"/>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39" w:name="toc 4"/>
    <w:lsdException w:qFormat="1" w:uiPriority="39" w:name="toc 5"/>
    <w:lsdException w:qFormat="1" w:uiPriority="39" w:name="toc 6"/>
    <w:lsdException w:uiPriority="39" w:name="toc 7"/>
    <w:lsdException w:qFormat="1" w:uiPriority="39" w:name="toc 8"/>
    <w:lsdException w:qFormat="1"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qFormat="1" w:uiPriority="99" w:name="List Bullet"/>
    <w:lsdException w:uiPriority="99" w:name="List Number"/>
    <w:lsdException w:qFormat="1" w:uiPriority="99" w:name="List 2"/>
    <w:lsdException w:qFormat="1" w:uiPriority="99" w:name="List 3"/>
    <w:lsdException w:qFormat="1"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qFormat="1" w:uiPriority="99" w:name="List Number 3"/>
    <w:lsdException w:qFormat="1"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iPriority="99" w:name="Body Text Indent"/>
    <w:lsdException w:qFormat="1"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iPriority="99" w:name="No Spacing"/>
    <w:lsdException w:qFormat="1" w:unhideWhenUsed="0" w:uiPriority="1" w:semiHidden="0" w:name="List Paragraph"/>
    <w:lsdException w:qFormat="1" w:uiPriority="99" w:name="Quote"/>
    <w:lsdException w:qFormat="1" w:uiPriority="99" w:name="Intense Quote"/>
  </w:latentStyles>
  <w:style w:type="paragraph" w:default="1" w:styleId="1">
    <w:name w:val="Normal"/>
    <w:qFormat/>
    <w:uiPriority w:val="0"/>
    <w:rPr>
      <w:rFonts w:ascii="Times New Roman" w:hAnsi="Times New Roman" w:eastAsia="Times New Roman" w:cs="Times New Roman"/>
      <w:sz w:val="24"/>
      <w:szCs w:val="24"/>
      <w:lang w:val="pt-BR" w:eastAsia="pt-BR" w:bidi="ar-SA"/>
    </w:rPr>
  </w:style>
  <w:style w:type="paragraph" w:styleId="2">
    <w:name w:val="heading 1"/>
    <w:basedOn w:val="1"/>
    <w:next w:val="1"/>
    <w:link w:val="59"/>
    <w:qFormat/>
    <w:uiPriority w:val="9"/>
    <w:pPr>
      <w:keepNext/>
      <w:jc w:val="center"/>
      <w:outlineLvl w:val="0"/>
    </w:pPr>
    <w:rPr>
      <w:rFonts w:ascii="Arial" w:hAnsi="Arial"/>
      <w:b/>
      <w:bCs/>
    </w:rPr>
  </w:style>
  <w:style w:type="paragraph" w:styleId="3">
    <w:name w:val="heading 2"/>
    <w:basedOn w:val="1"/>
    <w:next w:val="1"/>
    <w:link w:val="60"/>
    <w:qFormat/>
    <w:uiPriority w:val="0"/>
    <w:pPr>
      <w:keepNext/>
      <w:spacing w:before="240" w:after="60"/>
      <w:outlineLvl w:val="1"/>
    </w:pPr>
    <w:rPr>
      <w:rFonts w:ascii="Arial" w:hAnsi="Arial"/>
      <w:b/>
      <w:bCs/>
      <w:i/>
      <w:iCs/>
      <w:sz w:val="28"/>
      <w:szCs w:val="28"/>
    </w:rPr>
  </w:style>
  <w:style w:type="paragraph" w:styleId="4">
    <w:name w:val="heading 3"/>
    <w:basedOn w:val="1"/>
    <w:next w:val="1"/>
    <w:link w:val="61"/>
    <w:semiHidden/>
    <w:unhideWhenUsed/>
    <w:qFormat/>
    <w:uiPriority w:val="9"/>
    <w:pPr>
      <w:keepNext/>
      <w:numPr>
        <w:ilvl w:val="2"/>
        <w:numId w:val="1"/>
      </w:numPr>
      <w:suppressAutoHyphens/>
      <w:jc w:val="both"/>
      <w:outlineLvl w:val="2"/>
    </w:pPr>
    <w:rPr>
      <w:rFonts w:ascii="Arial" w:hAnsi="Arial"/>
      <w:b/>
      <w:szCs w:val="20"/>
    </w:rPr>
  </w:style>
  <w:style w:type="paragraph" w:styleId="5">
    <w:name w:val="heading 4"/>
    <w:basedOn w:val="1"/>
    <w:next w:val="1"/>
    <w:link w:val="62"/>
    <w:semiHidden/>
    <w:unhideWhenUsed/>
    <w:qFormat/>
    <w:uiPriority w:val="9"/>
    <w:pPr>
      <w:keepNext/>
      <w:outlineLvl w:val="3"/>
    </w:pPr>
    <w:rPr>
      <w:b/>
      <w:bCs/>
    </w:rPr>
  </w:style>
  <w:style w:type="paragraph" w:styleId="6">
    <w:name w:val="heading 5"/>
    <w:basedOn w:val="1"/>
    <w:next w:val="1"/>
    <w:link w:val="63"/>
    <w:semiHidden/>
    <w:unhideWhenUsed/>
    <w:qFormat/>
    <w:uiPriority w:val="9"/>
    <w:pPr>
      <w:spacing w:before="240" w:after="60"/>
      <w:outlineLvl w:val="4"/>
    </w:pPr>
    <w:rPr>
      <w:b/>
      <w:bCs/>
      <w:i/>
      <w:iCs/>
      <w:sz w:val="26"/>
      <w:szCs w:val="26"/>
    </w:rPr>
  </w:style>
  <w:style w:type="paragraph" w:styleId="7">
    <w:name w:val="heading 6"/>
    <w:basedOn w:val="1"/>
    <w:next w:val="1"/>
    <w:link w:val="64"/>
    <w:semiHidden/>
    <w:unhideWhenUsed/>
    <w:qFormat/>
    <w:uiPriority w:val="9"/>
    <w:pPr>
      <w:keepNext/>
      <w:suppressAutoHyphens/>
      <w:ind w:left="120"/>
      <w:outlineLvl w:val="5"/>
    </w:pPr>
    <w:rPr>
      <w:b/>
      <w:bCs/>
      <w:szCs w:val="20"/>
    </w:rPr>
  </w:style>
  <w:style w:type="paragraph" w:styleId="8">
    <w:name w:val="heading 7"/>
    <w:basedOn w:val="1"/>
    <w:next w:val="1"/>
    <w:link w:val="65"/>
    <w:semiHidden/>
    <w:unhideWhenUsed/>
    <w:qFormat/>
    <w:uiPriority w:val="9"/>
    <w:pPr>
      <w:spacing w:before="240" w:after="60"/>
      <w:outlineLvl w:val="6"/>
    </w:pPr>
  </w:style>
  <w:style w:type="paragraph" w:styleId="9">
    <w:name w:val="heading 8"/>
    <w:basedOn w:val="1"/>
    <w:next w:val="1"/>
    <w:link w:val="66"/>
    <w:semiHidden/>
    <w:unhideWhenUsed/>
    <w:qFormat/>
    <w:uiPriority w:val="9"/>
    <w:pPr>
      <w:spacing w:before="240" w:after="60"/>
      <w:outlineLvl w:val="7"/>
    </w:pPr>
    <w:rPr>
      <w:rFonts w:ascii="Calibri" w:hAnsi="Calibri"/>
      <w:i/>
      <w:iCs/>
    </w:rPr>
  </w:style>
  <w:style w:type="paragraph" w:styleId="10">
    <w:name w:val="heading 9"/>
    <w:basedOn w:val="1"/>
    <w:next w:val="1"/>
    <w:link w:val="67"/>
    <w:semiHidden/>
    <w:unhideWhenUsed/>
    <w:qFormat/>
    <w:uiPriority w:val="9"/>
    <w:pPr>
      <w:keepNext/>
      <w:widowControl w:val="0"/>
      <w:ind w:left="1134" w:firstLine="567"/>
      <w:jc w:val="both"/>
      <w:outlineLvl w:val="8"/>
    </w:pPr>
    <w:rPr>
      <w:rFonts w:ascii="Arial" w:hAnsi="Arial"/>
      <w:snapToGrid w:val="0"/>
      <w:szCs w:val="20"/>
    </w:rPr>
  </w:style>
  <w:style w:type="character" w:default="1" w:styleId="11">
    <w:name w:val="Default Paragraph Font"/>
    <w:unhideWhenUsed/>
    <w:qFormat/>
    <w:uiPriority w:val="1"/>
  </w:style>
  <w:style w:type="table" w:default="1" w:styleId="12">
    <w:name w:val="Normal Table"/>
    <w:unhideWhenUsed/>
    <w:qFormat/>
    <w:uiPriority w:val="99"/>
    <w:tblPr>
      <w:tblCellMar>
        <w:top w:w="0" w:type="dxa"/>
        <w:left w:w="108" w:type="dxa"/>
        <w:bottom w:w="0" w:type="dxa"/>
        <w:right w:w="108" w:type="dxa"/>
      </w:tblCellMar>
    </w:tblPr>
  </w:style>
  <w:style w:type="character" w:styleId="13">
    <w:name w:val="Strong"/>
    <w:basedOn w:val="11"/>
    <w:qFormat/>
    <w:uiPriority w:val="22"/>
    <w:rPr>
      <w:b/>
      <w:bCs/>
    </w:rPr>
  </w:style>
  <w:style w:type="character" w:styleId="14">
    <w:name w:val="annotation reference"/>
    <w:semiHidden/>
    <w:unhideWhenUsed/>
    <w:qFormat/>
    <w:uiPriority w:val="99"/>
    <w:rPr>
      <w:sz w:val="16"/>
      <w:szCs w:val="16"/>
    </w:rPr>
  </w:style>
  <w:style w:type="character" w:styleId="15">
    <w:name w:val="FollowedHyperlink"/>
    <w:semiHidden/>
    <w:unhideWhenUsed/>
    <w:qFormat/>
    <w:uiPriority w:val="99"/>
    <w:rPr>
      <w:color w:val="800080"/>
      <w:u w:val="single"/>
    </w:rPr>
  </w:style>
  <w:style w:type="character" w:styleId="16">
    <w:name w:val="Emphasis"/>
    <w:basedOn w:val="11"/>
    <w:qFormat/>
    <w:uiPriority w:val="20"/>
    <w:rPr>
      <w:i/>
    </w:rPr>
  </w:style>
  <w:style w:type="character" w:styleId="17">
    <w:name w:val="Hyperlink"/>
    <w:semiHidden/>
    <w:unhideWhenUsed/>
    <w:qFormat/>
    <w:uiPriority w:val="99"/>
    <w:rPr>
      <w:color w:val="0000FF"/>
      <w:u w:val="single"/>
    </w:rPr>
  </w:style>
  <w:style w:type="character" w:styleId="18">
    <w:name w:val="page number"/>
    <w:basedOn w:val="11"/>
    <w:semiHidden/>
    <w:unhideWhenUsed/>
    <w:qFormat/>
    <w:uiPriority w:val="99"/>
  </w:style>
  <w:style w:type="paragraph" w:styleId="19">
    <w:name w:val="toc 2"/>
    <w:basedOn w:val="1"/>
    <w:next w:val="1"/>
    <w:semiHidden/>
    <w:unhideWhenUsed/>
    <w:qFormat/>
    <w:uiPriority w:val="39"/>
    <w:pPr>
      <w:tabs>
        <w:tab w:val="left" w:pos="720"/>
        <w:tab w:val="right" w:leader="dot" w:pos="9395"/>
      </w:tabs>
      <w:ind w:left="240"/>
    </w:pPr>
    <w:rPr>
      <w:rFonts w:ascii="Calibri" w:hAnsi="Calibri"/>
      <w:smallCaps/>
      <w:sz w:val="20"/>
      <w:szCs w:val="20"/>
    </w:rPr>
  </w:style>
  <w:style w:type="paragraph" w:styleId="20">
    <w:name w:val="List"/>
    <w:basedOn w:val="1"/>
    <w:semiHidden/>
    <w:unhideWhenUsed/>
    <w:qFormat/>
    <w:uiPriority w:val="99"/>
    <w:pPr>
      <w:suppressAutoHyphens/>
      <w:spacing w:after="0"/>
    </w:pPr>
    <w:rPr>
      <w:rFonts w:ascii="Thorndale" w:hAnsi="Thorndale"/>
      <w:b/>
      <w:szCs w:val="20"/>
    </w:rPr>
  </w:style>
  <w:style w:type="paragraph" w:styleId="21">
    <w:name w:val="Body Text First Indent 2"/>
    <w:basedOn w:val="22"/>
    <w:link w:val="310"/>
    <w:semiHidden/>
    <w:unhideWhenUsed/>
    <w:qFormat/>
    <w:uiPriority w:val="99"/>
    <w:pPr>
      <w:ind w:firstLine="210"/>
    </w:pPr>
    <w:rPr>
      <w:lang w:eastAsia="ja-JP"/>
    </w:rPr>
  </w:style>
  <w:style w:type="paragraph" w:styleId="22">
    <w:name w:val="Body Text Indent"/>
    <w:basedOn w:val="1"/>
    <w:link w:val="93"/>
    <w:semiHidden/>
    <w:unhideWhenUsed/>
    <w:qFormat/>
    <w:uiPriority w:val="99"/>
    <w:pPr>
      <w:spacing w:after="120"/>
      <w:ind w:left="283"/>
    </w:pPr>
  </w:style>
  <w:style w:type="paragraph" w:styleId="23">
    <w:name w:val="toc 9"/>
    <w:basedOn w:val="1"/>
    <w:next w:val="1"/>
    <w:semiHidden/>
    <w:unhideWhenUsed/>
    <w:qFormat/>
    <w:uiPriority w:val="39"/>
    <w:pPr>
      <w:ind w:left="1920"/>
    </w:pPr>
    <w:rPr>
      <w:rFonts w:ascii="Calibri" w:hAnsi="Calibri"/>
      <w:sz w:val="18"/>
      <w:szCs w:val="18"/>
    </w:rPr>
  </w:style>
  <w:style w:type="paragraph" w:styleId="24">
    <w:name w:val="Body Text"/>
    <w:basedOn w:val="1"/>
    <w:link w:val="69"/>
    <w:unhideWhenUsed/>
    <w:qFormat/>
    <w:uiPriority w:val="99"/>
    <w:pPr>
      <w:spacing w:after="120"/>
    </w:pPr>
  </w:style>
  <w:style w:type="paragraph" w:styleId="25">
    <w:name w:val="toc 6"/>
    <w:basedOn w:val="1"/>
    <w:next w:val="1"/>
    <w:semiHidden/>
    <w:unhideWhenUsed/>
    <w:qFormat/>
    <w:uiPriority w:val="39"/>
    <w:pPr>
      <w:ind w:left="1200"/>
    </w:pPr>
    <w:rPr>
      <w:rFonts w:ascii="Calibri" w:hAnsi="Calibri"/>
      <w:sz w:val="18"/>
      <w:szCs w:val="18"/>
    </w:rPr>
  </w:style>
  <w:style w:type="paragraph" w:styleId="26">
    <w:name w:val="Block Text"/>
    <w:basedOn w:val="1"/>
    <w:semiHidden/>
    <w:unhideWhenUsed/>
    <w:qFormat/>
    <w:uiPriority w:val="99"/>
    <w:pPr>
      <w:tabs>
        <w:tab w:val="left" w:pos="360"/>
      </w:tabs>
      <w:ind w:left="1134" w:right="-2" w:hanging="360"/>
      <w:jc w:val="both"/>
    </w:pPr>
    <w:rPr>
      <w:rFonts w:ascii="Arial" w:hAnsi="Arial" w:cs="Arial"/>
      <w:color w:val="000000"/>
      <w:szCs w:val="20"/>
    </w:rPr>
  </w:style>
  <w:style w:type="paragraph" w:styleId="27">
    <w:name w:val="annotation text"/>
    <w:basedOn w:val="1"/>
    <w:link w:val="148"/>
    <w:semiHidden/>
    <w:unhideWhenUsed/>
    <w:qFormat/>
    <w:uiPriority w:val="99"/>
    <w:rPr>
      <w:rFonts w:ascii="Arial" w:hAnsi="Arial"/>
      <w:spacing w:val="20"/>
      <w:sz w:val="20"/>
      <w:szCs w:val="20"/>
    </w:rPr>
  </w:style>
  <w:style w:type="paragraph" w:styleId="28">
    <w:name w:val="toc 5"/>
    <w:basedOn w:val="1"/>
    <w:next w:val="1"/>
    <w:semiHidden/>
    <w:unhideWhenUsed/>
    <w:qFormat/>
    <w:uiPriority w:val="39"/>
    <w:pPr>
      <w:ind w:left="960"/>
    </w:pPr>
    <w:rPr>
      <w:rFonts w:ascii="Calibri" w:hAnsi="Calibri"/>
      <w:sz w:val="18"/>
      <w:szCs w:val="18"/>
    </w:rPr>
  </w:style>
  <w:style w:type="paragraph" w:styleId="29">
    <w:name w:val="Body Text Indent 2"/>
    <w:basedOn w:val="1"/>
    <w:link w:val="83"/>
    <w:semiHidden/>
    <w:unhideWhenUsed/>
    <w:qFormat/>
    <w:uiPriority w:val="99"/>
    <w:pPr>
      <w:suppressAutoHyphens/>
      <w:ind w:left="1821" w:hanging="240"/>
    </w:pPr>
    <w:rPr>
      <w:szCs w:val="20"/>
    </w:rPr>
  </w:style>
  <w:style w:type="paragraph" w:styleId="30">
    <w:name w:val="Title"/>
    <w:basedOn w:val="1"/>
    <w:next w:val="1"/>
    <w:link w:val="80"/>
    <w:qFormat/>
    <w:uiPriority w:val="10"/>
    <w:pPr>
      <w:ind w:firstLine="1416"/>
      <w:jc w:val="center"/>
    </w:pPr>
    <w:rPr>
      <w:rFonts w:ascii="Arial" w:hAnsi="Arial"/>
      <w:b/>
      <w:bCs/>
      <w:color w:val="000000"/>
    </w:rPr>
  </w:style>
  <w:style w:type="paragraph" w:styleId="31">
    <w:name w:val="List 4"/>
    <w:basedOn w:val="1"/>
    <w:semiHidden/>
    <w:unhideWhenUsed/>
    <w:qFormat/>
    <w:uiPriority w:val="99"/>
    <w:pPr>
      <w:ind w:left="1132" w:hanging="283"/>
    </w:pPr>
    <w:rPr>
      <w:rFonts w:eastAsia="SimSun"/>
      <w:sz w:val="20"/>
      <w:szCs w:val="20"/>
    </w:rPr>
  </w:style>
  <w:style w:type="paragraph" w:styleId="32">
    <w:name w:val="Normal (Web)"/>
    <w:basedOn w:val="1"/>
    <w:link w:val="386"/>
    <w:unhideWhenUsed/>
    <w:qFormat/>
    <w:uiPriority w:val="99"/>
    <w:pPr>
      <w:spacing w:before="100" w:beforeAutospacing="1" w:after="100" w:afterAutospacing="1"/>
      <w:ind w:right="476"/>
      <w:jc w:val="both"/>
    </w:pPr>
    <w:rPr>
      <w:lang w:val="en-US" w:eastAsia="en-US"/>
    </w:rPr>
  </w:style>
  <w:style w:type="paragraph" w:styleId="33">
    <w:name w:val="Plain Text"/>
    <w:basedOn w:val="1"/>
    <w:link w:val="387"/>
    <w:semiHidden/>
    <w:unhideWhenUsed/>
    <w:qFormat/>
    <w:uiPriority w:val="99"/>
    <w:rPr>
      <w:rFonts w:ascii="Consolas" w:hAnsi="Consolas" w:eastAsia="Calibri"/>
      <w:sz w:val="21"/>
      <w:szCs w:val="21"/>
      <w:lang w:eastAsia="en-US"/>
    </w:rPr>
  </w:style>
  <w:style w:type="paragraph" w:styleId="34">
    <w:name w:val="toc 4"/>
    <w:basedOn w:val="1"/>
    <w:next w:val="1"/>
    <w:semiHidden/>
    <w:unhideWhenUsed/>
    <w:qFormat/>
    <w:uiPriority w:val="39"/>
    <w:pPr>
      <w:ind w:left="720"/>
    </w:pPr>
    <w:rPr>
      <w:rFonts w:ascii="Calibri" w:hAnsi="Calibri"/>
      <w:sz w:val="18"/>
      <w:szCs w:val="18"/>
    </w:rPr>
  </w:style>
  <w:style w:type="paragraph" w:styleId="35">
    <w:name w:val="List Continue"/>
    <w:basedOn w:val="1"/>
    <w:semiHidden/>
    <w:unhideWhenUsed/>
    <w:qFormat/>
    <w:uiPriority w:val="99"/>
    <w:pPr>
      <w:spacing w:before="80"/>
      <w:jc w:val="both"/>
    </w:pPr>
    <w:rPr>
      <w:rFonts w:ascii="Arial" w:hAnsi="Arial"/>
      <w:szCs w:val="20"/>
    </w:rPr>
  </w:style>
  <w:style w:type="paragraph" w:styleId="36">
    <w:name w:val="toc 8"/>
    <w:basedOn w:val="1"/>
    <w:next w:val="1"/>
    <w:semiHidden/>
    <w:unhideWhenUsed/>
    <w:qFormat/>
    <w:uiPriority w:val="39"/>
    <w:pPr>
      <w:ind w:left="1680"/>
    </w:pPr>
    <w:rPr>
      <w:rFonts w:ascii="Calibri" w:hAnsi="Calibri"/>
      <w:sz w:val="18"/>
      <w:szCs w:val="18"/>
    </w:rPr>
  </w:style>
  <w:style w:type="paragraph" w:styleId="37">
    <w:name w:val="Body Text 3"/>
    <w:basedOn w:val="1"/>
    <w:link w:val="68"/>
    <w:semiHidden/>
    <w:unhideWhenUsed/>
    <w:qFormat/>
    <w:uiPriority w:val="99"/>
    <w:pPr>
      <w:ind w:right="-1"/>
      <w:jc w:val="both"/>
    </w:pPr>
    <w:rPr>
      <w:b/>
    </w:rPr>
  </w:style>
  <w:style w:type="paragraph" w:styleId="38">
    <w:name w:val="List Number 2"/>
    <w:basedOn w:val="1"/>
    <w:semiHidden/>
    <w:unhideWhenUsed/>
    <w:qFormat/>
    <w:uiPriority w:val="99"/>
    <w:pPr>
      <w:numPr>
        <w:ilvl w:val="0"/>
        <w:numId w:val="2"/>
      </w:numPr>
    </w:pPr>
    <w:rPr>
      <w:sz w:val="20"/>
      <w:szCs w:val="20"/>
      <w:lang w:eastAsia="ja-JP"/>
    </w:rPr>
  </w:style>
  <w:style w:type="paragraph" w:styleId="39">
    <w:name w:val="index heading"/>
    <w:basedOn w:val="1"/>
    <w:next w:val="40"/>
    <w:semiHidden/>
    <w:unhideWhenUsed/>
    <w:qFormat/>
    <w:uiPriority w:val="99"/>
    <w:pPr>
      <w:spacing w:before="120" w:after="120"/>
    </w:pPr>
    <w:rPr>
      <w:b/>
      <w:i/>
      <w:sz w:val="20"/>
      <w:szCs w:val="20"/>
      <w:lang w:eastAsia="en-US"/>
    </w:rPr>
  </w:style>
  <w:style w:type="paragraph" w:styleId="40">
    <w:name w:val="index 1"/>
    <w:basedOn w:val="1"/>
    <w:next w:val="1"/>
    <w:semiHidden/>
    <w:unhideWhenUsed/>
    <w:qFormat/>
    <w:uiPriority w:val="99"/>
    <w:pPr>
      <w:ind w:left="240" w:hanging="240"/>
    </w:pPr>
    <w:rPr>
      <w:rFonts w:ascii="Arial" w:hAnsi="Arial"/>
      <w:spacing w:val="20"/>
    </w:rPr>
  </w:style>
  <w:style w:type="paragraph" w:styleId="41">
    <w:name w:val="Body Text 2"/>
    <w:basedOn w:val="1"/>
    <w:link w:val="84"/>
    <w:semiHidden/>
    <w:unhideWhenUsed/>
    <w:qFormat/>
    <w:uiPriority w:val="99"/>
    <w:pPr>
      <w:spacing w:after="120" w:line="480" w:lineRule="auto"/>
    </w:pPr>
  </w:style>
  <w:style w:type="paragraph" w:styleId="42">
    <w:name w:val="header"/>
    <w:basedOn w:val="1"/>
    <w:link w:val="72"/>
    <w:unhideWhenUsed/>
    <w:qFormat/>
    <w:uiPriority w:val="99"/>
    <w:pPr>
      <w:tabs>
        <w:tab w:val="center" w:pos="4419"/>
        <w:tab w:val="right" w:pos="8838"/>
      </w:tabs>
    </w:pPr>
    <w:rPr>
      <w:szCs w:val="20"/>
    </w:rPr>
  </w:style>
  <w:style w:type="paragraph" w:styleId="43">
    <w:name w:val="annotation subject"/>
    <w:basedOn w:val="27"/>
    <w:next w:val="27"/>
    <w:link w:val="352"/>
    <w:semiHidden/>
    <w:unhideWhenUsed/>
    <w:qFormat/>
    <w:uiPriority w:val="99"/>
    <w:rPr>
      <w:b/>
      <w:bCs/>
    </w:rPr>
  </w:style>
  <w:style w:type="paragraph" w:styleId="44">
    <w:name w:val="footer"/>
    <w:basedOn w:val="1"/>
    <w:link w:val="73"/>
    <w:unhideWhenUsed/>
    <w:qFormat/>
    <w:uiPriority w:val="99"/>
    <w:pPr>
      <w:tabs>
        <w:tab w:val="center" w:pos="4252"/>
        <w:tab w:val="right" w:pos="8504"/>
      </w:tabs>
    </w:pPr>
  </w:style>
  <w:style w:type="paragraph" w:styleId="45">
    <w:name w:val="Document Map"/>
    <w:basedOn w:val="1"/>
    <w:link w:val="74"/>
    <w:semiHidden/>
    <w:unhideWhenUsed/>
    <w:qFormat/>
    <w:uiPriority w:val="99"/>
    <w:pPr>
      <w:shd w:val="clear" w:color="auto" w:fill="000080"/>
    </w:pPr>
    <w:rPr>
      <w:rFonts w:ascii="Tahoma" w:hAnsi="Tahoma"/>
      <w:sz w:val="20"/>
      <w:szCs w:val="20"/>
    </w:rPr>
  </w:style>
  <w:style w:type="paragraph" w:styleId="46">
    <w:name w:val="caption"/>
    <w:basedOn w:val="1"/>
    <w:next w:val="1"/>
    <w:semiHidden/>
    <w:unhideWhenUsed/>
    <w:qFormat/>
    <w:uiPriority w:val="35"/>
    <w:pPr>
      <w:suppressLineNumbers/>
      <w:suppressAutoHyphens/>
      <w:spacing w:before="120" w:after="120"/>
    </w:pPr>
    <w:rPr>
      <w:rFonts w:ascii="Thorndale" w:hAnsi="Thorndale"/>
      <w:i/>
      <w:sz w:val="20"/>
      <w:szCs w:val="20"/>
    </w:rPr>
  </w:style>
  <w:style w:type="paragraph" w:styleId="47">
    <w:name w:val="toc 7"/>
    <w:basedOn w:val="1"/>
    <w:next w:val="1"/>
    <w:semiHidden/>
    <w:unhideWhenUsed/>
    <w:uiPriority w:val="39"/>
    <w:pPr>
      <w:ind w:left="1440"/>
    </w:pPr>
    <w:rPr>
      <w:rFonts w:ascii="Calibri" w:hAnsi="Calibri"/>
      <w:sz w:val="18"/>
      <w:szCs w:val="18"/>
    </w:rPr>
  </w:style>
  <w:style w:type="paragraph" w:styleId="48">
    <w:name w:val="List 3"/>
    <w:basedOn w:val="1"/>
    <w:semiHidden/>
    <w:unhideWhenUsed/>
    <w:qFormat/>
    <w:uiPriority w:val="99"/>
    <w:pPr>
      <w:ind w:left="849" w:hanging="283"/>
    </w:pPr>
    <w:rPr>
      <w:rFonts w:eastAsia="SimSun"/>
      <w:sz w:val="20"/>
      <w:szCs w:val="20"/>
    </w:rPr>
  </w:style>
  <w:style w:type="paragraph" w:styleId="49">
    <w:name w:val="Body Text Indent 3"/>
    <w:basedOn w:val="1"/>
    <w:link w:val="126"/>
    <w:semiHidden/>
    <w:unhideWhenUsed/>
    <w:qFormat/>
    <w:uiPriority w:val="99"/>
    <w:pPr>
      <w:suppressAutoHyphens/>
      <w:ind w:left="1821" w:hanging="360"/>
    </w:pPr>
    <w:rPr>
      <w:szCs w:val="20"/>
    </w:rPr>
  </w:style>
  <w:style w:type="paragraph" w:styleId="50">
    <w:name w:val="toc 3"/>
    <w:basedOn w:val="1"/>
    <w:next w:val="1"/>
    <w:semiHidden/>
    <w:unhideWhenUsed/>
    <w:qFormat/>
    <w:uiPriority w:val="39"/>
    <w:pPr>
      <w:ind w:left="480"/>
    </w:pPr>
    <w:rPr>
      <w:rFonts w:ascii="Calibri" w:hAnsi="Calibri"/>
      <w:i/>
      <w:iCs/>
      <w:sz w:val="20"/>
      <w:szCs w:val="20"/>
    </w:rPr>
  </w:style>
  <w:style w:type="paragraph" w:styleId="51">
    <w:name w:val="List Number 3"/>
    <w:basedOn w:val="1"/>
    <w:semiHidden/>
    <w:unhideWhenUsed/>
    <w:qFormat/>
    <w:uiPriority w:val="99"/>
    <w:pPr>
      <w:numPr>
        <w:ilvl w:val="0"/>
        <w:numId w:val="3"/>
      </w:numPr>
    </w:pPr>
    <w:rPr>
      <w:sz w:val="20"/>
      <w:szCs w:val="20"/>
      <w:lang w:eastAsia="ja-JP"/>
    </w:rPr>
  </w:style>
  <w:style w:type="paragraph" w:styleId="52">
    <w:name w:val="Balloon Text"/>
    <w:basedOn w:val="1"/>
    <w:link w:val="76"/>
    <w:unhideWhenUsed/>
    <w:qFormat/>
    <w:uiPriority w:val="99"/>
    <w:rPr>
      <w:rFonts w:ascii="Tahoma" w:hAnsi="Tahoma"/>
      <w:sz w:val="16"/>
      <w:szCs w:val="16"/>
    </w:rPr>
  </w:style>
  <w:style w:type="paragraph" w:styleId="53">
    <w:name w:val="Subtitle"/>
    <w:basedOn w:val="1"/>
    <w:next w:val="1"/>
    <w:link w:val="117"/>
    <w:qFormat/>
    <w:uiPriority w:val="11"/>
    <w:pPr>
      <w:keepNext/>
      <w:suppressAutoHyphens/>
      <w:spacing w:before="240" w:after="120"/>
      <w:ind w:firstLine="0"/>
    </w:pPr>
    <w:rPr>
      <w:rFonts w:ascii="Times New Roman" w:hAnsi="Times New Roman" w:eastAsia="HG Mincho Light J"/>
      <w:i/>
      <w:color w:val="auto"/>
      <w:sz w:val="28"/>
      <w:szCs w:val="20"/>
    </w:rPr>
  </w:style>
  <w:style w:type="paragraph" w:styleId="54">
    <w:name w:val="List 2"/>
    <w:basedOn w:val="1"/>
    <w:semiHidden/>
    <w:unhideWhenUsed/>
    <w:qFormat/>
    <w:uiPriority w:val="99"/>
    <w:pPr>
      <w:overflowPunct w:val="0"/>
      <w:autoSpaceDE w:val="0"/>
      <w:autoSpaceDN w:val="0"/>
      <w:adjustRightInd w:val="0"/>
      <w:ind w:left="566" w:hanging="283"/>
      <w:textAlignment w:val="baseline"/>
    </w:pPr>
    <w:rPr>
      <w:szCs w:val="20"/>
    </w:rPr>
  </w:style>
  <w:style w:type="paragraph" w:styleId="55">
    <w:name w:val="List Bullet"/>
    <w:basedOn w:val="1"/>
    <w:semiHidden/>
    <w:unhideWhenUsed/>
    <w:qFormat/>
    <w:uiPriority w:val="99"/>
    <w:pPr>
      <w:spacing w:line="276" w:lineRule="auto"/>
      <w:jc w:val="both"/>
    </w:pPr>
    <w:rPr>
      <w:sz w:val="20"/>
      <w:szCs w:val="20"/>
    </w:rPr>
  </w:style>
  <w:style w:type="paragraph" w:styleId="56">
    <w:name w:val="toc 1"/>
    <w:basedOn w:val="1"/>
    <w:next w:val="1"/>
    <w:semiHidden/>
    <w:unhideWhenUsed/>
    <w:qFormat/>
    <w:uiPriority w:val="39"/>
    <w:pPr>
      <w:tabs>
        <w:tab w:val="right" w:leader="dot" w:pos="9395"/>
      </w:tabs>
      <w:spacing w:before="120" w:after="120"/>
    </w:pPr>
    <w:rPr>
      <w:rFonts w:ascii="Calibri" w:hAnsi="Calibri"/>
      <w:b/>
      <w:bCs/>
      <w:caps/>
      <w:sz w:val="20"/>
      <w:szCs w:val="20"/>
    </w:rPr>
  </w:style>
  <w:style w:type="paragraph" w:styleId="57">
    <w:name w:val="List Number 4"/>
    <w:basedOn w:val="1"/>
    <w:semiHidden/>
    <w:unhideWhenUsed/>
    <w:qFormat/>
    <w:uiPriority w:val="99"/>
    <w:pPr>
      <w:numPr>
        <w:ilvl w:val="0"/>
        <w:numId w:val="4"/>
      </w:numPr>
    </w:pPr>
    <w:rPr>
      <w:sz w:val="20"/>
      <w:szCs w:val="20"/>
    </w:rPr>
  </w:style>
  <w:style w:type="table" w:styleId="58">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9">
    <w:name w:val="Título 1 Char"/>
    <w:basedOn w:val="11"/>
    <w:link w:val="2"/>
    <w:qFormat/>
    <w:uiPriority w:val="0"/>
    <w:rPr>
      <w:rFonts w:ascii="Arial" w:hAnsi="Arial" w:cs="Arial"/>
      <w:b/>
      <w:bCs/>
      <w:sz w:val="24"/>
      <w:szCs w:val="24"/>
    </w:rPr>
  </w:style>
  <w:style w:type="character" w:customStyle="1" w:styleId="60">
    <w:name w:val="Título 2 Char"/>
    <w:basedOn w:val="11"/>
    <w:link w:val="3"/>
    <w:qFormat/>
    <w:uiPriority w:val="0"/>
    <w:rPr>
      <w:rFonts w:ascii="Arial" w:hAnsi="Arial" w:cs="Arial"/>
      <w:b/>
      <w:bCs/>
      <w:i/>
      <w:iCs/>
      <w:sz w:val="28"/>
      <w:szCs w:val="28"/>
    </w:rPr>
  </w:style>
  <w:style w:type="character" w:customStyle="1" w:styleId="61">
    <w:name w:val="Título 3 Char"/>
    <w:basedOn w:val="11"/>
    <w:link w:val="4"/>
    <w:qFormat/>
    <w:uiPriority w:val="0"/>
    <w:rPr>
      <w:rFonts w:ascii="Arial" w:hAnsi="Arial"/>
      <w:b/>
      <w:sz w:val="24"/>
    </w:rPr>
  </w:style>
  <w:style w:type="character" w:customStyle="1" w:styleId="62">
    <w:name w:val="Título 4 Char"/>
    <w:basedOn w:val="11"/>
    <w:link w:val="5"/>
    <w:qFormat/>
    <w:uiPriority w:val="0"/>
    <w:rPr>
      <w:b/>
      <w:bCs/>
      <w:sz w:val="24"/>
      <w:szCs w:val="24"/>
    </w:rPr>
  </w:style>
  <w:style w:type="character" w:customStyle="1" w:styleId="63">
    <w:name w:val="Título 5 Char"/>
    <w:basedOn w:val="11"/>
    <w:link w:val="6"/>
    <w:qFormat/>
    <w:uiPriority w:val="0"/>
    <w:rPr>
      <w:b/>
      <w:bCs/>
      <w:i/>
      <w:iCs/>
      <w:sz w:val="26"/>
      <w:szCs w:val="26"/>
    </w:rPr>
  </w:style>
  <w:style w:type="character" w:customStyle="1" w:styleId="64">
    <w:name w:val="Título 6 Char"/>
    <w:basedOn w:val="11"/>
    <w:link w:val="7"/>
    <w:qFormat/>
    <w:uiPriority w:val="0"/>
    <w:rPr>
      <w:b/>
      <w:bCs/>
      <w:sz w:val="24"/>
    </w:rPr>
  </w:style>
  <w:style w:type="character" w:customStyle="1" w:styleId="65">
    <w:name w:val="Título 7 Char"/>
    <w:basedOn w:val="11"/>
    <w:link w:val="8"/>
    <w:qFormat/>
    <w:uiPriority w:val="0"/>
    <w:rPr>
      <w:sz w:val="24"/>
      <w:szCs w:val="24"/>
    </w:rPr>
  </w:style>
  <w:style w:type="character" w:customStyle="1" w:styleId="66">
    <w:name w:val="Título 8 Char"/>
    <w:basedOn w:val="11"/>
    <w:link w:val="9"/>
    <w:qFormat/>
    <w:uiPriority w:val="0"/>
    <w:rPr>
      <w:rFonts w:ascii="Calibri" w:hAnsi="Calibri"/>
      <w:i/>
      <w:iCs/>
      <w:sz w:val="24"/>
      <w:szCs w:val="24"/>
    </w:rPr>
  </w:style>
  <w:style w:type="character" w:customStyle="1" w:styleId="67">
    <w:name w:val="Título 9 Char"/>
    <w:basedOn w:val="11"/>
    <w:link w:val="10"/>
    <w:qFormat/>
    <w:uiPriority w:val="99"/>
    <w:rPr>
      <w:rFonts w:ascii="Arial" w:hAnsi="Arial"/>
      <w:snapToGrid w:val="0"/>
      <w:sz w:val="24"/>
    </w:rPr>
  </w:style>
  <w:style w:type="character" w:customStyle="1" w:styleId="68">
    <w:name w:val="Corpo de texto 3 Char"/>
    <w:link w:val="37"/>
    <w:qFormat/>
    <w:uiPriority w:val="99"/>
    <w:rPr>
      <w:b/>
      <w:sz w:val="24"/>
      <w:szCs w:val="24"/>
    </w:rPr>
  </w:style>
  <w:style w:type="character" w:customStyle="1" w:styleId="69">
    <w:name w:val="Corpo de texto Char"/>
    <w:link w:val="24"/>
    <w:qFormat/>
    <w:uiPriority w:val="0"/>
    <w:rPr>
      <w:sz w:val="24"/>
      <w:szCs w:val="24"/>
    </w:rPr>
  </w:style>
  <w:style w:type="paragraph" w:customStyle="1" w:styleId="70">
    <w:name w:val="Blockquote"/>
    <w:basedOn w:val="1"/>
    <w:qFormat/>
    <w:uiPriority w:val="99"/>
    <w:pPr>
      <w:spacing w:before="100" w:after="100"/>
      <w:ind w:left="360" w:right="360"/>
    </w:pPr>
    <w:rPr>
      <w:szCs w:val="20"/>
    </w:rPr>
  </w:style>
  <w:style w:type="paragraph" w:customStyle="1" w:styleId="71">
    <w:name w:val="Estilo2"/>
    <w:basedOn w:val="1"/>
    <w:qFormat/>
    <w:uiPriority w:val="0"/>
    <w:pPr>
      <w:ind w:left="2694" w:hanging="284"/>
      <w:jc w:val="both"/>
    </w:pPr>
    <w:rPr>
      <w:snapToGrid w:val="0"/>
      <w:szCs w:val="20"/>
    </w:rPr>
  </w:style>
  <w:style w:type="character" w:customStyle="1" w:styleId="72">
    <w:name w:val="Cabeçalho Char"/>
    <w:basedOn w:val="11"/>
    <w:link w:val="42"/>
    <w:qFormat/>
    <w:uiPriority w:val="99"/>
    <w:rPr>
      <w:sz w:val="24"/>
    </w:rPr>
  </w:style>
  <w:style w:type="character" w:customStyle="1" w:styleId="73">
    <w:name w:val="Rodapé Char"/>
    <w:basedOn w:val="11"/>
    <w:link w:val="44"/>
    <w:qFormat/>
    <w:uiPriority w:val="99"/>
    <w:rPr>
      <w:sz w:val="24"/>
      <w:szCs w:val="24"/>
    </w:rPr>
  </w:style>
  <w:style w:type="character" w:customStyle="1" w:styleId="74">
    <w:name w:val="Mapa do Documento Char"/>
    <w:link w:val="45"/>
    <w:semiHidden/>
    <w:qFormat/>
    <w:uiPriority w:val="0"/>
    <w:rPr>
      <w:rFonts w:ascii="Tahoma" w:hAnsi="Tahoma" w:cs="Tahoma"/>
      <w:shd w:val="clear" w:color="auto" w:fill="000080"/>
    </w:rPr>
  </w:style>
  <w:style w:type="paragraph" w:customStyle="1" w:styleId="75">
    <w:name w:val="reservado3"/>
    <w:basedOn w:val="1"/>
    <w:qFormat/>
    <w:uiPriority w:val="0"/>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rPr>
  </w:style>
  <w:style w:type="character" w:customStyle="1" w:styleId="76">
    <w:name w:val="Texto de balão Char"/>
    <w:basedOn w:val="11"/>
    <w:link w:val="52"/>
    <w:qFormat/>
    <w:uiPriority w:val="99"/>
    <w:rPr>
      <w:rFonts w:ascii="Tahoma" w:hAnsi="Tahoma" w:cs="Tahoma"/>
      <w:sz w:val="16"/>
      <w:szCs w:val="16"/>
    </w:rPr>
  </w:style>
  <w:style w:type="paragraph" w:customStyle="1" w:styleId="77">
    <w:name w:val="Body Text 21"/>
    <w:basedOn w:val="1"/>
    <w:qFormat/>
    <w:uiPriority w:val="0"/>
    <w:pPr>
      <w:tabs>
        <w:tab w:val="left" w:pos="426"/>
        <w:tab w:val="left" w:pos="1134"/>
      </w:tabs>
      <w:spacing w:before="120"/>
      <w:jc w:val="both"/>
    </w:pPr>
    <w:rPr>
      <w:rFonts w:ascii="Arial" w:hAnsi="Arial" w:cs="Arial"/>
    </w:rPr>
  </w:style>
  <w:style w:type="paragraph" w:customStyle="1" w:styleId="78">
    <w:name w:val="Default"/>
    <w:qFormat/>
    <w:uiPriority w:val="0"/>
    <w:pPr>
      <w:widowControl w:val="0"/>
      <w:autoSpaceDE w:val="0"/>
      <w:autoSpaceDN w:val="0"/>
      <w:adjustRightInd w:val="0"/>
    </w:pPr>
    <w:rPr>
      <w:rFonts w:ascii="MLMPJP+TimesNewRoman,Bold" w:hAnsi="MLMPJP+TimesNewRoman,Bold" w:eastAsia="Times New Roman" w:cs="MLMPJP+TimesNewRoman,Bold"/>
      <w:color w:val="000000"/>
      <w:sz w:val="24"/>
      <w:szCs w:val="24"/>
      <w:lang w:val="en-US" w:eastAsia="en-US" w:bidi="ar-SA"/>
    </w:rPr>
  </w:style>
  <w:style w:type="paragraph" w:customStyle="1" w:styleId="79">
    <w:name w:val="xl38"/>
    <w:basedOn w:val="1"/>
    <w:qFormat/>
    <w:uiPriority w:val="0"/>
    <w:pPr>
      <w:pBdr>
        <w:left w:val="single" w:color="auto" w:sz="4" w:space="0"/>
      </w:pBdr>
      <w:spacing w:before="100" w:beforeAutospacing="1" w:after="100" w:afterAutospacing="1"/>
      <w:jc w:val="center"/>
    </w:pPr>
    <w:rPr>
      <w:rFonts w:ascii="Arial" w:hAnsi="Arial" w:cs="Arial"/>
      <w:b/>
      <w:bCs/>
    </w:rPr>
  </w:style>
  <w:style w:type="character" w:customStyle="1" w:styleId="80">
    <w:name w:val="Título Char"/>
    <w:basedOn w:val="11"/>
    <w:link w:val="30"/>
    <w:qFormat/>
    <w:uiPriority w:val="99"/>
    <w:rPr>
      <w:rFonts w:ascii="Arial" w:hAnsi="Arial" w:cs="Arial"/>
      <w:b/>
      <w:bCs/>
      <w:color w:val="000000"/>
      <w:sz w:val="24"/>
      <w:szCs w:val="24"/>
    </w:rPr>
  </w:style>
  <w:style w:type="paragraph" w:customStyle="1" w:styleId="81">
    <w:name w:val="Estilo6"/>
    <w:basedOn w:val="1"/>
    <w:qFormat/>
    <w:uiPriority w:val="0"/>
    <w:pPr>
      <w:tabs>
        <w:tab w:val="left" w:leader="dot" w:pos="9356"/>
      </w:tabs>
      <w:snapToGrid w:val="0"/>
      <w:ind w:left="1134"/>
      <w:jc w:val="both"/>
    </w:pPr>
    <w:rPr>
      <w:szCs w:val="20"/>
    </w:rPr>
  </w:style>
  <w:style w:type="paragraph" w:customStyle="1" w:styleId="82">
    <w:name w:val="WW-Corpo de texto 3"/>
    <w:basedOn w:val="1"/>
    <w:qFormat/>
    <w:uiPriority w:val="0"/>
    <w:pPr>
      <w:suppressAutoHyphens/>
      <w:jc w:val="center"/>
    </w:pPr>
    <w:rPr>
      <w:szCs w:val="20"/>
    </w:rPr>
  </w:style>
  <w:style w:type="character" w:customStyle="1" w:styleId="83">
    <w:name w:val="Recuo de corpo de texto 2 Char"/>
    <w:link w:val="29"/>
    <w:qFormat/>
    <w:uiPriority w:val="99"/>
    <w:rPr>
      <w:sz w:val="24"/>
      <w:lang w:eastAsia="pt-BR"/>
    </w:rPr>
  </w:style>
  <w:style w:type="character" w:customStyle="1" w:styleId="84">
    <w:name w:val="Corpo de texto 2 Char"/>
    <w:link w:val="41"/>
    <w:qFormat/>
    <w:uiPriority w:val="0"/>
    <w:rPr>
      <w:sz w:val="24"/>
      <w:szCs w:val="24"/>
    </w:rPr>
  </w:style>
  <w:style w:type="paragraph" w:customStyle="1" w:styleId="85">
    <w:name w:val="Nível 2"/>
    <w:basedOn w:val="1"/>
    <w:next w:val="1"/>
    <w:qFormat/>
    <w:uiPriority w:val="0"/>
    <w:pPr>
      <w:widowControl w:val="0"/>
      <w:autoSpaceDE w:val="0"/>
      <w:autoSpaceDN w:val="0"/>
      <w:adjustRightInd w:val="0"/>
      <w:spacing w:after="120"/>
      <w:jc w:val="both"/>
    </w:pPr>
    <w:rPr>
      <w:rFonts w:ascii="Arial" w:hAnsi="Arial" w:cs="Arial"/>
      <w:b/>
      <w:szCs w:val="20"/>
      <w:lang w:val="en-US" w:eastAsia="en-US"/>
    </w:rPr>
  </w:style>
  <w:style w:type="paragraph" w:styleId="86">
    <w:name w:val="List Paragraph"/>
    <w:basedOn w:val="1"/>
    <w:link w:val="367"/>
    <w:qFormat/>
    <w:uiPriority w:val="1"/>
    <w:pPr>
      <w:ind w:left="708"/>
    </w:pPr>
  </w:style>
  <w:style w:type="paragraph" w:customStyle="1" w:styleId="87">
    <w:name w:val="Corpo de texto 21"/>
    <w:basedOn w:val="1"/>
    <w:qFormat/>
    <w:uiPriority w:val="0"/>
    <w:pPr>
      <w:widowControl w:val="0"/>
      <w:autoSpaceDE w:val="0"/>
      <w:autoSpaceDN w:val="0"/>
      <w:adjustRightInd w:val="0"/>
      <w:ind w:firstLine="708"/>
      <w:jc w:val="both"/>
    </w:pPr>
    <w:rPr>
      <w:rFonts w:ascii="Arial" w:hAnsi="Arial" w:cs="Arial"/>
      <w:szCs w:val="20"/>
      <w:lang w:val="en-US" w:eastAsia="en-US"/>
    </w:rPr>
  </w:style>
  <w:style w:type="paragraph" w:customStyle="1" w:styleId="88">
    <w:name w:val="Padrão"/>
    <w:qFormat/>
    <w:uiPriority w:val="0"/>
    <w:rPr>
      <w:rFonts w:ascii="Times New Roman" w:hAnsi="Times New Roman" w:eastAsia="Times New Roman" w:cs="Times New Roman"/>
      <w:sz w:val="24"/>
      <w:lang w:val="pt-BR" w:eastAsia="pt-BR" w:bidi="ar-SA"/>
    </w:rPr>
  </w:style>
  <w:style w:type="paragraph" w:customStyle="1" w:styleId="89">
    <w:name w:val="P30"/>
    <w:basedOn w:val="1"/>
    <w:qFormat/>
    <w:uiPriority w:val="0"/>
    <w:pPr>
      <w:jc w:val="both"/>
    </w:pPr>
    <w:rPr>
      <w:b/>
      <w:snapToGrid w:val="0"/>
      <w:szCs w:val="20"/>
    </w:rPr>
  </w:style>
  <w:style w:type="paragraph" w:customStyle="1" w:styleId="90">
    <w:name w:val="Conteúdo de tabela"/>
    <w:basedOn w:val="24"/>
    <w:qFormat/>
    <w:uiPriority w:val="0"/>
    <w:pPr>
      <w:widowControl w:val="0"/>
      <w:suppressAutoHyphens/>
    </w:pPr>
    <w:rPr>
      <w:sz w:val="20"/>
      <w:szCs w:val="20"/>
      <w:lang w:val="en-US"/>
    </w:rPr>
  </w:style>
  <w:style w:type="character" w:customStyle="1" w:styleId="91">
    <w:name w:val="Estilo Arial 11 pt Itálico"/>
    <w:qFormat/>
    <w:uiPriority w:val="0"/>
    <w:rPr>
      <w:rFonts w:ascii="Arial" w:hAnsi="Arial"/>
      <w:iCs/>
      <w:sz w:val="22"/>
    </w:rPr>
  </w:style>
  <w:style w:type="character" w:customStyle="1" w:styleId="92">
    <w:name w:val="Texto sem Formatação Char"/>
    <w:link w:val="33"/>
    <w:qFormat/>
    <w:uiPriority w:val="0"/>
    <w:rPr>
      <w:rFonts w:ascii="Consolas" w:hAnsi="Consolas" w:eastAsia="Calibri"/>
      <w:sz w:val="21"/>
      <w:szCs w:val="21"/>
      <w:lang w:eastAsia="en-US"/>
    </w:rPr>
  </w:style>
  <w:style w:type="character" w:customStyle="1" w:styleId="93">
    <w:name w:val="Recuo de corpo de texto Char"/>
    <w:link w:val="22"/>
    <w:qFormat/>
    <w:uiPriority w:val="0"/>
    <w:rPr>
      <w:sz w:val="24"/>
      <w:szCs w:val="24"/>
    </w:rPr>
  </w:style>
  <w:style w:type="character" w:customStyle="1" w:styleId="94">
    <w:name w:val="apple-converted-space"/>
    <w:basedOn w:val="11"/>
    <w:qFormat/>
    <w:uiPriority w:val="0"/>
  </w:style>
  <w:style w:type="character" w:customStyle="1" w:styleId="95">
    <w:name w:val="Símbolos de Numeração"/>
    <w:qFormat/>
    <w:uiPriority w:val="0"/>
  </w:style>
  <w:style w:type="character" w:customStyle="1" w:styleId="96">
    <w:name w:val="WW-Fonte parág. padrão"/>
    <w:qFormat/>
    <w:uiPriority w:val="0"/>
  </w:style>
  <w:style w:type="character" w:customStyle="1" w:styleId="97">
    <w:name w:val="WW8Num1z0"/>
    <w:qFormat/>
    <w:uiPriority w:val="0"/>
    <w:rPr>
      <w:rFonts w:ascii="Times New Roman" w:hAnsi="Times New Roman" w:eastAsia="Times New Roman"/>
    </w:rPr>
  </w:style>
  <w:style w:type="character" w:customStyle="1" w:styleId="98">
    <w:name w:val="WW8Num1z1"/>
    <w:qFormat/>
    <w:uiPriority w:val="0"/>
    <w:rPr>
      <w:rFonts w:ascii="Courier New" w:hAnsi="Courier New"/>
    </w:rPr>
  </w:style>
  <w:style w:type="character" w:customStyle="1" w:styleId="99">
    <w:name w:val="WW8Num1z2"/>
    <w:qFormat/>
    <w:uiPriority w:val="0"/>
    <w:rPr>
      <w:rFonts w:ascii="Wingdings" w:hAnsi="Wingdings"/>
    </w:rPr>
  </w:style>
  <w:style w:type="character" w:customStyle="1" w:styleId="100">
    <w:name w:val="WW8Num1z3"/>
    <w:qFormat/>
    <w:uiPriority w:val="0"/>
    <w:rPr>
      <w:rFonts w:ascii="Symbol" w:hAnsi="Symbol"/>
    </w:rPr>
  </w:style>
  <w:style w:type="character" w:customStyle="1" w:styleId="101">
    <w:name w:val="WW8Num2z0"/>
    <w:qFormat/>
    <w:uiPriority w:val="0"/>
    <w:rPr>
      <w:rFonts w:ascii="Times New Roman" w:hAnsi="Times New Roman" w:eastAsia="Times New Roman"/>
    </w:rPr>
  </w:style>
  <w:style w:type="character" w:customStyle="1" w:styleId="102">
    <w:name w:val="WW8Num2z1"/>
    <w:qFormat/>
    <w:uiPriority w:val="0"/>
    <w:rPr>
      <w:rFonts w:ascii="Courier New" w:hAnsi="Courier New"/>
    </w:rPr>
  </w:style>
  <w:style w:type="character" w:customStyle="1" w:styleId="103">
    <w:name w:val="WW8Num2z2"/>
    <w:qFormat/>
    <w:uiPriority w:val="0"/>
    <w:rPr>
      <w:rFonts w:ascii="Wingdings" w:hAnsi="Wingdings"/>
    </w:rPr>
  </w:style>
  <w:style w:type="character" w:customStyle="1" w:styleId="104">
    <w:name w:val="WW8Num2z3"/>
    <w:qFormat/>
    <w:uiPriority w:val="0"/>
    <w:rPr>
      <w:rFonts w:ascii="Symbol" w:hAnsi="Symbol"/>
    </w:rPr>
  </w:style>
  <w:style w:type="character" w:customStyle="1" w:styleId="105">
    <w:name w:val="WW8Num3z0"/>
    <w:qFormat/>
    <w:uiPriority w:val="0"/>
    <w:rPr>
      <w:rFonts w:ascii="Times New Roman" w:hAnsi="Times New Roman" w:eastAsia="Times New Roman"/>
    </w:rPr>
  </w:style>
  <w:style w:type="character" w:customStyle="1" w:styleId="106">
    <w:name w:val="WW8Num3z1"/>
    <w:qFormat/>
    <w:uiPriority w:val="0"/>
    <w:rPr>
      <w:rFonts w:ascii="Courier New" w:hAnsi="Courier New"/>
    </w:rPr>
  </w:style>
  <w:style w:type="character" w:customStyle="1" w:styleId="107">
    <w:name w:val="WW8Num3z2"/>
    <w:qFormat/>
    <w:uiPriority w:val="0"/>
    <w:rPr>
      <w:rFonts w:ascii="Wingdings" w:hAnsi="Wingdings"/>
    </w:rPr>
  </w:style>
  <w:style w:type="character" w:customStyle="1" w:styleId="108">
    <w:name w:val="WW8Num3z3"/>
    <w:qFormat/>
    <w:uiPriority w:val="0"/>
    <w:rPr>
      <w:rFonts w:ascii="Symbol" w:hAnsi="Symbol"/>
    </w:rPr>
  </w:style>
  <w:style w:type="character" w:customStyle="1" w:styleId="109">
    <w:name w:val="WW8Num4z0"/>
    <w:qFormat/>
    <w:uiPriority w:val="0"/>
    <w:rPr>
      <w:rFonts w:ascii="Times New Roman" w:hAnsi="Times New Roman" w:eastAsia="Times New Roman"/>
    </w:rPr>
  </w:style>
  <w:style w:type="character" w:customStyle="1" w:styleId="110">
    <w:name w:val="WW8Num4z1"/>
    <w:qFormat/>
    <w:uiPriority w:val="0"/>
    <w:rPr>
      <w:rFonts w:ascii="Courier New" w:hAnsi="Courier New"/>
    </w:rPr>
  </w:style>
  <w:style w:type="character" w:customStyle="1" w:styleId="111">
    <w:name w:val="WW8Num4z2"/>
    <w:qFormat/>
    <w:uiPriority w:val="0"/>
    <w:rPr>
      <w:rFonts w:ascii="Wingdings" w:hAnsi="Wingdings"/>
    </w:rPr>
  </w:style>
  <w:style w:type="character" w:customStyle="1" w:styleId="112">
    <w:name w:val="WW8Num4z3"/>
    <w:qFormat/>
    <w:uiPriority w:val="0"/>
    <w:rPr>
      <w:rFonts w:ascii="Symbol" w:hAnsi="Symbol"/>
    </w:rPr>
  </w:style>
  <w:style w:type="character" w:customStyle="1" w:styleId="113">
    <w:name w:val="WW8Num13z1"/>
    <w:qFormat/>
    <w:uiPriority w:val="0"/>
    <w:rPr>
      <w:rFonts w:ascii="Courier New" w:hAnsi="Courier New"/>
    </w:rPr>
  </w:style>
  <w:style w:type="character" w:customStyle="1" w:styleId="114">
    <w:name w:val="WW8Num13z2"/>
    <w:qFormat/>
    <w:uiPriority w:val="0"/>
    <w:rPr>
      <w:rFonts w:ascii="Wingdings" w:hAnsi="Wingdings"/>
    </w:rPr>
  </w:style>
  <w:style w:type="character" w:customStyle="1" w:styleId="115">
    <w:name w:val="WW8Num13z3"/>
    <w:qFormat/>
    <w:uiPriority w:val="0"/>
    <w:rPr>
      <w:rFonts w:ascii="Symbol" w:hAnsi="Symbol"/>
    </w:rPr>
  </w:style>
  <w:style w:type="character" w:customStyle="1" w:styleId="116">
    <w:name w:val="WW8Num14z0"/>
    <w:qFormat/>
    <w:uiPriority w:val="0"/>
    <w:rPr>
      <w:rFonts w:ascii="Times New Roman" w:hAnsi="Times New Roman"/>
    </w:rPr>
  </w:style>
  <w:style w:type="character" w:customStyle="1" w:styleId="117">
    <w:name w:val="Subtítulo Char"/>
    <w:basedOn w:val="11"/>
    <w:link w:val="53"/>
    <w:qFormat/>
    <w:uiPriority w:val="0"/>
    <w:rPr>
      <w:rFonts w:eastAsia="HG Mincho Light J"/>
      <w:i/>
      <w:sz w:val="28"/>
    </w:rPr>
  </w:style>
  <w:style w:type="paragraph" w:customStyle="1" w:styleId="118">
    <w:name w:val="Conteúdo da Tabela"/>
    <w:basedOn w:val="24"/>
    <w:qFormat/>
    <w:uiPriority w:val="0"/>
    <w:pPr>
      <w:suppressLineNumbers/>
      <w:suppressAutoHyphens/>
      <w:spacing w:after="0"/>
    </w:pPr>
    <w:rPr>
      <w:b/>
      <w:szCs w:val="20"/>
    </w:rPr>
  </w:style>
  <w:style w:type="paragraph" w:customStyle="1" w:styleId="119">
    <w:name w:val="Título da Tabela"/>
    <w:basedOn w:val="118"/>
    <w:qFormat/>
    <w:uiPriority w:val="0"/>
    <w:pPr>
      <w:jc w:val="center"/>
    </w:pPr>
    <w:rPr>
      <w:i/>
    </w:rPr>
  </w:style>
  <w:style w:type="paragraph" w:customStyle="1" w:styleId="120">
    <w:name w:val="Conteúdo da moldura"/>
    <w:basedOn w:val="24"/>
    <w:qFormat/>
    <w:uiPriority w:val="0"/>
    <w:pPr>
      <w:suppressAutoHyphens/>
      <w:spacing w:after="0"/>
    </w:pPr>
    <w:rPr>
      <w:b/>
      <w:szCs w:val="20"/>
    </w:rPr>
  </w:style>
  <w:style w:type="paragraph" w:customStyle="1" w:styleId="121">
    <w:name w:val="Índice"/>
    <w:basedOn w:val="1"/>
    <w:qFormat/>
    <w:uiPriority w:val="0"/>
    <w:pPr>
      <w:suppressLineNumbers/>
      <w:suppressAutoHyphens/>
    </w:pPr>
    <w:rPr>
      <w:rFonts w:ascii="Thorndale" w:hAnsi="Thorndale"/>
      <w:szCs w:val="20"/>
    </w:rPr>
  </w:style>
  <w:style w:type="paragraph" w:customStyle="1" w:styleId="122">
    <w:name w:val="WW-Corpo de texto 2"/>
    <w:basedOn w:val="1"/>
    <w:qFormat/>
    <w:uiPriority w:val="0"/>
    <w:pPr>
      <w:suppressAutoHyphens/>
    </w:pPr>
    <w:rPr>
      <w:b/>
      <w:color w:val="0000FF"/>
      <w:szCs w:val="20"/>
    </w:rPr>
  </w:style>
  <w:style w:type="paragraph" w:customStyle="1" w:styleId="123">
    <w:name w:val="WW-Normal (Web)"/>
    <w:basedOn w:val="1"/>
    <w:qFormat/>
    <w:uiPriority w:val="0"/>
    <w:pPr>
      <w:spacing w:before="100" w:after="100"/>
    </w:pPr>
    <w:rPr>
      <w:szCs w:val="20"/>
    </w:rPr>
  </w:style>
  <w:style w:type="paragraph" w:customStyle="1" w:styleId="124">
    <w:name w:val="WW-Recuo de corpo de texto 21"/>
    <w:basedOn w:val="1"/>
    <w:qFormat/>
    <w:uiPriority w:val="0"/>
    <w:pPr>
      <w:widowControl w:val="0"/>
      <w:ind w:firstLine="708"/>
      <w:jc w:val="both"/>
    </w:pPr>
    <w:rPr>
      <w:rFonts w:ascii="Arial" w:hAnsi="Arial"/>
      <w:szCs w:val="20"/>
    </w:rPr>
  </w:style>
  <w:style w:type="paragraph" w:customStyle="1" w:styleId="125">
    <w:name w:val="WW-Recuo de corpo de texto 312"/>
    <w:basedOn w:val="1"/>
    <w:qFormat/>
    <w:uiPriority w:val="0"/>
    <w:pPr>
      <w:ind w:firstLine="1800"/>
    </w:pPr>
    <w:rPr>
      <w:szCs w:val="20"/>
    </w:rPr>
  </w:style>
  <w:style w:type="character" w:customStyle="1" w:styleId="126">
    <w:name w:val="Recuo de corpo de texto 3 Char"/>
    <w:link w:val="49"/>
    <w:qFormat/>
    <w:uiPriority w:val="99"/>
    <w:rPr>
      <w:sz w:val="24"/>
    </w:rPr>
  </w:style>
  <w:style w:type="paragraph" w:customStyle="1" w:styleId="127">
    <w:name w:val="Titulo A"/>
    <w:basedOn w:val="1"/>
    <w:qFormat/>
    <w:uiPriority w:val="0"/>
    <w:pPr>
      <w:numPr>
        <w:ilvl w:val="0"/>
        <w:numId w:val="5"/>
      </w:numPr>
      <w:spacing w:before="360" w:after="120"/>
      <w:outlineLvl w:val="0"/>
    </w:pPr>
    <w:rPr>
      <w:b/>
    </w:rPr>
  </w:style>
  <w:style w:type="paragraph" w:customStyle="1" w:styleId="128">
    <w:name w:val="Item a.a"/>
    <w:basedOn w:val="1"/>
    <w:qFormat/>
    <w:uiPriority w:val="0"/>
    <w:pPr>
      <w:widowControl w:val="0"/>
      <w:numPr>
        <w:ilvl w:val="1"/>
        <w:numId w:val="5"/>
      </w:numPr>
      <w:spacing w:before="120" w:after="120"/>
      <w:outlineLvl w:val="1"/>
    </w:pPr>
  </w:style>
  <w:style w:type="paragraph" w:customStyle="1" w:styleId="129">
    <w:name w:val="Item a.a.a"/>
    <w:basedOn w:val="1"/>
    <w:qFormat/>
    <w:uiPriority w:val="0"/>
    <w:pPr>
      <w:widowControl w:val="0"/>
      <w:numPr>
        <w:ilvl w:val="2"/>
        <w:numId w:val="5"/>
      </w:numPr>
      <w:spacing w:after="120"/>
      <w:outlineLvl w:val="2"/>
    </w:pPr>
  </w:style>
  <w:style w:type="paragraph" w:customStyle="1" w:styleId="130">
    <w:name w:val="Item a.a.a.a"/>
    <w:basedOn w:val="1"/>
    <w:qFormat/>
    <w:uiPriority w:val="0"/>
    <w:pPr>
      <w:numPr>
        <w:ilvl w:val="3"/>
        <w:numId w:val="5"/>
      </w:numPr>
      <w:spacing w:after="120"/>
      <w:outlineLvl w:val="3"/>
    </w:pPr>
  </w:style>
  <w:style w:type="paragraph" w:customStyle="1" w:styleId="131">
    <w:name w:val="Item a.a.a.a.a"/>
    <w:basedOn w:val="130"/>
    <w:qFormat/>
    <w:uiPriority w:val="0"/>
    <w:pPr>
      <w:numPr>
        <w:ilvl w:val="0"/>
        <w:numId w:val="0"/>
      </w:numPr>
      <w:tabs>
        <w:tab w:val="left" w:pos="1531"/>
      </w:tabs>
      <w:ind w:left="1531" w:hanging="1531"/>
    </w:pPr>
  </w:style>
  <w:style w:type="paragraph" w:customStyle="1" w:styleId="132">
    <w:name w:val="DW"/>
    <w:basedOn w:val="1"/>
    <w:qFormat/>
    <w:uiPriority w:val="0"/>
    <w:pPr>
      <w:widowControl w:val="0"/>
      <w:tabs>
        <w:tab w:val="left" w:pos="1134"/>
      </w:tabs>
      <w:suppressAutoHyphens/>
      <w:spacing w:before="120" w:after="120"/>
      <w:jc w:val="both"/>
    </w:pPr>
    <w:rPr>
      <w:rFonts w:ascii="Arial" w:hAnsi="Arial"/>
      <w:sz w:val="20"/>
      <w:szCs w:val="20"/>
    </w:rPr>
  </w:style>
  <w:style w:type="paragraph" w:customStyle="1" w:styleId="133">
    <w:name w:val="P"/>
    <w:basedOn w:val="1"/>
    <w:qFormat/>
    <w:uiPriority w:val="0"/>
    <w:pPr>
      <w:jc w:val="both"/>
    </w:pPr>
    <w:rPr>
      <w:b/>
      <w:szCs w:val="20"/>
    </w:rPr>
  </w:style>
  <w:style w:type="paragraph" w:customStyle="1" w:styleId="134">
    <w:name w:val="Corpo de texto 211"/>
    <w:basedOn w:val="1"/>
    <w:qFormat/>
    <w:uiPriority w:val="0"/>
    <w:pPr>
      <w:widowControl w:val="0"/>
      <w:autoSpaceDE w:val="0"/>
      <w:autoSpaceDN w:val="0"/>
      <w:adjustRightInd w:val="0"/>
      <w:ind w:firstLine="708"/>
      <w:jc w:val="both"/>
    </w:pPr>
    <w:rPr>
      <w:rFonts w:ascii="Arial" w:hAnsi="Arial" w:cs="Arial"/>
      <w:szCs w:val="20"/>
      <w:lang w:val="en-US" w:eastAsia="en-US"/>
    </w:rPr>
  </w:style>
  <w:style w:type="paragraph" w:customStyle="1" w:styleId="135">
    <w:name w:val="Recuo de corpo de texto 21"/>
    <w:basedOn w:val="1"/>
    <w:qFormat/>
    <w:uiPriority w:val="0"/>
    <w:pPr>
      <w:ind w:left="567" w:hanging="567"/>
      <w:jc w:val="both"/>
    </w:pPr>
    <w:rPr>
      <w:b/>
      <w:sz w:val="22"/>
      <w:szCs w:val="20"/>
      <w:lang w:eastAsia="ja-JP"/>
    </w:rPr>
  </w:style>
  <w:style w:type="paragraph" w:customStyle="1" w:styleId="136">
    <w:name w:val="1.1.1.1.1 - Numeração 4"/>
    <w:basedOn w:val="1"/>
    <w:qFormat/>
    <w:uiPriority w:val="0"/>
    <w:pPr>
      <w:numPr>
        <w:ilvl w:val="4"/>
        <w:numId w:val="6"/>
      </w:numPr>
      <w:spacing w:before="160" w:after="160"/>
      <w:jc w:val="both"/>
    </w:pPr>
    <w:rPr>
      <w:rFonts w:eastAsia="Calibri"/>
      <w:bCs/>
      <w:lang w:eastAsia="ja-JP"/>
    </w:rPr>
  </w:style>
  <w:style w:type="paragraph" w:customStyle="1" w:styleId="137">
    <w:name w:val="Numeração"/>
    <w:basedOn w:val="1"/>
    <w:qFormat/>
    <w:uiPriority w:val="0"/>
    <w:pPr>
      <w:widowControl w:val="0"/>
      <w:jc w:val="both"/>
    </w:pPr>
    <w:rPr>
      <w:rFonts w:ascii="Arial" w:hAnsi="Arial"/>
      <w:szCs w:val="20"/>
      <w:lang w:eastAsia="ja-JP"/>
    </w:rPr>
  </w:style>
  <w:style w:type="paragraph" w:customStyle="1" w:styleId="138">
    <w:name w:val="TxBr_p0"/>
    <w:basedOn w:val="1"/>
    <w:qFormat/>
    <w:uiPriority w:val="0"/>
    <w:pPr>
      <w:widowControl w:val="0"/>
      <w:tabs>
        <w:tab w:val="left" w:pos="204"/>
      </w:tabs>
      <w:autoSpaceDE w:val="0"/>
      <w:autoSpaceDN w:val="0"/>
      <w:spacing w:line="240" w:lineRule="atLeast"/>
      <w:jc w:val="both"/>
    </w:pPr>
    <w:rPr>
      <w:lang w:val="en-US"/>
    </w:rPr>
  </w:style>
  <w:style w:type="paragraph" w:customStyle="1" w:styleId="139">
    <w:name w:val="Numerada 1"/>
    <w:basedOn w:val="24"/>
    <w:qFormat/>
    <w:uiPriority w:val="0"/>
    <w:pPr>
      <w:keepNext/>
      <w:tabs>
        <w:tab w:val="left" w:pos="360"/>
      </w:tabs>
      <w:spacing w:before="120"/>
      <w:jc w:val="both"/>
      <w:outlineLvl w:val="1"/>
    </w:pPr>
    <w:rPr>
      <w:rFonts w:ascii="Arial" w:hAnsi="Arial"/>
      <w:b/>
      <w:sz w:val="20"/>
      <w:szCs w:val="20"/>
    </w:rPr>
  </w:style>
  <w:style w:type="paragraph" w:customStyle="1" w:styleId="140">
    <w:name w:val="p29"/>
    <w:basedOn w:val="1"/>
    <w:qFormat/>
    <w:uiPriority w:val="0"/>
    <w:pPr>
      <w:widowControl w:val="0"/>
      <w:tabs>
        <w:tab w:val="left" w:pos="720"/>
      </w:tabs>
      <w:spacing w:line="280" w:lineRule="atLeast"/>
      <w:jc w:val="both"/>
    </w:pPr>
    <w:rPr>
      <w:rFonts w:ascii="Arial" w:hAnsi="Arial"/>
      <w:snapToGrid w:val="0"/>
      <w:szCs w:val="20"/>
    </w:rPr>
  </w:style>
  <w:style w:type="paragraph" w:customStyle="1" w:styleId="141">
    <w:name w:val="vermelho"/>
    <w:basedOn w:val="24"/>
    <w:qFormat/>
    <w:uiPriority w:val="0"/>
    <w:pPr>
      <w:spacing w:after="0"/>
      <w:ind w:left="-567" w:firstLine="907"/>
      <w:jc w:val="both"/>
    </w:pPr>
    <w:rPr>
      <w:rFonts w:ascii="Arial" w:hAnsi="Arial" w:cs="Arial"/>
      <w:b/>
      <w:lang w:eastAsia="en-US"/>
    </w:rPr>
  </w:style>
  <w:style w:type="paragraph" w:customStyle="1" w:styleId="142">
    <w:name w:val="Style2"/>
    <w:basedOn w:val="1"/>
    <w:qFormat/>
    <w:uiPriority w:val="0"/>
    <w:pPr>
      <w:spacing w:before="60" w:after="60"/>
      <w:jc w:val="center"/>
    </w:pPr>
    <w:rPr>
      <w:rFonts w:ascii="Arial" w:hAnsi="Arial" w:cs="Arial"/>
      <w:b/>
      <w:smallCaps/>
      <w:color w:val="000000"/>
      <w:lang w:eastAsia="en-US"/>
    </w:rPr>
  </w:style>
  <w:style w:type="paragraph" w:customStyle="1" w:styleId="143">
    <w:name w:val="Corpo"/>
    <w:qFormat/>
    <w:uiPriority w:val="0"/>
    <w:rPr>
      <w:rFonts w:ascii="Times New Roman" w:hAnsi="Times New Roman" w:eastAsia="Times New Roman" w:cs="Times New Roman"/>
      <w:color w:val="000000"/>
      <w:sz w:val="24"/>
      <w:lang w:val="pt-BR" w:eastAsia="pt-BR" w:bidi="ar-SA"/>
    </w:rPr>
  </w:style>
  <w:style w:type="paragraph" w:customStyle="1" w:styleId="144">
    <w:name w:val="PADRAO"/>
    <w:qFormat/>
    <w:uiPriority w:val="0"/>
    <w:pPr>
      <w:widowControl w:val="0"/>
      <w:ind w:left="720"/>
      <w:jc w:val="both"/>
    </w:pPr>
    <w:rPr>
      <w:rFonts w:ascii="Times New Roman" w:hAnsi="Times New Roman" w:eastAsia="Times New Roman" w:cs="Times New Roman"/>
      <w:color w:val="000000"/>
      <w:sz w:val="24"/>
      <w:lang w:val="pt-BR" w:eastAsia="pt-BR" w:bidi="ar-SA"/>
    </w:rPr>
  </w:style>
  <w:style w:type="paragraph" w:customStyle="1" w:styleId="145">
    <w:name w:val="01- Titulo"/>
    <w:basedOn w:val="1"/>
    <w:qFormat/>
    <w:uiPriority w:val="0"/>
    <w:pPr>
      <w:numPr>
        <w:ilvl w:val="0"/>
        <w:numId w:val="7"/>
      </w:numPr>
      <w:shd w:val="pct20" w:color="auto" w:fill="auto"/>
      <w:spacing w:before="240" w:line="276" w:lineRule="auto"/>
      <w:ind w:left="0" w:firstLine="0"/>
      <w:jc w:val="center"/>
    </w:pPr>
    <w:rPr>
      <w:rFonts w:ascii="Arial" w:hAnsi="Arial" w:eastAsia="Calibri" w:cs="Arial"/>
      <w:b/>
      <w:bCs/>
      <w:caps/>
      <w:snapToGrid w:val="0"/>
      <w:szCs w:val="20"/>
    </w:rPr>
  </w:style>
  <w:style w:type="paragraph" w:customStyle="1" w:styleId="146">
    <w:name w:val="00- Titulo Edital"/>
    <w:basedOn w:val="1"/>
    <w:qFormat/>
    <w:uiPriority w:val="0"/>
    <w:pPr>
      <w:pBdr>
        <w:top w:val="single" w:color="auto" w:sz="12" w:space="1"/>
        <w:bottom w:val="single" w:color="auto" w:sz="12" w:space="1"/>
      </w:pBdr>
      <w:shd w:val="pct20" w:color="auto" w:fill="auto"/>
      <w:jc w:val="center"/>
    </w:pPr>
    <w:rPr>
      <w:b/>
      <w:caps/>
      <w:szCs w:val="20"/>
    </w:rPr>
  </w:style>
  <w:style w:type="paragraph" w:customStyle="1" w:styleId="147">
    <w:name w:val="realce"/>
    <w:basedOn w:val="24"/>
    <w:qFormat/>
    <w:uiPriority w:val="0"/>
    <w:pPr>
      <w:tabs>
        <w:tab w:val="left" w:pos="252"/>
        <w:tab w:val="left" w:pos="900"/>
        <w:tab w:val="left" w:pos="1710"/>
        <w:tab w:val="left" w:pos="1800"/>
        <w:tab w:val="left" w:pos="2070"/>
      </w:tabs>
      <w:spacing w:after="0" w:line="360" w:lineRule="auto"/>
      <w:jc w:val="both"/>
    </w:pPr>
    <w:rPr>
      <w:rFonts w:ascii="Verdana" w:hAnsi="Verdana"/>
      <w:b/>
      <w:snapToGrid w:val="0"/>
      <w:color w:val="000000"/>
      <w:sz w:val="20"/>
      <w:szCs w:val="20"/>
    </w:rPr>
  </w:style>
  <w:style w:type="character" w:customStyle="1" w:styleId="148">
    <w:name w:val="Texto de comentário Char"/>
    <w:basedOn w:val="11"/>
    <w:link w:val="27"/>
    <w:qFormat/>
    <w:uiPriority w:val="0"/>
    <w:rPr>
      <w:rFonts w:ascii="Arial" w:hAnsi="Arial"/>
      <w:spacing w:val="20"/>
    </w:rPr>
  </w:style>
  <w:style w:type="paragraph" w:customStyle="1" w:styleId="149">
    <w:name w:val="Objetivo"/>
    <w:basedOn w:val="5"/>
    <w:qFormat/>
    <w:uiPriority w:val="0"/>
    <w:pPr>
      <w:suppressAutoHyphens/>
      <w:ind w:right="397" w:firstLine="851"/>
      <w:jc w:val="both"/>
    </w:pPr>
    <w:rPr>
      <w:b w:val="0"/>
      <w:bCs w:val="0"/>
      <w:szCs w:val="20"/>
    </w:rPr>
  </w:style>
  <w:style w:type="paragraph" w:customStyle="1" w:styleId="150">
    <w:name w:val="Obr"/>
    <w:basedOn w:val="1"/>
    <w:qFormat/>
    <w:uiPriority w:val="0"/>
    <w:pPr>
      <w:suppressAutoHyphens/>
      <w:jc w:val="both"/>
    </w:pPr>
    <w:rPr>
      <w:szCs w:val="20"/>
    </w:rPr>
  </w:style>
  <w:style w:type="paragraph" w:customStyle="1" w:styleId="151">
    <w:name w:val="n1"/>
    <w:basedOn w:val="1"/>
    <w:qFormat/>
    <w:uiPriority w:val="0"/>
    <w:pPr>
      <w:widowControl w:val="0"/>
      <w:tabs>
        <w:tab w:val="left" w:pos="1134"/>
      </w:tabs>
      <w:spacing w:before="240"/>
      <w:jc w:val="both"/>
    </w:pPr>
    <w:rPr>
      <w:rFonts w:ascii="Arial" w:hAnsi="Arial"/>
      <w:sz w:val="20"/>
      <w:szCs w:val="20"/>
    </w:rPr>
  </w:style>
  <w:style w:type="paragraph" w:customStyle="1" w:styleId="152">
    <w:name w:val="Texto padrão"/>
    <w:basedOn w:val="1"/>
    <w:qFormat/>
    <w:uiPriority w:val="0"/>
    <w:rPr>
      <w:szCs w:val="20"/>
      <w:lang w:val="en-US"/>
    </w:rPr>
  </w:style>
  <w:style w:type="paragraph" w:customStyle="1" w:styleId="153">
    <w:name w:val="font5"/>
    <w:basedOn w:val="1"/>
    <w:qFormat/>
    <w:uiPriority w:val="0"/>
    <w:pPr>
      <w:spacing w:before="100" w:beforeAutospacing="1" w:after="100" w:afterAutospacing="1"/>
    </w:pPr>
    <w:rPr>
      <w:rFonts w:ascii="Arial" w:hAnsi="Arial" w:eastAsia="Arial Unicode MS" w:cs="Arial"/>
      <w:sz w:val="36"/>
      <w:szCs w:val="36"/>
    </w:rPr>
  </w:style>
  <w:style w:type="paragraph" w:customStyle="1" w:styleId="154">
    <w:name w:val="font6"/>
    <w:basedOn w:val="1"/>
    <w:qFormat/>
    <w:uiPriority w:val="0"/>
    <w:pPr>
      <w:spacing w:before="100" w:beforeAutospacing="1" w:after="100" w:afterAutospacing="1"/>
    </w:pPr>
    <w:rPr>
      <w:rFonts w:ascii="Arial" w:hAnsi="Arial" w:eastAsia="Arial Unicode MS" w:cs="Arial"/>
      <w:color w:val="0000FF"/>
      <w:sz w:val="36"/>
      <w:szCs w:val="36"/>
    </w:rPr>
  </w:style>
  <w:style w:type="paragraph" w:customStyle="1" w:styleId="155">
    <w:name w:val="xl24"/>
    <w:basedOn w:val="1"/>
    <w:qFormat/>
    <w:uiPriority w:val="0"/>
    <w:pPr>
      <w:spacing w:before="100" w:beforeAutospacing="1" w:after="100" w:afterAutospacing="1"/>
      <w:textAlignment w:val="center"/>
    </w:pPr>
    <w:rPr>
      <w:rFonts w:ascii="Arial Narrow" w:hAnsi="Arial Narrow" w:eastAsia="Arial Unicode MS" w:cs="Arial Unicode MS"/>
    </w:rPr>
  </w:style>
  <w:style w:type="paragraph" w:customStyle="1" w:styleId="156">
    <w:name w:val="xl25"/>
    <w:basedOn w:val="1"/>
    <w:qFormat/>
    <w:uiPriority w:val="0"/>
    <w:pPr>
      <w:spacing w:before="100" w:beforeAutospacing="1" w:after="100" w:afterAutospacing="1"/>
      <w:textAlignment w:val="center"/>
    </w:pPr>
    <w:rPr>
      <w:rFonts w:ascii="Arial Narrow" w:hAnsi="Arial Narrow" w:eastAsia="Arial Unicode MS" w:cs="Arial Unicode MS"/>
    </w:rPr>
  </w:style>
  <w:style w:type="paragraph" w:customStyle="1" w:styleId="157">
    <w:name w:val="xl26"/>
    <w:basedOn w:val="1"/>
    <w:qFormat/>
    <w:uiPriority w:val="0"/>
    <w:pPr>
      <w:spacing w:before="100" w:beforeAutospacing="1" w:after="100" w:afterAutospacing="1"/>
      <w:jc w:val="center"/>
      <w:textAlignment w:val="center"/>
    </w:pPr>
    <w:rPr>
      <w:rFonts w:ascii="Arial Narrow" w:hAnsi="Arial Narrow" w:eastAsia="Arial Unicode MS" w:cs="Arial Unicode MS"/>
    </w:rPr>
  </w:style>
  <w:style w:type="paragraph" w:customStyle="1" w:styleId="158">
    <w:name w:val="xl27"/>
    <w:basedOn w:val="1"/>
    <w:qFormat/>
    <w:uiPriority w:val="0"/>
    <w:pPr>
      <w:spacing w:before="100" w:beforeAutospacing="1" w:after="100" w:afterAutospacing="1"/>
      <w:textAlignment w:val="center"/>
    </w:pPr>
    <w:rPr>
      <w:rFonts w:ascii="Arial Narrow" w:hAnsi="Arial Narrow" w:eastAsia="Arial Unicode MS" w:cs="Arial Unicode MS"/>
      <w:sz w:val="22"/>
      <w:szCs w:val="22"/>
    </w:rPr>
  </w:style>
  <w:style w:type="paragraph" w:customStyle="1" w:styleId="159">
    <w:name w:val="xl28"/>
    <w:basedOn w:val="1"/>
    <w:qFormat/>
    <w:uiPriority w:val="0"/>
    <w:pPr>
      <w:spacing w:before="100" w:beforeAutospacing="1" w:after="100" w:afterAutospacing="1"/>
      <w:jc w:val="center"/>
      <w:textAlignment w:val="center"/>
    </w:pPr>
    <w:rPr>
      <w:rFonts w:ascii="Arial Narrow" w:hAnsi="Arial Narrow" w:eastAsia="Arial Unicode MS" w:cs="Arial Unicode MS"/>
      <w:b/>
      <w:bCs/>
      <w:sz w:val="22"/>
      <w:szCs w:val="22"/>
    </w:rPr>
  </w:style>
  <w:style w:type="paragraph" w:customStyle="1" w:styleId="160">
    <w:name w:val="xl29"/>
    <w:basedOn w:val="1"/>
    <w:qFormat/>
    <w:uiPriority w:val="0"/>
    <w:pPr>
      <w:shd w:val="clear" w:color="auto" w:fill="FFFFFF"/>
      <w:spacing w:before="100" w:beforeAutospacing="1" w:after="100" w:afterAutospacing="1"/>
      <w:textAlignment w:val="center"/>
    </w:pPr>
    <w:rPr>
      <w:rFonts w:ascii="Arial" w:hAnsi="Arial" w:eastAsia="Arial Unicode MS" w:cs="Arial"/>
      <w:b/>
      <w:bCs/>
      <w:sz w:val="18"/>
      <w:szCs w:val="18"/>
    </w:rPr>
  </w:style>
  <w:style w:type="paragraph" w:customStyle="1" w:styleId="161">
    <w:name w:val="xl30"/>
    <w:basedOn w:val="1"/>
    <w:qFormat/>
    <w:uiPriority w:val="0"/>
    <w:pPr>
      <w:shd w:val="clear" w:color="auto" w:fill="FFFFFF"/>
      <w:spacing w:before="100" w:beforeAutospacing="1" w:after="100" w:afterAutospacing="1"/>
      <w:textAlignment w:val="center"/>
    </w:pPr>
    <w:rPr>
      <w:rFonts w:ascii="Arial Unicode MS" w:hAnsi="Arial Unicode MS" w:eastAsia="Arial Unicode MS" w:cs="Arial Unicode MS"/>
      <w:b/>
      <w:bCs/>
      <w:sz w:val="18"/>
      <w:szCs w:val="18"/>
    </w:rPr>
  </w:style>
  <w:style w:type="paragraph" w:customStyle="1" w:styleId="162">
    <w:name w:val="xl31"/>
    <w:basedOn w:val="1"/>
    <w:qFormat/>
    <w:uiPriority w:val="0"/>
    <w:pPr>
      <w:spacing w:before="100" w:beforeAutospacing="1" w:after="100" w:afterAutospacing="1"/>
      <w:textAlignment w:val="center"/>
    </w:pPr>
    <w:rPr>
      <w:rFonts w:ascii="Arial Unicode MS" w:hAnsi="Arial Unicode MS" w:eastAsia="Arial Unicode MS" w:cs="Arial Unicode MS"/>
    </w:rPr>
  </w:style>
  <w:style w:type="paragraph" w:customStyle="1" w:styleId="163">
    <w:name w:val="xl32"/>
    <w:basedOn w:val="1"/>
    <w:qFormat/>
    <w:uiPriority w:val="0"/>
    <w:pPr>
      <w:shd w:val="clear" w:color="auto" w:fill="FFFFFF"/>
      <w:spacing w:before="100" w:beforeAutospacing="1" w:after="100" w:afterAutospacing="1"/>
      <w:textAlignment w:val="center"/>
    </w:pPr>
    <w:rPr>
      <w:rFonts w:ascii="Arial" w:hAnsi="Arial" w:eastAsia="Arial Unicode MS" w:cs="Arial"/>
      <w:sz w:val="18"/>
      <w:szCs w:val="18"/>
    </w:rPr>
  </w:style>
  <w:style w:type="paragraph" w:customStyle="1" w:styleId="164">
    <w:name w:val="xl33"/>
    <w:basedOn w:val="1"/>
    <w:qFormat/>
    <w:uiPriority w:val="0"/>
    <w:pPr>
      <w:spacing w:before="100" w:beforeAutospacing="1" w:after="100" w:afterAutospacing="1"/>
      <w:textAlignment w:val="center"/>
    </w:pPr>
    <w:rPr>
      <w:rFonts w:ascii="Arial" w:hAnsi="Arial" w:eastAsia="Arial Unicode MS" w:cs="Arial"/>
      <w:sz w:val="18"/>
      <w:szCs w:val="18"/>
    </w:rPr>
  </w:style>
  <w:style w:type="paragraph" w:customStyle="1" w:styleId="165">
    <w:name w:val="xl34"/>
    <w:basedOn w:val="1"/>
    <w:qFormat/>
    <w:uiPriority w:val="0"/>
    <w:pPr>
      <w:shd w:val="clear" w:color="auto" w:fill="FFFFFF"/>
      <w:spacing w:before="100" w:beforeAutospacing="1" w:after="100" w:afterAutospacing="1"/>
      <w:textAlignment w:val="center"/>
    </w:pPr>
    <w:rPr>
      <w:rFonts w:ascii="Arial" w:hAnsi="Arial" w:eastAsia="Arial Unicode MS" w:cs="Arial"/>
      <w:b/>
      <w:bCs/>
    </w:rPr>
  </w:style>
  <w:style w:type="paragraph" w:customStyle="1" w:styleId="166">
    <w:name w:val="xl35"/>
    <w:basedOn w:val="1"/>
    <w:qFormat/>
    <w:uiPriority w:val="0"/>
    <w:pPr>
      <w:shd w:val="clear" w:color="auto" w:fill="FFFFFF"/>
      <w:spacing w:before="100" w:beforeAutospacing="1" w:after="100" w:afterAutospacing="1"/>
      <w:jc w:val="center"/>
      <w:textAlignment w:val="center"/>
    </w:pPr>
    <w:rPr>
      <w:rFonts w:ascii="Arial" w:hAnsi="Arial" w:eastAsia="Arial Unicode MS" w:cs="Arial"/>
      <w:b/>
      <w:bCs/>
    </w:rPr>
  </w:style>
  <w:style w:type="paragraph" w:customStyle="1" w:styleId="167">
    <w:name w:val="xl36"/>
    <w:basedOn w:val="1"/>
    <w:qFormat/>
    <w:uiPriority w:val="0"/>
    <w:pPr>
      <w:shd w:val="clear" w:color="auto" w:fill="FFFFFF"/>
      <w:spacing w:before="100" w:beforeAutospacing="1" w:after="100" w:afterAutospacing="1"/>
      <w:jc w:val="center"/>
      <w:textAlignment w:val="center"/>
    </w:pPr>
    <w:rPr>
      <w:rFonts w:ascii="Arial" w:hAnsi="Arial" w:eastAsia="Arial Unicode MS" w:cs="Arial"/>
      <w:sz w:val="18"/>
      <w:szCs w:val="18"/>
    </w:rPr>
  </w:style>
  <w:style w:type="paragraph" w:customStyle="1" w:styleId="168">
    <w:name w:val="xl37"/>
    <w:basedOn w:val="1"/>
    <w:qFormat/>
    <w:uiPriority w:val="0"/>
    <w:pPr>
      <w:shd w:val="clear" w:color="auto" w:fill="FFFFFF"/>
      <w:spacing w:before="100" w:beforeAutospacing="1" w:after="100" w:afterAutospacing="1"/>
      <w:jc w:val="center"/>
      <w:textAlignment w:val="center"/>
    </w:pPr>
    <w:rPr>
      <w:rFonts w:eastAsia="Arial Unicode MS"/>
      <w:b/>
      <w:bCs/>
      <w:sz w:val="16"/>
      <w:szCs w:val="16"/>
    </w:rPr>
  </w:style>
  <w:style w:type="paragraph" w:customStyle="1" w:styleId="169">
    <w:name w:val="xl39"/>
    <w:basedOn w:val="1"/>
    <w:qFormat/>
    <w:uiPriority w:val="0"/>
    <w:pPr>
      <w:shd w:val="clear" w:color="auto" w:fill="FFFFFF"/>
      <w:spacing w:before="100" w:beforeAutospacing="1" w:after="100" w:afterAutospacing="1"/>
      <w:textAlignment w:val="center"/>
    </w:pPr>
    <w:rPr>
      <w:rFonts w:ascii="Arial" w:hAnsi="Arial" w:eastAsia="Arial Unicode MS" w:cs="Arial"/>
      <w:b/>
      <w:bCs/>
      <w:sz w:val="18"/>
      <w:szCs w:val="18"/>
    </w:rPr>
  </w:style>
  <w:style w:type="paragraph" w:customStyle="1" w:styleId="170">
    <w:name w:val="xl40"/>
    <w:basedOn w:val="1"/>
    <w:qFormat/>
    <w:uiPriority w:val="0"/>
    <w:pPr>
      <w:shd w:val="clear" w:color="auto" w:fill="FFFFFF"/>
      <w:spacing w:before="100" w:beforeAutospacing="1" w:after="100" w:afterAutospacing="1"/>
      <w:textAlignment w:val="center"/>
    </w:pPr>
    <w:rPr>
      <w:rFonts w:ascii="Arial" w:hAnsi="Arial" w:eastAsia="Arial Unicode MS" w:cs="Arial"/>
      <w:sz w:val="22"/>
      <w:szCs w:val="22"/>
    </w:rPr>
  </w:style>
  <w:style w:type="paragraph" w:customStyle="1" w:styleId="171">
    <w:name w:val="xl41"/>
    <w:basedOn w:val="1"/>
    <w:qFormat/>
    <w:uiPriority w:val="0"/>
    <w:pPr>
      <w:shd w:val="clear" w:color="auto" w:fill="FFFFFF"/>
      <w:spacing w:before="100" w:beforeAutospacing="1" w:after="100" w:afterAutospacing="1"/>
      <w:jc w:val="center"/>
      <w:textAlignment w:val="center"/>
    </w:pPr>
    <w:rPr>
      <w:rFonts w:ascii="Arial" w:hAnsi="Arial" w:eastAsia="Arial Unicode MS" w:cs="Arial"/>
      <w:b/>
      <w:bCs/>
      <w:sz w:val="28"/>
      <w:szCs w:val="28"/>
    </w:rPr>
  </w:style>
  <w:style w:type="paragraph" w:customStyle="1" w:styleId="172">
    <w:name w:val="xl42"/>
    <w:basedOn w:val="1"/>
    <w:qFormat/>
    <w:uiPriority w:val="0"/>
    <w:pPr>
      <w:spacing w:before="100" w:beforeAutospacing="1" w:after="100" w:afterAutospacing="1"/>
      <w:jc w:val="center"/>
      <w:textAlignment w:val="center"/>
    </w:pPr>
    <w:rPr>
      <w:rFonts w:ascii="Arial Narrow" w:hAnsi="Arial Narrow" w:eastAsia="Arial Unicode MS" w:cs="Arial Unicode MS"/>
      <w:b/>
      <w:bCs/>
      <w:sz w:val="22"/>
      <w:szCs w:val="22"/>
    </w:rPr>
  </w:style>
  <w:style w:type="paragraph" w:customStyle="1" w:styleId="173">
    <w:name w:val="xl43"/>
    <w:basedOn w:val="1"/>
    <w:qFormat/>
    <w:uiPriority w:val="0"/>
    <w:pPr>
      <w:spacing w:before="100" w:beforeAutospacing="1" w:after="100" w:afterAutospacing="1"/>
      <w:jc w:val="center"/>
      <w:textAlignment w:val="center"/>
    </w:pPr>
    <w:rPr>
      <w:rFonts w:ascii="Arial Narrow" w:hAnsi="Arial Narrow" w:eastAsia="Arial Unicode MS" w:cs="Arial Unicode MS"/>
      <w:b/>
      <w:bCs/>
      <w:sz w:val="22"/>
      <w:szCs w:val="22"/>
    </w:rPr>
  </w:style>
  <w:style w:type="paragraph" w:customStyle="1" w:styleId="174">
    <w:name w:val="xl44"/>
    <w:basedOn w:val="1"/>
    <w:qFormat/>
    <w:uiPriority w:val="0"/>
    <w:pPr>
      <w:spacing w:before="100" w:beforeAutospacing="1" w:after="100" w:afterAutospacing="1"/>
      <w:textAlignment w:val="center"/>
    </w:pPr>
    <w:rPr>
      <w:rFonts w:ascii="Arial Narrow" w:hAnsi="Arial Narrow" w:eastAsia="Arial Unicode MS" w:cs="Arial Unicode MS"/>
      <w:b/>
      <w:bCs/>
      <w:sz w:val="22"/>
      <w:szCs w:val="22"/>
    </w:rPr>
  </w:style>
  <w:style w:type="paragraph" w:customStyle="1" w:styleId="175">
    <w:name w:val="xl45"/>
    <w:basedOn w:val="1"/>
    <w:qFormat/>
    <w:uiPriority w:val="0"/>
    <w:pPr>
      <w:spacing w:before="100" w:beforeAutospacing="1" w:after="100" w:afterAutospacing="1"/>
      <w:textAlignment w:val="center"/>
    </w:pPr>
    <w:rPr>
      <w:rFonts w:ascii="Arial Narrow" w:hAnsi="Arial Narrow" w:eastAsia="Arial Unicode MS" w:cs="Arial Unicode MS"/>
      <w:b/>
      <w:bCs/>
      <w:sz w:val="22"/>
      <w:szCs w:val="22"/>
    </w:rPr>
  </w:style>
  <w:style w:type="paragraph" w:customStyle="1" w:styleId="176">
    <w:name w:val="xl46"/>
    <w:basedOn w:val="1"/>
    <w:qFormat/>
    <w:uiPriority w:val="0"/>
    <w:pPr>
      <w:spacing w:before="100" w:beforeAutospacing="1" w:after="100" w:afterAutospacing="1"/>
      <w:jc w:val="center"/>
      <w:textAlignment w:val="center"/>
    </w:pPr>
    <w:rPr>
      <w:rFonts w:ascii="Arial Narrow" w:hAnsi="Arial Narrow" w:eastAsia="Arial Unicode MS" w:cs="Arial Unicode MS"/>
      <w:sz w:val="22"/>
      <w:szCs w:val="22"/>
    </w:rPr>
  </w:style>
  <w:style w:type="paragraph" w:customStyle="1" w:styleId="177">
    <w:name w:val="xl47"/>
    <w:basedOn w:val="1"/>
    <w:qFormat/>
    <w:uiPriority w:val="0"/>
    <w:pPr>
      <w:spacing w:before="100" w:beforeAutospacing="1" w:after="100" w:afterAutospacing="1"/>
    </w:pPr>
    <w:rPr>
      <w:rFonts w:ascii="Arial Narrow" w:hAnsi="Arial Narrow" w:eastAsia="Arial Unicode MS" w:cs="Arial Unicode MS"/>
      <w:sz w:val="22"/>
      <w:szCs w:val="22"/>
    </w:rPr>
  </w:style>
  <w:style w:type="paragraph" w:customStyle="1" w:styleId="178">
    <w:name w:val="xl48"/>
    <w:basedOn w:val="1"/>
    <w:qFormat/>
    <w:uiPriority w:val="0"/>
    <w:pPr>
      <w:spacing w:before="100" w:beforeAutospacing="1" w:after="100" w:afterAutospacing="1"/>
      <w:jc w:val="center"/>
    </w:pPr>
    <w:rPr>
      <w:rFonts w:ascii="Arial Narrow" w:hAnsi="Arial Narrow" w:eastAsia="Arial Unicode MS" w:cs="Arial Unicode MS"/>
      <w:sz w:val="22"/>
      <w:szCs w:val="22"/>
    </w:rPr>
  </w:style>
  <w:style w:type="paragraph" w:customStyle="1" w:styleId="179">
    <w:name w:val="xl49"/>
    <w:basedOn w:val="1"/>
    <w:qFormat/>
    <w:uiPriority w:val="0"/>
    <w:pPr>
      <w:spacing w:before="100" w:beforeAutospacing="1" w:after="100" w:afterAutospacing="1"/>
      <w:jc w:val="center"/>
    </w:pPr>
    <w:rPr>
      <w:rFonts w:ascii="Arial Narrow" w:hAnsi="Arial Narrow" w:eastAsia="Arial Unicode MS" w:cs="Arial Unicode MS"/>
      <w:sz w:val="22"/>
      <w:szCs w:val="22"/>
    </w:rPr>
  </w:style>
  <w:style w:type="paragraph" w:customStyle="1" w:styleId="180">
    <w:name w:val="xl50"/>
    <w:basedOn w:val="1"/>
    <w:qFormat/>
    <w:uiPriority w:val="0"/>
    <w:pPr>
      <w:spacing w:before="100" w:beforeAutospacing="1" w:after="100" w:afterAutospacing="1"/>
      <w:jc w:val="right"/>
      <w:textAlignment w:val="center"/>
    </w:pPr>
    <w:rPr>
      <w:rFonts w:ascii="Arial Narrow" w:hAnsi="Arial Narrow" w:eastAsia="Arial Unicode MS" w:cs="Arial Unicode MS"/>
      <w:b/>
      <w:bCs/>
      <w:sz w:val="22"/>
      <w:szCs w:val="22"/>
    </w:rPr>
  </w:style>
  <w:style w:type="paragraph" w:customStyle="1" w:styleId="181">
    <w:name w:val="xl51"/>
    <w:basedOn w:val="1"/>
    <w:qFormat/>
    <w:uiPriority w:val="0"/>
    <w:pPr>
      <w:spacing w:before="100" w:beforeAutospacing="1" w:after="100" w:afterAutospacing="1"/>
      <w:jc w:val="center"/>
    </w:pPr>
    <w:rPr>
      <w:rFonts w:ascii="Arial Narrow" w:hAnsi="Arial Narrow" w:eastAsia="Arial Unicode MS" w:cs="Arial Unicode MS"/>
      <w:b/>
      <w:bCs/>
      <w:sz w:val="22"/>
      <w:szCs w:val="22"/>
    </w:rPr>
  </w:style>
  <w:style w:type="paragraph" w:customStyle="1" w:styleId="182">
    <w:name w:val="xl52"/>
    <w:basedOn w:val="1"/>
    <w:qFormat/>
    <w:uiPriority w:val="0"/>
    <w:pPr>
      <w:spacing w:before="100" w:beforeAutospacing="1" w:after="100" w:afterAutospacing="1"/>
    </w:pPr>
    <w:rPr>
      <w:rFonts w:ascii="Arial Narrow" w:hAnsi="Arial Narrow" w:eastAsia="Arial Unicode MS" w:cs="Arial Unicode MS"/>
      <w:b/>
      <w:bCs/>
      <w:sz w:val="22"/>
      <w:szCs w:val="22"/>
    </w:rPr>
  </w:style>
  <w:style w:type="paragraph" w:customStyle="1" w:styleId="183">
    <w:name w:val="xl53"/>
    <w:basedOn w:val="1"/>
    <w:qFormat/>
    <w:uiPriority w:val="0"/>
    <w:pPr>
      <w:spacing w:before="100" w:beforeAutospacing="1" w:after="100" w:afterAutospacing="1"/>
    </w:pPr>
    <w:rPr>
      <w:rFonts w:ascii="Arial Narrow" w:hAnsi="Arial Narrow" w:eastAsia="Arial Unicode MS" w:cs="Arial Unicode MS"/>
      <w:sz w:val="22"/>
      <w:szCs w:val="22"/>
    </w:rPr>
  </w:style>
  <w:style w:type="paragraph" w:customStyle="1" w:styleId="184">
    <w:name w:val="xl54"/>
    <w:basedOn w:val="1"/>
    <w:qFormat/>
    <w:uiPriority w:val="0"/>
    <w:pPr>
      <w:spacing w:before="100" w:beforeAutospacing="1" w:after="100" w:afterAutospacing="1"/>
      <w:textAlignment w:val="center"/>
    </w:pPr>
    <w:rPr>
      <w:rFonts w:ascii="Arial Narrow" w:hAnsi="Arial Narrow" w:eastAsia="Arial Unicode MS" w:cs="Arial Unicode MS"/>
      <w:b/>
      <w:bCs/>
      <w:sz w:val="22"/>
      <w:szCs w:val="22"/>
    </w:rPr>
  </w:style>
  <w:style w:type="paragraph" w:customStyle="1" w:styleId="185">
    <w:name w:val="xl55"/>
    <w:basedOn w:val="1"/>
    <w:qFormat/>
    <w:uiPriority w:val="0"/>
    <w:pPr>
      <w:spacing w:before="100" w:beforeAutospacing="1" w:after="100" w:afterAutospacing="1"/>
      <w:jc w:val="center"/>
      <w:textAlignment w:val="center"/>
    </w:pPr>
    <w:rPr>
      <w:rFonts w:ascii="Arial Narrow" w:hAnsi="Arial Narrow" w:eastAsia="Arial Unicode MS" w:cs="Arial Unicode MS"/>
      <w:sz w:val="22"/>
      <w:szCs w:val="22"/>
    </w:rPr>
  </w:style>
  <w:style w:type="paragraph" w:customStyle="1" w:styleId="186">
    <w:name w:val="xl56"/>
    <w:basedOn w:val="1"/>
    <w:qFormat/>
    <w:uiPriority w:val="0"/>
    <w:pPr>
      <w:spacing w:before="100" w:beforeAutospacing="1" w:after="100" w:afterAutospacing="1"/>
      <w:textAlignment w:val="center"/>
    </w:pPr>
    <w:rPr>
      <w:rFonts w:ascii="Arial Narrow" w:hAnsi="Arial Narrow" w:eastAsia="Arial Unicode MS" w:cs="Arial Unicode MS"/>
      <w:sz w:val="22"/>
      <w:szCs w:val="22"/>
    </w:rPr>
  </w:style>
  <w:style w:type="paragraph" w:customStyle="1" w:styleId="187">
    <w:name w:val="xl57"/>
    <w:basedOn w:val="1"/>
    <w:qFormat/>
    <w:uiPriority w:val="0"/>
    <w:pPr>
      <w:spacing w:before="100" w:beforeAutospacing="1" w:after="100" w:afterAutospacing="1"/>
    </w:pPr>
    <w:rPr>
      <w:rFonts w:ascii="Arial Narrow" w:hAnsi="Arial Narrow" w:eastAsia="Arial Unicode MS" w:cs="Arial Unicode MS"/>
      <w:b/>
      <w:bCs/>
      <w:sz w:val="22"/>
      <w:szCs w:val="22"/>
    </w:rPr>
  </w:style>
  <w:style w:type="paragraph" w:customStyle="1" w:styleId="188">
    <w:name w:val="xl58"/>
    <w:basedOn w:val="1"/>
    <w:qFormat/>
    <w:uiPriority w:val="0"/>
    <w:pPr>
      <w:spacing w:before="100" w:beforeAutospacing="1" w:after="100" w:afterAutospacing="1"/>
      <w:jc w:val="center"/>
      <w:textAlignment w:val="center"/>
    </w:pPr>
    <w:rPr>
      <w:rFonts w:ascii="Arial Narrow" w:hAnsi="Arial Narrow" w:eastAsia="Arial Unicode MS" w:cs="Arial Unicode MS"/>
      <w:i/>
      <w:iCs/>
      <w:sz w:val="22"/>
      <w:szCs w:val="22"/>
    </w:rPr>
  </w:style>
  <w:style w:type="paragraph" w:customStyle="1" w:styleId="189">
    <w:name w:val="xl59"/>
    <w:basedOn w:val="1"/>
    <w:qFormat/>
    <w:uiPriority w:val="0"/>
    <w:pPr>
      <w:spacing w:before="100" w:beforeAutospacing="1" w:after="100" w:afterAutospacing="1"/>
    </w:pPr>
    <w:rPr>
      <w:rFonts w:ascii="Arial Unicode MS" w:hAnsi="Arial Unicode MS" w:eastAsia="Arial Unicode MS" w:cs="Arial Unicode MS"/>
    </w:rPr>
  </w:style>
  <w:style w:type="paragraph" w:customStyle="1" w:styleId="190">
    <w:name w:val="xl60"/>
    <w:basedOn w:val="1"/>
    <w:qFormat/>
    <w:uiPriority w:val="0"/>
    <w:pPr>
      <w:spacing w:before="100" w:beforeAutospacing="1" w:after="100" w:afterAutospacing="1"/>
    </w:pPr>
    <w:rPr>
      <w:rFonts w:ascii="Arial Unicode MS" w:hAnsi="Arial Unicode MS" w:eastAsia="Arial Unicode MS" w:cs="Arial Unicode MS"/>
      <w:sz w:val="22"/>
      <w:szCs w:val="22"/>
    </w:rPr>
  </w:style>
  <w:style w:type="paragraph" w:customStyle="1" w:styleId="191">
    <w:name w:val="xl77"/>
    <w:basedOn w:val="1"/>
    <w:qFormat/>
    <w:uiPriority w:val="0"/>
    <w:pPr>
      <w:pBdr>
        <w:left w:val="single" w:color="auto" w:sz="4" w:space="0"/>
        <w:bottom w:val="single" w:color="auto" w:sz="4" w:space="0"/>
      </w:pBdr>
      <w:spacing w:before="100" w:beforeAutospacing="1" w:after="100" w:afterAutospacing="1"/>
      <w:jc w:val="right"/>
    </w:pPr>
    <w:rPr>
      <w:rFonts w:eastAsia="Arial Unicode MS"/>
      <w:b/>
      <w:bCs/>
    </w:rPr>
  </w:style>
  <w:style w:type="paragraph" w:customStyle="1" w:styleId="192">
    <w:name w:val="xl82"/>
    <w:basedOn w:val="1"/>
    <w:qFormat/>
    <w:uiPriority w:val="0"/>
    <w:pPr>
      <w:pBdr>
        <w:left w:val="single" w:color="auto" w:sz="4" w:space="0"/>
      </w:pBdr>
      <w:spacing w:before="100" w:beforeAutospacing="1" w:after="100" w:afterAutospacing="1"/>
    </w:pPr>
    <w:rPr>
      <w:rFonts w:eastAsia="Arial Unicode MS"/>
      <w:b/>
      <w:bCs/>
    </w:rPr>
  </w:style>
  <w:style w:type="paragraph" w:customStyle="1" w:styleId="193">
    <w:name w:val="xl61"/>
    <w:basedOn w:val="1"/>
    <w:qFormat/>
    <w:uiPriority w:val="0"/>
    <w:pPr>
      <w:spacing w:before="100" w:beforeAutospacing="1" w:after="100" w:afterAutospacing="1"/>
      <w:textAlignment w:val="top"/>
    </w:pPr>
    <w:rPr>
      <w:rFonts w:eastAsia="Arial Unicode MS"/>
    </w:rPr>
  </w:style>
  <w:style w:type="paragraph" w:customStyle="1" w:styleId="194">
    <w:name w:val="xl63"/>
    <w:basedOn w:val="1"/>
    <w:qFormat/>
    <w:uiPriority w:val="0"/>
    <w:pPr>
      <w:spacing w:before="100" w:beforeAutospacing="1" w:after="100" w:afterAutospacing="1"/>
      <w:jc w:val="right"/>
    </w:pPr>
    <w:rPr>
      <w:rFonts w:eastAsia="Arial Unicode MS"/>
    </w:rPr>
  </w:style>
  <w:style w:type="paragraph" w:customStyle="1" w:styleId="195">
    <w:name w:val="p32"/>
    <w:basedOn w:val="1"/>
    <w:qFormat/>
    <w:uiPriority w:val="0"/>
    <w:pPr>
      <w:widowControl w:val="0"/>
      <w:tabs>
        <w:tab w:val="left" w:pos="620"/>
      </w:tabs>
      <w:spacing w:line="240" w:lineRule="atLeast"/>
      <w:jc w:val="both"/>
    </w:pPr>
    <w:rPr>
      <w:snapToGrid w:val="0"/>
      <w:szCs w:val="20"/>
    </w:rPr>
  </w:style>
  <w:style w:type="paragraph" w:customStyle="1" w:styleId="196">
    <w:name w:val="Definition Term"/>
    <w:basedOn w:val="1"/>
    <w:next w:val="1"/>
    <w:qFormat/>
    <w:uiPriority w:val="0"/>
    <w:pPr>
      <w:widowControl w:val="0"/>
    </w:pPr>
    <w:rPr>
      <w:rFonts w:ascii="Arial" w:hAnsi="Arial"/>
      <w:snapToGrid w:val="0"/>
      <w:szCs w:val="20"/>
    </w:rPr>
  </w:style>
  <w:style w:type="character" w:customStyle="1" w:styleId="197">
    <w:name w:val="mw-headline"/>
    <w:basedOn w:val="11"/>
    <w:qFormat/>
    <w:uiPriority w:val="0"/>
  </w:style>
  <w:style w:type="paragraph" w:customStyle="1" w:styleId="198">
    <w:name w:val="00 Teste"/>
    <w:basedOn w:val="1"/>
    <w:qFormat/>
    <w:uiPriority w:val="0"/>
    <w:pPr>
      <w:widowControl w:val="0"/>
      <w:pBdr>
        <w:top w:val="single" w:color="auto" w:sz="8" w:space="1"/>
        <w:bottom w:val="single" w:color="auto" w:sz="8" w:space="1"/>
      </w:pBdr>
      <w:shd w:val="pct10" w:color="auto" w:fill="auto"/>
      <w:autoSpaceDE w:val="0"/>
      <w:autoSpaceDN w:val="0"/>
      <w:adjustRightInd w:val="0"/>
      <w:spacing w:line="276" w:lineRule="auto"/>
      <w:ind w:right="-93"/>
      <w:jc w:val="center"/>
    </w:pPr>
    <w:rPr>
      <w:rFonts w:ascii="Arial" w:hAnsi="Arial" w:cs="Arial"/>
      <w:b/>
      <w:caps/>
      <w:lang w:eastAsia="en-US"/>
    </w:rPr>
  </w:style>
  <w:style w:type="paragraph" w:customStyle="1" w:styleId="199">
    <w:name w:val="Estilo1"/>
    <w:basedOn w:val="1"/>
    <w:link w:val="365"/>
    <w:qFormat/>
    <w:uiPriority w:val="0"/>
    <w:pPr>
      <w:tabs>
        <w:tab w:val="left" w:pos="2268"/>
      </w:tabs>
      <w:snapToGrid w:val="0"/>
      <w:ind w:left="2410" w:hanging="992"/>
      <w:jc w:val="both"/>
    </w:pPr>
    <w:rPr>
      <w:szCs w:val="20"/>
    </w:rPr>
  </w:style>
  <w:style w:type="paragraph" w:customStyle="1" w:styleId="200">
    <w:name w:val="DANI1"/>
    <w:basedOn w:val="1"/>
    <w:qFormat/>
    <w:uiPriority w:val="0"/>
    <w:pPr>
      <w:tabs>
        <w:tab w:val="left" w:pos="1134"/>
      </w:tabs>
      <w:autoSpaceDE w:val="0"/>
      <w:autoSpaceDN w:val="0"/>
      <w:ind w:left="1134" w:hanging="1134"/>
      <w:jc w:val="both"/>
    </w:pPr>
    <w:rPr>
      <w:sz w:val="26"/>
      <w:szCs w:val="26"/>
    </w:rPr>
  </w:style>
  <w:style w:type="paragraph" w:customStyle="1" w:styleId="201">
    <w:name w:val="1.1.1.1.1.1 - Numeração 5"/>
    <w:basedOn w:val="1"/>
    <w:qFormat/>
    <w:uiPriority w:val="0"/>
    <w:pPr>
      <w:numPr>
        <w:ilvl w:val="5"/>
        <w:numId w:val="8"/>
      </w:numPr>
      <w:spacing w:before="160" w:after="160"/>
      <w:jc w:val="both"/>
    </w:pPr>
    <w:rPr>
      <w:szCs w:val="20"/>
    </w:rPr>
  </w:style>
  <w:style w:type="paragraph" w:customStyle="1" w:styleId="202">
    <w:name w:val="PT"/>
    <w:basedOn w:val="1"/>
    <w:qFormat/>
    <w:uiPriority w:val="0"/>
    <w:pPr>
      <w:overflowPunct w:val="0"/>
      <w:autoSpaceDE w:val="0"/>
      <w:autoSpaceDN w:val="0"/>
      <w:adjustRightInd w:val="0"/>
      <w:spacing w:line="360" w:lineRule="atLeast"/>
      <w:jc w:val="both"/>
      <w:textAlignment w:val="baseline"/>
    </w:pPr>
    <w:rPr>
      <w:rFonts w:ascii="Arial" w:hAnsi="Arial"/>
      <w:b/>
      <w:spacing w:val="30"/>
      <w:szCs w:val="20"/>
    </w:rPr>
  </w:style>
  <w:style w:type="paragraph" w:styleId="203">
    <w:name w:val="No Spacing"/>
    <w:link w:val="204"/>
    <w:semiHidden/>
    <w:unhideWhenUsed/>
    <w:qFormat/>
    <w:uiPriority w:val="99"/>
    <w:rPr>
      <w:rFonts w:ascii="Times New Roman" w:hAnsi="Times New Roman" w:eastAsia="Times New Roman" w:cs="Times New Roman"/>
      <w:sz w:val="24"/>
      <w:szCs w:val="24"/>
      <w:lang w:val="pt-BR" w:eastAsia="pt-BR" w:bidi="ar-SA"/>
    </w:rPr>
  </w:style>
  <w:style w:type="character" w:customStyle="1" w:styleId="204">
    <w:name w:val="Sem Espaçamento Char"/>
    <w:link w:val="203"/>
    <w:qFormat/>
    <w:uiPriority w:val="1"/>
    <w:rPr>
      <w:sz w:val="24"/>
      <w:szCs w:val="24"/>
      <w:lang w:bidi="ar-SA"/>
    </w:rPr>
  </w:style>
  <w:style w:type="paragraph" w:customStyle="1" w:styleId="205">
    <w:name w:val="font1"/>
    <w:basedOn w:val="1"/>
    <w:qFormat/>
    <w:uiPriority w:val="0"/>
    <w:pPr>
      <w:spacing w:before="100" w:beforeAutospacing="1" w:after="100" w:afterAutospacing="1"/>
    </w:pPr>
    <w:rPr>
      <w:rFonts w:ascii="Arial" w:hAnsi="Arial" w:cs="Arial"/>
      <w:sz w:val="20"/>
      <w:szCs w:val="20"/>
    </w:rPr>
  </w:style>
  <w:style w:type="paragraph" w:customStyle="1" w:styleId="206">
    <w:name w:val="font7"/>
    <w:basedOn w:val="1"/>
    <w:qFormat/>
    <w:uiPriority w:val="0"/>
    <w:pPr>
      <w:spacing w:before="100" w:beforeAutospacing="1" w:after="100" w:afterAutospacing="1"/>
    </w:pPr>
    <w:rPr>
      <w:rFonts w:ascii="Arial" w:hAnsi="Arial" w:cs="Arial"/>
      <w:sz w:val="20"/>
      <w:szCs w:val="20"/>
    </w:rPr>
  </w:style>
  <w:style w:type="paragraph" w:customStyle="1" w:styleId="207">
    <w:name w:val="font8"/>
    <w:basedOn w:val="1"/>
    <w:qFormat/>
    <w:uiPriority w:val="0"/>
    <w:pPr>
      <w:spacing w:before="100" w:beforeAutospacing="1" w:after="100" w:afterAutospacing="1"/>
    </w:pPr>
    <w:rPr>
      <w:rFonts w:ascii="Calibri" w:hAnsi="Calibri"/>
      <w:sz w:val="20"/>
      <w:szCs w:val="20"/>
    </w:rPr>
  </w:style>
  <w:style w:type="paragraph" w:customStyle="1" w:styleId="208">
    <w:name w:val="xl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rPr>
  </w:style>
  <w:style w:type="paragraph" w:customStyle="1" w:styleId="209">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rPr>
  </w:style>
  <w:style w:type="paragraph" w:customStyle="1" w:styleId="210">
    <w:name w:val="xl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rPr>
  </w:style>
  <w:style w:type="paragraph" w:customStyle="1" w:styleId="211">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rPr>
  </w:style>
  <w:style w:type="paragraph" w:customStyle="1" w:styleId="212">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13">
    <w:name w:val="xl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14">
    <w:name w:val="xl71"/>
    <w:basedOn w:val="1"/>
    <w:qFormat/>
    <w:uiPriority w:val="0"/>
    <w:pPr>
      <w:pBdr>
        <w:top w:val="single" w:color="auto" w:sz="4" w:space="0"/>
        <w:left w:val="single" w:color="auto" w:sz="4" w:space="9"/>
        <w:bottom w:val="single" w:color="auto" w:sz="4" w:space="0"/>
        <w:right w:val="single" w:color="auto" w:sz="4" w:space="0"/>
      </w:pBdr>
      <w:spacing w:before="100" w:beforeAutospacing="1" w:after="100" w:afterAutospacing="1"/>
      <w:ind w:firstLine="100" w:firstLineChars="100"/>
    </w:pPr>
    <w:rPr>
      <w:rFonts w:ascii="Arial" w:hAnsi="Arial" w:cs="Arial"/>
    </w:rPr>
  </w:style>
  <w:style w:type="paragraph" w:customStyle="1" w:styleId="215">
    <w:name w:val="xl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rPr>
  </w:style>
  <w:style w:type="paragraph" w:customStyle="1" w:styleId="216">
    <w:name w:val="xl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rPr>
  </w:style>
  <w:style w:type="paragraph" w:customStyle="1" w:styleId="217">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rPr>
  </w:style>
  <w:style w:type="paragraph" w:customStyle="1" w:styleId="218">
    <w:name w:val="xl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b/>
      <w:bCs/>
    </w:rPr>
  </w:style>
  <w:style w:type="paragraph" w:customStyle="1" w:styleId="219">
    <w:name w:val="xl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rPr>
  </w:style>
  <w:style w:type="paragraph" w:customStyle="1" w:styleId="220">
    <w:name w:val="xl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rPr>
  </w:style>
  <w:style w:type="paragraph" w:customStyle="1" w:styleId="221">
    <w:name w:val="xl7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b/>
      <w:bCs/>
    </w:rPr>
  </w:style>
  <w:style w:type="paragraph" w:customStyle="1" w:styleId="222">
    <w:name w:val="xl8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23">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rPr>
  </w:style>
  <w:style w:type="paragraph" w:customStyle="1" w:styleId="224">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25">
    <w:name w:val="xl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26">
    <w:name w:val="xl8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rPr>
  </w:style>
  <w:style w:type="paragraph" w:customStyle="1" w:styleId="227">
    <w:name w:val="xl8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rPr>
  </w:style>
  <w:style w:type="paragraph" w:customStyle="1" w:styleId="228">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rPr>
  </w:style>
  <w:style w:type="paragraph" w:customStyle="1" w:styleId="229">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rPr>
  </w:style>
  <w:style w:type="paragraph" w:customStyle="1" w:styleId="230">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rPr>
  </w:style>
  <w:style w:type="paragraph" w:customStyle="1" w:styleId="231">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32">
    <w:name w:val="xl9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rPr>
  </w:style>
  <w:style w:type="paragraph" w:customStyle="1" w:styleId="233">
    <w:name w:val="xl92"/>
    <w:basedOn w:val="1"/>
    <w:qFormat/>
    <w:uiPriority w:val="0"/>
    <w:pPr>
      <w:spacing w:before="100" w:beforeAutospacing="1" w:after="100" w:afterAutospacing="1"/>
    </w:pPr>
    <w:rPr>
      <w:rFonts w:ascii="Arial" w:hAnsi="Arial" w:cs="Arial"/>
    </w:rPr>
  </w:style>
  <w:style w:type="paragraph" w:customStyle="1" w:styleId="234">
    <w:name w:val="xl93"/>
    <w:basedOn w:val="1"/>
    <w:qFormat/>
    <w:uiPriority w:val="0"/>
    <w:pPr>
      <w:spacing w:before="100" w:beforeAutospacing="1" w:after="100" w:afterAutospacing="1"/>
      <w:jc w:val="right"/>
    </w:pPr>
    <w:rPr>
      <w:rFonts w:ascii="Arial" w:hAnsi="Arial" w:cs="Arial"/>
    </w:rPr>
  </w:style>
  <w:style w:type="paragraph" w:customStyle="1" w:styleId="235">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b/>
      <w:bCs/>
    </w:rPr>
  </w:style>
  <w:style w:type="paragraph" w:customStyle="1" w:styleId="236">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rPr>
  </w:style>
  <w:style w:type="paragraph" w:customStyle="1" w:styleId="237">
    <w:name w:val="xl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rPr>
  </w:style>
  <w:style w:type="paragraph" w:customStyle="1" w:styleId="238">
    <w:name w:val="xl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rPr>
  </w:style>
  <w:style w:type="paragraph" w:customStyle="1" w:styleId="239">
    <w:name w:val="xl9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rPr>
  </w:style>
  <w:style w:type="paragraph" w:customStyle="1" w:styleId="240">
    <w:name w:val="xl9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rPr>
  </w:style>
  <w:style w:type="paragraph" w:customStyle="1" w:styleId="241">
    <w:name w:val="xl1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rPr>
  </w:style>
  <w:style w:type="paragraph" w:customStyle="1" w:styleId="242">
    <w:name w:val="xl1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rPr>
  </w:style>
  <w:style w:type="paragraph" w:customStyle="1" w:styleId="243">
    <w:name w:val="xl1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rPr>
  </w:style>
  <w:style w:type="paragraph" w:customStyle="1" w:styleId="244">
    <w:name w:val="xl103"/>
    <w:basedOn w:val="1"/>
    <w:qFormat/>
    <w:uiPriority w:val="0"/>
    <w:pPr>
      <w:spacing w:before="100" w:beforeAutospacing="1" w:after="100" w:afterAutospacing="1"/>
    </w:pPr>
    <w:rPr>
      <w:rFonts w:ascii="Arial" w:hAnsi="Arial" w:cs="Arial"/>
    </w:rPr>
  </w:style>
  <w:style w:type="paragraph" w:customStyle="1" w:styleId="245">
    <w:name w:val="xl104"/>
    <w:basedOn w:val="1"/>
    <w:qFormat/>
    <w:uiPriority w:val="0"/>
    <w:pPr>
      <w:spacing w:before="100" w:beforeAutospacing="1" w:after="100" w:afterAutospacing="1"/>
    </w:pPr>
    <w:rPr>
      <w:rFonts w:ascii="Arial" w:hAnsi="Arial" w:cs="Arial"/>
    </w:rPr>
  </w:style>
  <w:style w:type="paragraph" w:customStyle="1" w:styleId="246">
    <w:name w:val="xl10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b/>
      <w:bCs/>
    </w:rPr>
  </w:style>
  <w:style w:type="paragraph" w:customStyle="1" w:styleId="247">
    <w:name w:val="xl1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rPr>
  </w:style>
  <w:style w:type="paragraph" w:customStyle="1" w:styleId="248">
    <w:name w:val="xl10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rPr>
  </w:style>
  <w:style w:type="paragraph" w:customStyle="1" w:styleId="249">
    <w:name w:val="xl108"/>
    <w:basedOn w:val="1"/>
    <w:qFormat/>
    <w:uiPriority w:val="0"/>
    <w:pPr>
      <w:spacing w:before="100" w:beforeAutospacing="1" w:after="100" w:afterAutospacing="1"/>
      <w:jc w:val="center"/>
    </w:pPr>
    <w:rPr>
      <w:rFonts w:ascii="Arial" w:hAnsi="Arial" w:cs="Arial"/>
    </w:rPr>
  </w:style>
  <w:style w:type="paragraph" w:customStyle="1" w:styleId="250">
    <w:name w:val="xl10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rPr>
  </w:style>
  <w:style w:type="paragraph" w:customStyle="1" w:styleId="251">
    <w:name w:val="xl11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52">
    <w:name w:val="xl11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rPr>
  </w:style>
  <w:style w:type="paragraph" w:customStyle="1" w:styleId="253">
    <w:name w:val="xl11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rPr>
  </w:style>
  <w:style w:type="paragraph" w:customStyle="1" w:styleId="254">
    <w:name w:val="xl113"/>
    <w:basedOn w:val="1"/>
    <w:qFormat/>
    <w:uiPriority w:val="0"/>
    <w:pPr>
      <w:spacing w:before="100" w:beforeAutospacing="1" w:after="100" w:afterAutospacing="1"/>
    </w:pPr>
    <w:rPr>
      <w:rFonts w:ascii="Arial" w:hAnsi="Arial" w:cs="Arial"/>
      <w:b/>
      <w:bCs/>
    </w:rPr>
  </w:style>
  <w:style w:type="paragraph" w:customStyle="1" w:styleId="255">
    <w:name w:val="xl114"/>
    <w:basedOn w:val="1"/>
    <w:qFormat/>
    <w:uiPriority w:val="0"/>
    <w:pPr>
      <w:spacing w:before="100" w:beforeAutospacing="1" w:after="100" w:afterAutospacing="1"/>
    </w:pPr>
    <w:rPr>
      <w:rFonts w:ascii="Arial" w:hAnsi="Arial" w:cs="Arial"/>
      <w:b/>
      <w:bCs/>
    </w:rPr>
  </w:style>
  <w:style w:type="paragraph" w:customStyle="1" w:styleId="256">
    <w:name w:val="xl11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b/>
      <w:bCs/>
    </w:rPr>
  </w:style>
  <w:style w:type="paragraph" w:customStyle="1" w:styleId="257">
    <w:name w:val="xl11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rPr>
  </w:style>
  <w:style w:type="paragraph" w:customStyle="1" w:styleId="258">
    <w:name w:val="xl117"/>
    <w:basedOn w:val="1"/>
    <w:qFormat/>
    <w:uiPriority w:val="0"/>
    <w:pPr>
      <w:spacing w:before="100" w:beforeAutospacing="1" w:after="100" w:afterAutospacing="1"/>
    </w:pPr>
    <w:rPr>
      <w:rFonts w:ascii="Arial" w:hAnsi="Arial" w:cs="Arial"/>
      <w:color w:val="FF0000"/>
    </w:rPr>
  </w:style>
  <w:style w:type="paragraph" w:customStyle="1" w:styleId="259">
    <w:name w:val="xl11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rPr>
  </w:style>
  <w:style w:type="paragraph" w:customStyle="1" w:styleId="260">
    <w:name w:val="xl11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rPr>
  </w:style>
  <w:style w:type="paragraph" w:customStyle="1" w:styleId="261">
    <w:name w:val="xl12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rPr>
  </w:style>
  <w:style w:type="paragraph" w:customStyle="1" w:styleId="262">
    <w:name w:val="xl12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rPr>
  </w:style>
  <w:style w:type="paragraph" w:customStyle="1" w:styleId="263">
    <w:name w:val="xl122"/>
    <w:basedOn w:val="1"/>
    <w:qFormat/>
    <w:uiPriority w:val="0"/>
    <w:pPr>
      <w:spacing w:before="100" w:beforeAutospacing="1" w:after="100" w:afterAutospacing="1"/>
    </w:pPr>
    <w:rPr>
      <w:rFonts w:ascii="Arial" w:hAnsi="Arial" w:cs="Arial"/>
    </w:rPr>
  </w:style>
  <w:style w:type="paragraph" w:customStyle="1" w:styleId="264">
    <w:name w:val="xl1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color w:val="000000"/>
    </w:rPr>
  </w:style>
  <w:style w:type="paragraph" w:customStyle="1" w:styleId="265">
    <w:name w:val="xl1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style>
  <w:style w:type="paragraph" w:customStyle="1" w:styleId="266">
    <w:name w:val="xl1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w:hAnsi="Arial" w:cs="Arial"/>
    </w:rPr>
  </w:style>
  <w:style w:type="paragraph" w:customStyle="1" w:styleId="267">
    <w:name w:val="xl1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rPr>
  </w:style>
  <w:style w:type="paragraph" w:customStyle="1" w:styleId="268">
    <w:name w:val="xl127"/>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rPr>
  </w:style>
  <w:style w:type="paragraph" w:customStyle="1" w:styleId="269">
    <w:name w:val="xl128"/>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rPr>
  </w:style>
  <w:style w:type="paragraph" w:customStyle="1" w:styleId="270">
    <w:name w:val="xl129"/>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pPr>
    <w:rPr>
      <w:rFonts w:ascii="Arial" w:hAnsi="Arial" w:cs="Arial"/>
      <w:b/>
      <w:bCs/>
    </w:rPr>
  </w:style>
  <w:style w:type="paragraph" w:customStyle="1" w:styleId="271">
    <w:name w:val="xl130"/>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rPr>
  </w:style>
  <w:style w:type="paragraph" w:customStyle="1" w:styleId="272">
    <w:name w:val="xl1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style>
  <w:style w:type="paragraph" w:customStyle="1" w:styleId="273">
    <w:name w:val="xl1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rPr>
  </w:style>
  <w:style w:type="paragraph" w:customStyle="1" w:styleId="274">
    <w:name w:val="xl1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rPr>
  </w:style>
  <w:style w:type="paragraph" w:customStyle="1" w:styleId="275">
    <w:name w:val="xl1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b/>
      <w:bCs/>
    </w:rPr>
  </w:style>
  <w:style w:type="paragraph" w:customStyle="1" w:styleId="276">
    <w:name w:val="xl1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rPr>
  </w:style>
  <w:style w:type="paragraph" w:customStyle="1" w:styleId="277">
    <w:name w:val="xl136"/>
    <w:basedOn w:val="1"/>
    <w:qFormat/>
    <w:uiPriority w:val="0"/>
    <w:pPr>
      <w:pBdr>
        <w:top w:val="single" w:color="auto" w:sz="4" w:space="0"/>
        <w:left w:val="single" w:color="auto" w:sz="4" w:space="0"/>
        <w:bottom w:val="single" w:color="auto" w:sz="4" w:space="0"/>
      </w:pBdr>
      <w:spacing w:before="100" w:beforeAutospacing="1" w:after="100" w:afterAutospacing="1"/>
      <w:jc w:val="right"/>
    </w:pPr>
    <w:rPr>
      <w:rFonts w:ascii="Arial" w:hAnsi="Arial" w:cs="Arial"/>
    </w:rPr>
  </w:style>
  <w:style w:type="paragraph" w:customStyle="1" w:styleId="278">
    <w:name w:val="xl137"/>
    <w:basedOn w:val="1"/>
    <w:qFormat/>
    <w:uiPriority w:val="0"/>
    <w:pPr>
      <w:pBdr>
        <w:top w:val="single" w:color="auto" w:sz="4" w:space="0"/>
        <w:bottom w:val="single" w:color="auto" w:sz="4" w:space="0"/>
      </w:pBdr>
      <w:spacing w:before="100" w:beforeAutospacing="1" w:after="100" w:afterAutospacing="1"/>
      <w:jc w:val="right"/>
    </w:pPr>
    <w:rPr>
      <w:rFonts w:ascii="Arial" w:hAnsi="Arial" w:cs="Arial"/>
    </w:rPr>
  </w:style>
  <w:style w:type="paragraph" w:customStyle="1" w:styleId="279">
    <w:name w:val="xl138"/>
    <w:basedOn w:val="1"/>
    <w:qFormat/>
    <w:uiPriority w:val="0"/>
    <w:pPr>
      <w:pBdr>
        <w:top w:val="single" w:color="auto" w:sz="4" w:space="0"/>
        <w:bottom w:val="single" w:color="auto" w:sz="4" w:space="0"/>
        <w:right w:val="single" w:color="auto" w:sz="4" w:space="0"/>
      </w:pBdr>
      <w:spacing w:before="100" w:beforeAutospacing="1" w:after="100" w:afterAutospacing="1"/>
      <w:jc w:val="right"/>
    </w:pPr>
    <w:rPr>
      <w:rFonts w:ascii="Arial" w:hAnsi="Arial" w:cs="Arial"/>
    </w:rPr>
  </w:style>
  <w:style w:type="paragraph" w:customStyle="1" w:styleId="280">
    <w:name w:val="xl139"/>
    <w:basedOn w:val="1"/>
    <w:qFormat/>
    <w:uiPriority w:val="0"/>
    <w:pPr>
      <w:pBdr>
        <w:top w:val="single" w:color="auto" w:sz="4" w:space="0"/>
        <w:left w:val="single" w:color="auto" w:sz="4" w:space="0"/>
        <w:bottom w:val="single" w:color="auto" w:sz="4" w:space="0"/>
      </w:pBdr>
      <w:spacing w:before="100" w:beforeAutospacing="1" w:after="100" w:afterAutospacing="1"/>
      <w:jc w:val="right"/>
    </w:pPr>
    <w:rPr>
      <w:rFonts w:ascii="Arial" w:hAnsi="Arial" w:cs="Arial"/>
    </w:rPr>
  </w:style>
  <w:style w:type="paragraph" w:customStyle="1" w:styleId="281">
    <w:name w:val="xl140"/>
    <w:basedOn w:val="1"/>
    <w:qFormat/>
    <w:uiPriority w:val="0"/>
    <w:pPr>
      <w:pBdr>
        <w:top w:val="single" w:color="auto" w:sz="4" w:space="0"/>
        <w:bottom w:val="single" w:color="auto" w:sz="4" w:space="0"/>
      </w:pBdr>
      <w:spacing w:before="100" w:beforeAutospacing="1" w:after="100" w:afterAutospacing="1"/>
      <w:jc w:val="right"/>
    </w:pPr>
    <w:rPr>
      <w:rFonts w:ascii="Arial" w:hAnsi="Arial" w:cs="Arial"/>
    </w:rPr>
  </w:style>
  <w:style w:type="paragraph" w:customStyle="1" w:styleId="282">
    <w:name w:val="xl141"/>
    <w:basedOn w:val="1"/>
    <w:qFormat/>
    <w:uiPriority w:val="0"/>
    <w:pPr>
      <w:pBdr>
        <w:top w:val="single" w:color="auto" w:sz="4" w:space="0"/>
        <w:bottom w:val="single" w:color="auto" w:sz="4" w:space="0"/>
        <w:right w:val="single" w:color="auto" w:sz="4" w:space="0"/>
      </w:pBdr>
      <w:spacing w:before="100" w:beforeAutospacing="1" w:after="100" w:afterAutospacing="1"/>
      <w:jc w:val="right"/>
    </w:pPr>
    <w:rPr>
      <w:rFonts w:ascii="Arial" w:hAnsi="Arial" w:cs="Arial"/>
      <w:b/>
      <w:bCs/>
    </w:rPr>
  </w:style>
  <w:style w:type="paragraph" w:customStyle="1" w:styleId="283">
    <w:name w:val="xl142"/>
    <w:basedOn w:val="1"/>
    <w:qFormat/>
    <w:uiPriority w:val="0"/>
    <w:pPr>
      <w:pBdr>
        <w:top w:val="single" w:color="auto" w:sz="4" w:space="0"/>
        <w:bottom w:val="single" w:color="auto" w:sz="4" w:space="0"/>
        <w:right w:val="single" w:color="auto" w:sz="4" w:space="0"/>
      </w:pBdr>
      <w:shd w:val="clear" w:color="000000" w:fill="D8D8D8"/>
      <w:spacing w:before="100" w:beforeAutospacing="1" w:after="100" w:afterAutospacing="1"/>
      <w:jc w:val="right"/>
    </w:pPr>
    <w:rPr>
      <w:rFonts w:ascii="Arial" w:hAnsi="Arial" w:cs="Arial"/>
      <w:b/>
      <w:bCs/>
    </w:rPr>
  </w:style>
  <w:style w:type="paragraph" w:customStyle="1" w:styleId="284">
    <w:name w:val="xl143"/>
    <w:basedOn w:val="1"/>
    <w:qFormat/>
    <w:uiPriority w:val="0"/>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right"/>
    </w:pPr>
    <w:rPr>
      <w:rFonts w:ascii="Arial" w:hAnsi="Arial" w:cs="Arial"/>
      <w:b/>
      <w:bCs/>
    </w:rPr>
  </w:style>
  <w:style w:type="paragraph" w:customStyle="1" w:styleId="285">
    <w:name w:val="xl144"/>
    <w:basedOn w:val="1"/>
    <w:qFormat/>
    <w:uiPriority w:val="0"/>
    <w:pPr>
      <w:pBdr>
        <w:top w:val="single" w:color="auto" w:sz="4" w:space="0"/>
        <w:left w:val="single" w:color="auto" w:sz="4" w:space="0"/>
        <w:bottom w:val="single" w:color="auto" w:sz="4" w:space="0"/>
        <w:right w:val="single" w:color="auto" w:sz="4" w:space="0"/>
      </w:pBdr>
      <w:shd w:val="clear" w:color="000000" w:fill="D8D8D8"/>
      <w:spacing w:before="100" w:beforeAutospacing="1" w:after="100" w:afterAutospacing="1"/>
      <w:jc w:val="center"/>
    </w:pPr>
    <w:rPr>
      <w:rFonts w:ascii="Arial" w:hAnsi="Arial" w:cs="Arial"/>
      <w:b/>
      <w:bCs/>
    </w:rPr>
  </w:style>
  <w:style w:type="paragraph" w:customStyle="1" w:styleId="286">
    <w:name w:val="xl145"/>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jc w:val="center"/>
      <w:textAlignment w:val="center"/>
    </w:pPr>
    <w:rPr>
      <w:rFonts w:ascii="Arial" w:hAnsi="Arial" w:cs="Arial"/>
      <w:b/>
      <w:bCs/>
    </w:rPr>
  </w:style>
  <w:style w:type="paragraph" w:customStyle="1" w:styleId="287">
    <w:name w:val="xl146"/>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jc w:val="center"/>
      <w:textAlignment w:val="center"/>
    </w:pPr>
    <w:rPr>
      <w:rFonts w:ascii="Arial" w:hAnsi="Arial" w:cs="Arial"/>
      <w:b/>
      <w:bCs/>
    </w:rPr>
  </w:style>
  <w:style w:type="paragraph" w:customStyle="1" w:styleId="288">
    <w:name w:val="xl1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rPr>
  </w:style>
  <w:style w:type="paragraph" w:customStyle="1" w:styleId="289">
    <w:name w:val="xl148"/>
    <w:basedOn w:val="1"/>
    <w:qFormat/>
    <w:uiPriority w:val="0"/>
    <w:pPr>
      <w:pBdr>
        <w:top w:val="single" w:color="auto" w:sz="8" w:space="0"/>
        <w:left w:val="single" w:color="auto" w:sz="8" w:space="0"/>
        <w:bottom w:val="single" w:color="auto" w:sz="8" w:space="0"/>
      </w:pBdr>
      <w:spacing w:before="100" w:beforeAutospacing="1" w:after="100" w:afterAutospacing="1"/>
      <w:jc w:val="center"/>
      <w:textAlignment w:val="center"/>
    </w:pPr>
    <w:rPr>
      <w:rFonts w:ascii="Arial" w:hAnsi="Arial" w:cs="Arial"/>
      <w:b/>
      <w:bCs/>
    </w:rPr>
  </w:style>
  <w:style w:type="paragraph" w:customStyle="1" w:styleId="290">
    <w:name w:val="xl149"/>
    <w:basedOn w:val="1"/>
    <w:qFormat/>
    <w:uiPriority w:val="0"/>
    <w:pPr>
      <w:pBdr>
        <w:top w:val="single" w:color="auto" w:sz="8" w:space="0"/>
        <w:bottom w:val="single" w:color="auto" w:sz="8" w:space="0"/>
      </w:pBdr>
      <w:spacing w:before="100" w:beforeAutospacing="1" w:after="100" w:afterAutospacing="1"/>
      <w:jc w:val="center"/>
      <w:textAlignment w:val="center"/>
    </w:pPr>
    <w:rPr>
      <w:rFonts w:ascii="Arial" w:hAnsi="Arial" w:cs="Arial"/>
      <w:b/>
      <w:bCs/>
    </w:rPr>
  </w:style>
  <w:style w:type="paragraph" w:customStyle="1" w:styleId="291">
    <w:name w:val="xl150"/>
    <w:basedOn w:val="1"/>
    <w:qFormat/>
    <w:uiPriority w:val="0"/>
    <w:pPr>
      <w:pBdr>
        <w:top w:val="single" w:color="auto" w:sz="8" w:space="0"/>
        <w:bottom w:val="single" w:color="auto" w:sz="8" w:space="0"/>
        <w:right w:val="single" w:color="auto" w:sz="8" w:space="0"/>
      </w:pBdr>
      <w:spacing w:before="100" w:beforeAutospacing="1" w:after="100" w:afterAutospacing="1"/>
      <w:jc w:val="center"/>
      <w:textAlignment w:val="center"/>
    </w:pPr>
    <w:rPr>
      <w:rFonts w:ascii="Arial" w:hAnsi="Arial" w:cs="Arial"/>
      <w:b/>
      <w:bCs/>
    </w:rPr>
  </w:style>
  <w:style w:type="paragraph" w:customStyle="1" w:styleId="292">
    <w:name w:val="xl151"/>
    <w:basedOn w:val="1"/>
    <w:qFormat/>
    <w:uiPriority w:val="0"/>
    <w:pPr>
      <w:pBdr>
        <w:top w:val="single" w:color="auto" w:sz="8" w:space="0"/>
        <w:left w:val="single" w:color="auto" w:sz="8" w:space="0"/>
        <w:bottom w:val="single" w:color="auto" w:sz="8" w:space="0"/>
      </w:pBdr>
      <w:spacing w:before="100" w:beforeAutospacing="1" w:after="100" w:afterAutospacing="1"/>
      <w:textAlignment w:val="center"/>
    </w:pPr>
    <w:rPr>
      <w:rFonts w:ascii="Arial" w:hAnsi="Arial" w:cs="Arial"/>
      <w:b/>
      <w:bCs/>
      <w:sz w:val="22"/>
      <w:szCs w:val="22"/>
    </w:rPr>
  </w:style>
  <w:style w:type="paragraph" w:customStyle="1" w:styleId="293">
    <w:name w:val="xl152"/>
    <w:basedOn w:val="1"/>
    <w:qFormat/>
    <w:uiPriority w:val="0"/>
    <w:pPr>
      <w:pBdr>
        <w:top w:val="single" w:color="auto" w:sz="8" w:space="0"/>
        <w:bottom w:val="single" w:color="auto" w:sz="8" w:space="0"/>
      </w:pBdr>
      <w:spacing w:before="100" w:beforeAutospacing="1" w:after="100" w:afterAutospacing="1"/>
      <w:textAlignment w:val="center"/>
    </w:pPr>
    <w:rPr>
      <w:rFonts w:ascii="Arial" w:hAnsi="Arial" w:cs="Arial"/>
      <w:b/>
      <w:bCs/>
      <w:sz w:val="22"/>
      <w:szCs w:val="22"/>
    </w:rPr>
  </w:style>
  <w:style w:type="paragraph" w:customStyle="1" w:styleId="294">
    <w:name w:val="xl153"/>
    <w:basedOn w:val="1"/>
    <w:qFormat/>
    <w:uiPriority w:val="0"/>
    <w:pPr>
      <w:pBdr>
        <w:top w:val="single" w:color="auto" w:sz="8" w:space="0"/>
        <w:bottom w:val="single" w:color="auto" w:sz="8" w:space="0"/>
        <w:right w:val="single" w:color="auto" w:sz="8" w:space="0"/>
      </w:pBdr>
      <w:spacing w:before="100" w:beforeAutospacing="1" w:after="100" w:afterAutospacing="1"/>
      <w:textAlignment w:val="center"/>
    </w:pPr>
    <w:rPr>
      <w:rFonts w:ascii="Arial" w:hAnsi="Arial" w:cs="Arial"/>
      <w:b/>
      <w:bCs/>
      <w:sz w:val="22"/>
      <w:szCs w:val="22"/>
    </w:rPr>
  </w:style>
  <w:style w:type="paragraph" w:customStyle="1" w:styleId="295">
    <w:name w:val="xl154"/>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textAlignment w:val="center"/>
    </w:pPr>
    <w:rPr>
      <w:rFonts w:ascii="Arial" w:hAnsi="Arial" w:cs="Arial"/>
      <w:b/>
      <w:bCs/>
      <w:sz w:val="22"/>
      <w:szCs w:val="22"/>
    </w:rPr>
  </w:style>
  <w:style w:type="paragraph" w:customStyle="1" w:styleId="296">
    <w:name w:val="xl155"/>
    <w:basedOn w:val="1"/>
    <w:qFormat/>
    <w:uiPriority w:val="0"/>
    <w:pPr>
      <w:pBdr>
        <w:top w:val="single" w:color="auto" w:sz="8" w:space="0"/>
        <w:left w:val="single" w:color="auto" w:sz="8" w:space="0"/>
        <w:bottom w:val="single" w:color="auto" w:sz="8" w:space="0"/>
        <w:right w:val="single" w:color="auto" w:sz="8" w:space="0"/>
      </w:pBdr>
      <w:spacing w:before="100" w:beforeAutospacing="1" w:after="100" w:afterAutospacing="1"/>
      <w:textAlignment w:val="center"/>
    </w:pPr>
    <w:rPr>
      <w:rFonts w:ascii="Arial" w:hAnsi="Arial" w:cs="Arial"/>
      <w:b/>
      <w:bCs/>
      <w:sz w:val="22"/>
      <w:szCs w:val="22"/>
    </w:rPr>
  </w:style>
  <w:style w:type="paragraph" w:customStyle="1" w:styleId="297">
    <w:name w:val="xl156"/>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rFonts w:ascii="Arial" w:hAnsi="Arial" w:cs="Arial"/>
      <w:b/>
      <w:bCs/>
    </w:rPr>
  </w:style>
  <w:style w:type="paragraph" w:customStyle="1" w:styleId="298">
    <w:name w:val="xl157"/>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center"/>
    </w:pPr>
    <w:rPr>
      <w:rFonts w:ascii="Arial" w:hAnsi="Arial" w:cs="Arial"/>
      <w:b/>
      <w:bCs/>
    </w:rPr>
  </w:style>
  <w:style w:type="paragraph" w:customStyle="1" w:styleId="299">
    <w:name w:val="xl158"/>
    <w:basedOn w:val="1"/>
    <w:qFormat/>
    <w:uiPriority w:val="0"/>
    <w:pPr>
      <w:pBdr>
        <w:top w:val="single" w:color="auto" w:sz="8" w:space="0"/>
        <w:left w:val="single" w:color="auto" w:sz="8" w:space="0"/>
        <w:bottom w:val="single" w:color="auto" w:sz="4" w:space="0"/>
        <w:right w:val="single" w:color="auto" w:sz="8" w:space="0"/>
      </w:pBdr>
      <w:spacing w:before="100" w:beforeAutospacing="1" w:after="100" w:afterAutospacing="1"/>
      <w:jc w:val="center"/>
      <w:textAlignment w:val="center"/>
    </w:pPr>
    <w:rPr>
      <w:rFonts w:ascii="Arial" w:hAnsi="Arial" w:cs="Arial"/>
      <w:b/>
      <w:bCs/>
    </w:rPr>
  </w:style>
  <w:style w:type="paragraph" w:customStyle="1" w:styleId="300">
    <w:name w:val="xl159"/>
    <w:basedOn w:val="1"/>
    <w:qFormat/>
    <w:uiPriority w:val="0"/>
    <w:pPr>
      <w:pBdr>
        <w:top w:val="single" w:color="auto" w:sz="4" w:space="0"/>
        <w:left w:val="single" w:color="auto" w:sz="8" w:space="0"/>
        <w:bottom w:val="single" w:color="auto" w:sz="8" w:space="0"/>
        <w:right w:val="single" w:color="auto" w:sz="8" w:space="0"/>
      </w:pBdr>
      <w:spacing w:before="100" w:beforeAutospacing="1" w:after="100" w:afterAutospacing="1"/>
      <w:jc w:val="center"/>
      <w:textAlignment w:val="center"/>
    </w:pPr>
    <w:rPr>
      <w:rFonts w:ascii="Arial" w:hAnsi="Arial" w:cs="Arial"/>
      <w:b/>
      <w:bCs/>
    </w:rPr>
  </w:style>
  <w:style w:type="paragraph" w:customStyle="1" w:styleId="301">
    <w:name w:val="xl160"/>
    <w:basedOn w:val="1"/>
    <w:qFormat/>
    <w:uiPriority w:val="0"/>
    <w:pPr>
      <w:pBdr>
        <w:top w:val="single" w:color="auto" w:sz="8" w:space="0"/>
        <w:left w:val="single" w:color="auto" w:sz="8" w:space="0"/>
        <w:right w:val="single" w:color="auto" w:sz="8" w:space="0"/>
      </w:pBdr>
      <w:spacing w:before="100" w:beforeAutospacing="1" w:after="100" w:afterAutospacing="1"/>
      <w:textAlignment w:val="center"/>
    </w:pPr>
    <w:rPr>
      <w:rFonts w:ascii="Arial" w:hAnsi="Arial" w:cs="Arial"/>
      <w:b/>
      <w:bCs/>
    </w:rPr>
  </w:style>
  <w:style w:type="paragraph" w:customStyle="1" w:styleId="302">
    <w:name w:val="xl161"/>
    <w:basedOn w:val="1"/>
    <w:qFormat/>
    <w:uiPriority w:val="0"/>
    <w:pPr>
      <w:pBdr>
        <w:left w:val="single" w:color="auto" w:sz="8" w:space="0"/>
        <w:bottom w:val="single" w:color="auto" w:sz="8" w:space="0"/>
        <w:right w:val="single" w:color="auto" w:sz="8" w:space="0"/>
      </w:pBdr>
      <w:spacing w:before="100" w:beforeAutospacing="1" w:after="100" w:afterAutospacing="1"/>
      <w:textAlignment w:val="center"/>
    </w:pPr>
    <w:rPr>
      <w:rFonts w:ascii="Arial" w:hAnsi="Arial" w:cs="Arial"/>
      <w:b/>
      <w:bCs/>
    </w:rPr>
  </w:style>
  <w:style w:type="paragraph" w:customStyle="1" w:styleId="303">
    <w:name w:val="xl162"/>
    <w:basedOn w:val="1"/>
    <w:qFormat/>
    <w:uiPriority w:val="0"/>
    <w:pPr>
      <w:pBdr>
        <w:top w:val="single" w:color="auto" w:sz="8" w:space="0"/>
        <w:left w:val="single" w:color="auto" w:sz="8" w:space="0"/>
        <w:right w:val="single" w:color="auto" w:sz="8" w:space="0"/>
      </w:pBdr>
      <w:spacing w:before="100" w:beforeAutospacing="1" w:after="100" w:afterAutospacing="1"/>
      <w:jc w:val="center"/>
      <w:textAlignment w:val="center"/>
    </w:pPr>
    <w:rPr>
      <w:rFonts w:ascii="Arial" w:hAnsi="Arial" w:cs="Arial"/>
      <w:b/>
      <w:bCs/>
    </w:rPr>
  </w:style>
  <w:style w:type="paragraph" w:customStyle="1" w:styleId="304">
    <w:name w:val="xl163"/>
    <w:basedOn w:val="1"/>
    <w:qFormat/>
    <w:uiPriority w:val="0"/>
    <w:pPr>
      <w:pBdr>
        <w:left w:val="single" w:color="auto" w:sz="8" w:space="0"/>
        <w:bottom w:val="single" w:color="auto" w:sz="8" w:space="0"/>
        <w:right w:val="single" w:color="auto" w:sz="8" w:space="0"/>
      </w:pBdr>
      <w:spacing w:before="100" w:beforeAutospacing="1" w:after="100" w:afterAutospacing="1"/>
      <w:jc w:val="center"/>
      <w:textAlignment w:val="center"/>
    </w:pPr>
  </w:style>
  <w:style w:type="paragraph" w:customStyle="1" w:styleId="305">
    <w:name w:val="xl164"/>
    <w:basedOn w:val="1"/>
    <w:qFormat/>
    <w:uiPriority w:val="0"/>
    <w:pPr>
      <w:pBdr>
        <w:top w:val="single" w:color="auto" w:sz="4" w:space="0"/>
        <w:left w:val="single" w:color="auto" w:sz="4" w:space="0"/>
        <w:bottom w:val="single" w:color="auto" w:sz="4" w:space="0"/>
      </w:pBdr>
      <w:shd w:val="clear" w:color="000000" w:fill="D8D8D8"/>
      <w:spacing w:before="100" w:beforeAutospacing="1" w:after="100" w:afterAutospacing="1"/>
      <w:jc w:val="right"/>
    </w:pPr>
    <w:rPr>
      <w:rFonts w:ascii="Arial" w:hAnsi="Arial" w:cs="Arial"/>
      <w:b/>
      <w:bCs/>
    </w:rPr>
  </w:style>
  <w:style w:type="paragraph" w:customStyle="1" w:styleId="306">
    <w:name w:val="xl165"/>
    <w:basedOn w:val="1"/>
    <w:qFormat/>
    <w:uiPriority w:val="0"/>
    <w:pPr>
      <w:pBdr>
        <w:top w:val="single" w:color="auto" w:sz="4" w:space="0"/>
        <w:bottom w:val="single" w:color="auto" w:sz="4" w:space="0"/>
      </w:pBdr>
      <w:shd w:val="clear" w:color="000000" w:fill="D8D8D8"/>
      <w:spacing w:before="100" w:beforeAutospacing="1" w:after="100" w:afterAutospacing="1"/>
      <w:jc w:val="right"/>
    </w:pPr>
    <w:rPr>
      <w:rFonts w:ascii="Arial" w:hAnsi="Arial" w:cs="Arial"/>
      <w:b/>
      <w:bCs/>
    </w:rPr>
  </w:style>
  <w:style w:type="paragraph" w:customStyle="1" w:styleId="307">
    <w:name w:val="xl166"/>
    <w:basedOn w:val="1"/>
    <w:qFormat/>
    <w:uiPriority w:val="0"/>
    <w:pPr>
      <w:pBdr>
        <w:top w:val="single" w:color="auto" w:sz="4" w:space="0"/>
        <w:bottom w:val="single" w:color="auto" w:sz="4" w:space="0"/>
        <w:right w:val="single" w:color="auto" w:sz="4" w:space="0"/>
      </w:pBdr>
      <w:shd w:val="clear" w:color="000000" w:fill="D8D8D8"/>
      <w:spacing w:before="100" w:beforeAutospacing="1" w:after="100" w:afterAutospacing="1"/>
      <w:jc w:val="right"/>
    </w:pPr>
    <w:rPr>
      <w:rFonts w:ascii="Arial" w:hAnsi="Arial" w:cs="Arial"/>
      <w:b/>
      <w:bCs/>
    </w:rPr>
  </w:style>
  <w:style w:type="paragraph" w:customStyle="1" w:styleId="308">
    <w:name w:val="xl1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b/>
      <w:bCs/>
    </w:rPr>
  </w:style>
  <w:style w:type="paragraph" w:customStyle="1" w:styleId="309">
    <w:name w:val="xl1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rPr>
  </w:style>
  <w:style w:type="character" w:customStyle="1" w:styleId="310">
    <w:name w:val="Primeiro recuo de corpo de texto 2 Char"/>
    <w:link w:val="21"/>
    <w:qFormat/>
    <w:uiPriority w:val="0"/>
    <w:rPr>
      <w:sz w:val="24"/>
      <w:szCs w:val="24"/>
      <w:lang w:eastAsia="ja-JP"/>
    </w:rPr>
  </w:style>
  <w:style w:type="character" w:customStyle="1" w:styleId="311">
    <w:name w:val="st"/>
    <w:basedOn w:val="11"/>
    <w:qFormat/>
    <w:uiPriority w:val="0"/>
    <w:rPr>
      <w:rFonts w:cs="Times New Roman"/>
    </w:rPr>
  </w:style>
  <w:style w:type="paragraph" w:customStyle="1" w:styleId="312">
    <w:name w:val="Recuo de corpo de texto 211"/>
    <w:basedOn w:val="1"/>
    <w:qFormat/>
    <w:uiPriority w:val="0"/>
    <w:pPr>
      <w:ind w:left="567" w:hanging="567"/>
      <w:jc w:val="both"/>
    </w:pPr>
    <w:rPr>
      <w:b/>
      <w:sz w:val="22"/>
      <w:szCs w:val="20"/>
      <w:lang w:eastAsia="ja-JP"/>
    </w:rPr>
  </w:style>
  <w:style w:type="paragraph" w:customStyle="1" w:styleId="313">
    <w:name w:val="t1"/>
    <w:basedOn w:val="1"/>
    <w:qFormat/>
    <w:uiPriority w:val="0"/>
    <w:pPr>
      <w:numPr>
        <w:ilvl w:val="0"/>
        <w:numId w:val="9"/>
      </w:numPr>
      <w:tabs>
        <w:tab w:val="left" w:pos="284"/>
      </w:tabs>
      <w:spacing w:before="240"/>
      <w:jc w:val="both"/>
    </w:pPr>
    <w:rPr>
      <w:rFonts w:ascii="Arial" w:hAnsi="Arial"/>
      <w:b/>
      <w:szCs w:val="20"/>
    </w:rPr>
  </w:style>
  <w:style w:type="paragraph" w:customStyle="1" w:styleId="314">
    <w:name w:val="t2"/>
    <w:basedOn w:val="1"/>
    <w:qFormat/>
    <w:uiPriority w:val="0"/>
    <w:pPr>
      <w:numPr>
        <w:ilvl w:val="1"/>
        <w:numId w:val="9"/>
      </w:numPr>
      <w:spacing w:before="120"/>
      <w:jc w:val="both"/>
    </w:pPr>
    <w:rPr>
      <w:rFonts w:ascii="Arial" w:hAnsi="Arial"/>
      <w:b/>
      <w:szCs w:val="20"/>
    </w:rPr>
  </w:style>
  <w:style w:type="paragraph" w:customStyle="1" w:styleId="315">
    <w:name w:val="N21"/>
    <w:basedOn w:val="1"/>
    <w:qFormat/>
    <w:uiPriority w:val="0"/>
    <w:pPr>
      <w:spacing w:before="60"/>
      <w:ind w:left="2268" w:hanging="425"/>
      <w:jc w:val="both"/>
    </w:pPr>
    <w:rPr>
      <w:rFonts w:ascii="Arial" w:hAnsi="Arial"/>
      <w:snapToGrid w:val="0"/>
      <w:sz w:val="20"/>
      <w:szCs w:val="20"/>
    </w:rPr>
  </w:style>
  <w:style w:type="paragraph" w:customStyle="1" w:styleId="316">
    <w:name w:val="Corpo de texto1"/>
    <w:qFormat/>
    <w:uiPriority w:val="0"/>
    <w:rPr>
      <w:rFonts w:ascii="CG Times" w:hAnsi="CG Times" w:eastAsia="Times New Roman" w:cs="Times New Roman"/>
      <w:color w:val="000000"/>
      <w:sz w:val="24"/>
      <w:lang w:val="en-US" w:eastAsia="pt-BR" w:bidi="ar-SA"/>
    </w:rPr>
  </w:style>
  <w:style w:type="paragraph" w:customStyle="1" w:styleId="317">
    <w:name w:val="Texto em bloco1"/>
    <w:basedOn w:val="1"/>
    <w:qFormat/>
    <w:uiPriority w:val="0"/>
    <w:pPr>
      <w:tabs>
        <w:tab w:val="left" w:pos="1134"/>
      </w:tabs>
      <w:ind w:left="1843" w:right="2" w:hanging="709"/>
      <w:jc w:val="both"/>
    </w:pPr>
    <w:rPr>
      <w:sz w:val="22"/>
      <w:szCs w:val="20"/>
    </w:rPr>
  </w:style>
  <w:style w:type="paragraph" w:customStyle="1" w:styleId="318">
    <w:name w:val="Estilo7"/>
    <w:basedOn w:val="1"/>
    <w:qFormat/>
    <w:uiPriority w:val="0"/>
    <w:pPr>
      <w:ind w:left="1134"/>
      <w:jc w:val="both"/>
    </w:pPr>
    <w:rPr>
      <w:snapToGrid w:val="0"/>
      <w:szCs w:val="20"/>
    </w:rPr>
  </w:style>
  <w:style w:type="paragraph" w:customStyle="1" w:styleId="319">
    <w:name w:val="Contrato"/>
    <w:basedOn w:val="1"/>
    <w:qFormat/>
    <w:uiPriority w:val="0"/>
    <w:pPr>
      <w:tabs>
        <w:tab w:val="left" w:pos="360"/>
      </w:tabs>
      <w:spacing w:after="240"/>
      <w:jc w:val="both"/>
    </w:pPr>
    <w:rPr>
      <w:szCs w:val="20"/>
    </w:rPr>
  </w:style>
  <w:style w:type="paragraph" w:customStyle="1" w:styleId="320">
    <w:name w:val="tb1"/>
    <w:basedOn w:val="1"/>
    <w:qFormat/>
    <w:uiPriority w:val="99"/>
    <w:pPr>
      <w:numPr>
        <w:ilvl w:val="0"/>
        <w:numId w:val="10"/>
      </w:numPr>
      <w:tabs>
        <w:tab w:val="left" w:leader="dot" w:pos="3829"/>
      </w:tabs>
      <w:jc w:val="both"/>
    </w:pPr>
    <w:rPr>
      <w:rFonts w:ascii="Arial" w:hAnsi="Arial"/>
      <w:szCs w:val="20"/>
    </w:rPr>
  </w:style>
  <w:style w:type="paragraph" w:customStyle="1" w:styleId="321">
    <w:name w:val="tb0"/>
    <w:basedOn w:val="320"/>
    <w:qFormat/>
    <w:uiPriority w:val="99"/>
    <w:pPr>
      <w:tabs>
        <w:tab w:val="clear" w:pos="3829"/>
      </w:tabs>
    </w:pPr>
  </w:style>
  <w:style w:type="paragraph" w:customStyle="1" w:styleId="322">
    <w:name w:val="t2a"/>
    <w:basedOn w:val="1"/>
    <w:qFormat/>
    <w:uiPriority w:val="99"/>
    <w:pPr>
      <w:numPr>
        <w:ilvl w:val="0"/>
        <w:numId w:val="11"/>
      </w:numPr>
      <w:tabs>
        <w:tab w:val="right" w:leader="dot" w:pos="9639"/>
      </w:tabs>
      <w:jc w:val="both"/>
    </w:pPr>
    <w:rPr>
      <w:rFonts w:ascii="Arial" w:hAnsi="Arial"/>
      <w:szCs w:val="20"/>
    </w:rPr>
  </w:style>
  <w:style w:type="character" w:customStyle="1" w:styleId="323">
    <w:name w:val="WW-WW8Num3z0"/>
    <w:qFormat/>
    <w:uiPriority w:val="0"/>
    <w:rPr>
      <w:rFonts w:ascii="StarSymbol" w:hAnsi="StarSymbol"/>
      <w:sz w:val="18"/>
    </w:rPr>
  </w:style>
  <w:style w:type="paragraph" w:customStyle="1" w:styleId="324">
    <w:name w:val="WW-Texto simples"/>
    <w:basedOn w:val="1"/>
    <w:qFormat/>
    <w:uiPriority w:val="0"/>
    <w:pPr>
      <w:widowControl w:val="0"/>
      <w:suppressAutoHyphens/>
    </w:pPr>
    <w:rPr>
      <w:rFonts w:ascii="Courier New" w:hAnsi="Courier New"/>
      <w:color w:val="000000"/>
      <w:szCs w:val="20"/>
      <w:lang w:val="en-US"/>
    </w:rPr>
  </w:style>
  <w:style w:type="paragraph" w:customStyle="1" w:styleId="325">
    <w:name w:val="modelo"/>
    <w:basedOn w:val="42"/>
    <w:next w:val="42"/>
    <w:qFormat/>
    <w:uiPriority w:val="0"/>
    <w:pPr>
      <w:suppressAutoHyphens/>
      <w:jc w:val="both"/>
    </w:pPr>
    <w:rPr>
      <w:rFonts w:ascii="Arial" w:hAnsi="Arial" w:cs="Arial"/>
      <w:szCs w:val="24"/>
    </w:rPr>
  </w:style>
  <w:style w:type="character" w:customStyle="1" w:styleId="326">
    <w:name w:val="paginarotulo1"/>
    <w:qFormat/>
    <w:uiPriority w:val="0"/>
    <w:rPr>
      <w:rFonts w:hint="default" w:ascii="Verdana" w:hAnsi="Verdana"/>
      <w:color w:val="666666"/>
      <w:sz w:val="17"/>
      <w:szCs w:val="17"/>
    </w:rPr>
  </w:style>
  <w:style w:type="character" w:customStyle="1" w:styleId="327">
    <w:name w:val="gray_text"/>
    <w:qFormat/>
    <w:uiPriority w:val="0"/>
  </w:style>
  <w:style w:type="paragraph" w:customStyle="1" w:styleId="328">
    <w:name w:val="Corpo de texto 22"/>
    <w:basedOn w:val="1"/>
    <w:qFormat/>
    <w:uiPriority w:val="0"/>
    <w:pPr>
      <w:jc w:val="both"/>
    </w:pPr>
    <w:rPr>
      <w:szCs w:val="20"/>
      <w:lang w:eastAsia="ja-JP"/>
    </w:rPr>
  </w:style>
  <w:style w:type="character" w:customStyle="1" w:styleId="329">
    <w:name w:val="Book Title"/>
    <w:qFormat/>
    <w:uiPriority w:val="33"/>
    <w:rPr>
      <w:b/>
      <w:bCs/>
      <w:smallCaps/>
      <w:spacing w:val="5"/>
    </w:rPr>
  </w:style>
  <w:style w:type="paragraph" w:customStyle="1" w:styleId="330">
    <w:name w:val="Título1"/>
    <w:basedOn w:val="1"/>
    <w:next w:val="24"/>
    <w:qFormat/>
    <w:uiPriority w:val="0"/>
    <w:pPr>
      <w:keepNext/>
      <w:suppressAutoHyphens/>
      <w:spacing w:before="240" w:after="120"/>
    </w:pPr>
    <w:rPr>
      <w:rFonts w:eastAsia="HG Mincho Light J"/>
      <w:sz w:val="28"/>
      <w:szCs w:val="20"/>
    </w:rPr>
  </w:style>
  <w:style w:type="paragraph" w:customStyle="1" w:styleId="331">
    <w:name w:val="Estilo"/>
    <w:basedOn w:val="1"/>
    <w:next w:val="33"/>
    <w:qFormat/>
    <w:uiPriority w:val="99"/>
    <w:rPr>
      <w:rFonts w:ascii="Courier New" w:hAnsi="Courier New" w:cs="Courier New"/>
      <w:sz w:val="20"/>
      <w:szCs w:val="20"/>
    </w:rPr>
  </w:style>
  <w:style w:type="paragraph" w:customStyle="1" w:styleId="332">
    <w:name w:val="Texto simples"/>
    <w:basedOn w:val="1"/>
    <w:qFormat/>
    <w:uiPriority w:val="99"/>
    <w:rPr>
      <w:rFonts w:ascii="Courier New" w:hAnsi="Courier New" w:cs="Courier New"/>
      <w:sz w:val="20"/>
      <w:szCs w:val="20"/>
    </w:rPr>
  </w:style>
  <w:style w:type="character" w:customStyle="1" w:styleId="333">
    <w:name w:val="Texto de balão Char1"/>
    <w:basedOn w:val="11"/>
    <w:qFormat/>
    <w:uiPriority w:val="0"/>
    <w:rPr>
      <w:rFonts w:ascii="Tahoma" w:hAnsi="Tahoma" w:eastAsia="Times New Roman" w:cs="Tahoma"/>
      <w:sz w:val="16"/>
      <w:szCs w:val="16"/>
      <w:lang w:eastAsia="pt-BR"/>
    </w:rPr>
  </w:style>
  <w:style w:type="paragraph" w:customStyle="1" w:styleId="334">
    <w:name w:val="Capítulo"/>
    <w:basedOn w:val="1"/>
    <w:next w:val="24"/>
    <w:qFormat/>
    <w:uiPriority w:val="0"/>
    <w:pPr>
      <w:keepNext/>
      <w:suppressAutoHyphens/>
      <w:spacing w:before="240" w:after="120"/>
    </w:pPr>
    <w:rPr>
      <w:rFonts w:ascii="Arial" w:hAnsi="Arial" w:eastAsia="MS Mincho" w:cs="Tahoma"/>
      <w:sz w:val="28"/>
      <w:szCs w:val="28"/>
      <w:lang w:eastAsia="ar-SA"/>
    </w:rPr>
  </w:style>
  <w:style w:type="paragraph" w:customStyle="1" w:styleId="335">
    <w:name w:val="Legenda1"/>
    <w:basedOn w:val="1"/>
    <w:qFormat/>
    <w:uiPriority w:val="0"/>
    <w:pPr>
      <w:suppressLineNumbers/>
      <w:suppressAutoHyphens/>
      <w:spacing w:before="120" w:after="120"/>
    </w:pPr>
    <w:rPr>
      <w:rFonts w:cs="Tahoma"/>
      <w:i/>
      <w:iCs/>
      <w:lang w:eastAsia="ar-SA"/>
    </w:rPr>
  </w:style>
  <w:style w:type="paragraph" w:customStyle="1" w:styleId="336">
    <w:name w:val="Conteúdo da tabela"/>
    <w:basedOn w:val="1"/>
    <w:qFormat/>
    <w:uiPriority w:val="0"/>
    <w:pPr>
      <w:suppressLineNumbers/>
      <w:suppressAutoHyphens/>
    </w:pPr>
    <w:rPr>
      <w:sz w:val="20"/>
      <w:szCs w:val="20"/>
      <w:lang w:eastAsia="ar-SA"/>
    </w:rPr>
  </w:style>
  <w:style w:type="paragraph" w:customStyle="1" w:styleId="337">
    <w:name w:val="Título da tabela"/>
    <w:basedOn w:val="336"/>
    <w:qFormat/>
    <w:uiPriority w:val="0"/>
    <w:pPr>
      <w:jc w:val="center"/>
    </w:pPr>
    <w:rPr>
      <w:b/>
      <w:bCs/>
    </w:rPr>
  </w:style>
  <w:style w:type="paragraph" w:customStyle="1" w:styleId="338">
    <w:name w:val="Conteúdo do quadro"/>
    <w:basedOn w:val="24"/>
    <w:qFormat/>
    <w:uiPriority w:val="0"/>
    <w:pPr>
      <w:suppressAutoHyphens/>
      <w:spacing w:after="0"/>
      <w:jc w:val="both"/>
    </w:pPr>
    <w:rPr>
      <w:sz w:val="28"/>
      <w:lang w:eastAsia="ar-SA"/>
    </w:rPr>
  </w:style>
  <w:style w:type="paragraph" w:customStyle="1" w:styleId="339">
    <w:name w:val="western"/>
    <w:basedOn w:val="1"/>
    <w:qFormat/>
    <w:uiPriority w:val="0"/>
    <w:pPr>
      <w:spacing w:before="100" w:beforeAutospacing="1" w:after="119"/>
    </w:pPr>
  </w:style>
  <w:style w:type="character" w:customStyle="1" w:styleId="340">
    <w:name w:val="WW8Num5z0"/>
    <w:qFormat/>
    <w:uiPriority w:val="0"/>
    <w:rPr>
      <w:rFonts w:hint="default" w:ascii="Symbol" w:hAnsi="Symbol"/>
    </w:rPr>
  </w:style>
  <w:style w:type="character" w:customStyle="1" w:styleId="341">
    <w:name w:val="WW8Num5z1"/>
    <w:qFormat/>
    <w:uiPriority w:val="0"/>
    <w:rPr>
      <w:rFonts w:hint="default" w:ascii="Courier New" w:hAnsi="Courier New" w:cs="Courier New"/>
    </w:rPr>
  </w:style>
  <w:style w:type="character" w:customStyle="1" w:styleId="342">
    <w:name w:val="WW8Num5z2"/>
    <w:qFormat/>
    <w:uiPriority w:val="0"/>
    <w:rPr>
      <w:rFonts w:hint="default" w:ascii="Wingdings" w:hAnsi="Wingdings"/>
    </w:rPr>
  </w:style>
  <w:style w:type="character" w:customStyle="1" w:styleId="343">
    <w:name w:val="Fonte parág. padrão1"/>
    <w:qFormat/>
    <w:uiPriority w:val="0"/>
  </w:style>
  <w:style w:type="paragraph" w:customStyle="1" w:styleId="344">
    <w:name w:val="Corpo de texto 23"/>
    <w:basedOn w:val="1"/>
    <w:qFormat/>
    <w:uiPriority w:val="0"/>
    <w:pPr>
      <w:jc w:val="both"/>
    </w:pPr>
    <w:rPr>
      <w:szCs w:val="20"/>
      <w:lang w:eastAsia="ja-JP"/>
    </w:rPr>
  </w:style>
  <w:style w:type="character" w:customStyle="1" w:styleId="345">
    <w:name w:val="pp-headline-item"/>
    <w:qFormat/>
    <w:uiPriority w:val="0"/>
  </w:style>
  <w:style w:type="paragraph" w:customStyle="1" w:styleId="346">
    <w:name w:val="Parágrafo da Lista1"/>
    <w:qFormat/>
    <w:uiPriority w:val="0"/>
    <w:pPr>
      <w:spacing w:after="200" w:line="276" w:lineRule="auto"/>
      <w:ind w:left="720"/>
    </w:pPr>
    <w:rPr>
      <w:rFonts w:ascii="Lucida Grande" w:hAnsi="Lucida Grande" w:eastAsia="ヒラギノ角ゴ Pro W3" w:cs="Times New Roman"/>
      <w:color w:val="000000"/>
      <w:sz w:val="22"/>
      <w:lang w:val="pt-BR" w:eastAsia="pt-BR" w:bidi="ar-SA"/>
    </w:rPr>
  </w:style>
  <w:style w:type="paragraph" w:customStyle="1" w:styleId="347">
    <w:name w:val="02- Subtitulo"/>
    <w:basedOn w:val="1"/>
    <w:qFormat/>
    <w:uiPriority w:val="0"/>
    <w:pPr>
      <w:shd w:val="pct20" w:color="auto" w:fill="auto"/>
      <w:jc w:val="center"/>
    </w:pPr>
    <w:rPr>
      <w:szCs w:val="20"/>
    </w:rPr>
  </w:style>
  <w:style w:type="paragraph" w:customStyle="1" w:styleId="348">
    <w:name w:val="1.1 - Numeração 1"/>
    <w:basedOn w:val="1"/>
    <w:qFormat/>
    <w:uiPriority w:val="0"/>
    <w:pPr>
      <w:tabs>
        <w:tab w:val="left" w:pos="0"/>
      </w:tabs>
      <w:spacing w:before="100" w:beforeAutospacing="1" w:after="100" w:afterAutospacing="1"/>
      <w:jc w:val="both"/>
    </w:pPr>
    <w:rPr>
      <w:rFonts w:ascii="Arial" w:hAnsi="Arial" w:cs="Arial"/>
      <w:bCs/>
      <w:sz w:val="22"/>
      <w:szCs w:val="22"/>
      <w:shd w:val="clear" w:color="auto" w:fill="FFFFFF"/>
    </w:rPr>
  </w:style>
  <w:style w:type="paragraph" w:customStyle="1" w:styleId="349">
    <w:name w:val="1.1.1 - Numeração 2"/>
    <w:basedOn w:val="1"/>
    <w:qFormat/>
    <w:uiPriority w:val="99"/>
    <w:pPr>
      <w:spacing w:before="100" w:beforeAutospacing="1" w:after="100" w:afterAutospacing="1"/>
      <w:jc w:val="both"/>
    </w:pPr>
    <w:rPr>
      <w:rFonts w:ascii="Arial" w:hAnsi="Arial" w:cs="Arial"/>
      <w:b/>
      <w:bCs/>
      <w:iCs/>
      <w:sz w:val="22"/>
      <w:szCs w:val="22"/>
      <w:shd w:val="clear" w:color="auto" w:fill="FFFFFF"/>
    </w:rPr>
  </w:style>
  <w:style w:type="paragraph" w:customStyle="1" w:styleId="350">
    <w:name w:val="1.1.1.1 - Numeração 3"/>
    <w:basedOn w:val="1"/>
    <w:qFormat/>
    <w:uiPriority w:val="0"/>
    <w:pPr>
      <w:tabs>
        <w:tab w:val="left" w:pos="709"/>
        <w:tab w:val="left" w:pos="851"/>
      </w:tabs>
      <w:spacing w:before="160" w:after="160"/>
      <w:jc w:val="both"/>
    </w:pPr>
    <w:rPr>
      <w:rFonts w:ascii="Arial" w:hAnsi="Arial" w:cs="Arial"/>
      <w:b/>
      <w:sz w:val="22"/>
      <w:szCs w:val="22"/>
    </w:rPr>
  </w:style>
  <w:style w:type="paragraph" w:customStyle="1" w:styleId="351">
    <w:name w:val="TOC Heading"/>
    <w:basedOn w:val="2"/>
    <w:next w:val="1"/>
    <w:semiHidden/>
    <w:unhideWhenUsed/>
    <w:qFormat/>
    <w:uiPriority w:val="39"/>
    <w:pPr>
      <w:keepLines/>
      <w:spacing w:before="480" w:line="276" w:lineRule="auto"/>
      <w:jc w:val="left"/>
      <w:outlineLvl w:val="9"/>
    </w:pPr>
    <w:rPr>
      <w:rFonts w:ascii="Cambria" w:hAnsi="Cambria"/>
      <w:color w:val="365F91"/>
      <w:sz w:val="28"/>
      <w:szCs w:val="28"/>
    </w:rPr>
  </w:style>
  <w:style w:type="character" w:customStyle="1" w:styleId="352">
    <w:name w:val="Assunto do comentário Char"/>
    <w:basedOn w:val="148"/>
    <w:link w:val="43"/>
    <w:qFormat/>
    <w:uiPriority w:val="0"/>
    <w:rPr>
      <w:rFonts w:ascii="Arial" w:hAnsi="Arial"/>
      <w:b/>
      <w:bCs/>
      <w:spacing w:val="20"/>
    </w:rPr>
  </w:style>
  <w:style w:type="character" w:customStyle="1" w:styleId="353">
    <w:name w:val="tex31"/>
    <w:basedOn w:val="11"/>
    <w:qFormat/>
    <w:uiPriority w:val="99"/>
    <w:rPr>
      <w:rFonts w:ascii="Verdana" w:hAnsi="Verdana" w:cs="Verdana"/>
      <w:color w:val="000000"/>
      <w:sz w:val="17"/>
      <w:szCs w:val="17"/>
    </w:rPr>
  </w:style>
  <w:style w:type="paragraph" w:customStyle="1" w:styleId="354">
    <w:name w:val="xl64"/>
    <w:basedOn w:val="1"/>
    <w:qFormat/>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style>
  <w:style w:type="character" w:customStyle="1" w:styleId="355">
    <w:name w:val="codigo-postais2-title"/>
    <w:basedOn w:val="11"/>
    <w:qFormat/>
    <w:uiPriority w:val="0"/>
  </w:style>
  <w:style w:type="paragraph" w:customStyle="1" w:styleId="356">
    <w:name w:val="1.1.1.1 - Título 3"/>
    <w:basedOn w:val="1"/>
    <w:qFormat/>
    <w:uiPriority w:val="0"/>
    <w:pPr>
      <w:spacing w:before="120" w:after="120"/>
      <w:jc w:val="both"/>
    </w:pPr>
    <w:rPr>
      <w:szCs w:val="20"/>
    </w:rPr>
  </w:style>
  <w:style w:type="paragraph" w:customStyle="1" w:styleId="357">
    <w:name w:val="Sem Espaçamento1"/>
    <w:qFormat/>
    <w:uiPriority w:val="0"/>
    <w:pPr>
      <w:suppressAutoHyphens/>
    </w:pPr>
    <w:rPr>
      <w:rFonts w:ascii="Times New Roman" w:hAnsi="Times New Roman" w:eastAsia="Arial" w:cs="Times New Roman"/>
      <w:sz w:val="24"/>
      <w:szCs w:val="24"/>
      <w:lang w:val="pt-BR" w:eastAsia="ar-SA" w:bidi="ar-SA"/>
    </w:rPr>
  </w:style>
  <w:style w:type="paragraph" w:customStyle="1" w:styleId="358">
    <w:name w:val="Corpo de texto 24"/>
    <w:basedOn w:val="1"/>
    <w:qFormat/>
    <w:uiPriority w:val="0"/>
    <w:pPr>
      <w:ind w:right="-567"/>
      <w:jc w:val="both"/>
    </w:pPr>
    <w:rPr>
      <w:b/>
      <w:szCs w:val="20"/>
    </w:rPr>
  </w:style>
  <w:style w:type="paragraph" w:customStyle="1" w:styleId="359">
    <w:name w:val="Normal + Preto"/>
    <w:basedOn w:val="1"/>
    <w:qFormat/>
    <w:uiPriority w:val="99"/>
    <w:pPr>
      <w:suppressAutoHyphens/>
      <w:ind w:firstLine="426"/>
      <w:jc w:val="both"/>
    </w:pPr>
    <w:rPr>
      <w:color w:val="000000"/>
      <w:lang w:eastAsia="ar-SA"/>
    </w:rPr>
  </w:style>
  <w:style w:type="character" w:customStyle="1" w:styleId="360">
    <w:name w:val="WW8Num11z1"/>
    <w:qFormat/>
    <w:uiPriority w:val="99"/>
    <w:rPr>
      <w:rFonts w:hint="default" w:ascii="Courier New" w:hAnsi="Courier New" w:cs="Courier New"/>
    </w:rPr>
  </w:style>
  <w:style w:type="paragraph" w:customStyle="1" w:styleId="361">
    <w:name w:val="font9"/>
    <w:basedOn w:val="1"/>
    <w:qFormat/>
    <w:uiPriority w:val="0"/>
    <w:pPr>
      <w:spacing w:before="100" w:beforeAutospacing="1" w:after="100" w:afterAutospacing="1"/>
    </w:pPr>
    <w:rPr>
      <w:rFonts w:ascii="Arial" w:hAnsi="Arial" w:cs="Arial"/>
      <w:b/>
      <w:bCs/>
      <w:sz w:val="16"/>
      <w:szCs w:val="16"/>
    </w:rPr>
  </w:style>
  <w:style w:type="paragraph" w:customStyle="1" w:styleId="362">
    <w:name w:val="padrao"/>
    <w:basedOn w:val="1"/>
    <w:qFormat/>
    <w:uiPriority w:val="0"/>
    <w:pPr>
      <w:spacing w:after="200" w:line="276" w:lineRule="auto"/>
      <w:ind w:firstLine="709"/>
    </w:pPr>
    <w:rPr>
      <w:rFonts w:ascii="Arial Narrow" w:hAnsi="Arial Narrow"/>
      <w:sz w:val="22"/>
      <w:szCs w:val="20"/>
    </w:rPr>
  </w:style>
  <w:style w:type="paragraph" w:customStyle="1" w:styleId="363">
    <w:name w:val="Cibele estilo 1"/>
    <w:basedOn w:val="1"/>
    <w:link w:val="364"/>
    <w:qFormat/>
    <w:uiPriority w:val="0"/>
    <w:pPr>
      <w:numPr>
        <w:ilvl w:val="0"/>
        <w:numId w:val="12"/>
      </w:numPr>
      <w:tabs>
        <w:tab w:val="left" w:pos="284"/>
      </w:tabs>
      <w:suppressAutoHyphens/>
      <w:autoSpaceDE w:val="0"/>
      <w:autoSpaceDN w:val="0"/>
      <w:adjustRightInd w:val="0"/>
      <w:jc w:val="both"/>
    </w:pPr>
    <w:rPr>
      <w:rFonts w:ascii="Arial" w:hAnsi="Arial" w:cs="Arial"/>
      <w:szCs w:val="20"/>
    </w:rPr>
  </w:style>
  <w:style w:type="character" w:customStyle="1" w:styleId="364">
    <w:name w:val="Cibele estilo 1 Char"/>
    <w:basedOn w:val="11"/>
    <w:link w:val="363"/>
    <w:qFormat/>
    <w:uiPriority w:val="0"/>
    <w:rPr>
      <w:rFonts w:ascii="Arial" w:hAnsi="Arial" w:cs="Arial"/>
      <w:sz w:val="24"/>
    </w:rPr>
  </w:style>
  <w:style w:type="character" w:customStyle="1" w:styleId="365">
    <w:name w:val="Estilo1 Char"/>
    <w:basedOn w:val="11"/>
    <w:link w:val="199"/>
    <w:qFormat/>
    <w:uiPriority w:val="0"/>
    <w:rPr>
      <w:sz w:val="24"/>
    </w:rPr>
  </w:style>
  <w:style w:type="paragraph" w:customStyle="1" w:styleId="366">
    <w:name w:val="Incisos"/>
    <w:basedOn w:val="1"/>
    <w:qFormat/>
    <w:uiPriority w:val="0"/>
    <w:pPr>
      <w:numPr>
        <w:ilvl w:val="0"/>
        <w:numId w:val="13"/>
      </w:numPr>
      <w:spacing w:before="120" w:after="120" w:line="276" w:lineRule="auto"/>
      <w:jc w:val="both"/>
    </w:pPr>
    <w:rPr>
      <w:rFonts w:eastAsiaTheme="minorHAnsi" w:cstheme="minorBidi"/>
      <w:sz w:val="26"/>
      <w:szCs w:val="22"/>
      <w:lang w:eastAsia="en-US"/>
    </w:rPr>
  </w:style>
  <w:style w:type="character" w:customStyle="1" w:styleId="367">
    <w:name w:val="Parágrafo da Lista Char"/>
    <w:link w:val="86"/>
    <w:qFormat/>
    <w:uiPriority w:val="34"/>
    <w:rPr>
      <w:sz w:val="24"/>
      <w:szCs w:val="24"/>
    </w:rPr>
  </w:style>
  <w:style w:type="paragraph" w:customStyle="1" w:styleId="368">
    <w:name w:val="Item"/>
    <w:basedOn w:val="2"/>
    <w:qFormat/>
    <w:uiPriority w:val="0"/>
    <w:pPr>
      <w:keepNext w:val="0"/>
      <w:widowControl w:val="0"/>
      <w:numPr>
        <w:ilvl w:val="1"/>
        <w:numId w:val="14"/>
      </w:numPr>
      <w:spacing w:line="360" w:lineRule="auto"/>
      <w:contextualSpacing/>
      <w:jc w:val="both"/>
    </w:pPr>
    <w:rPr>
      <w:rFonts w:eastAsia="Arial" w:cs="Arial"/>
      <w:b w:val="0"/>
      <w:spacing w:val="2"/>
      <w:lang w:eastAsia="en-US"/>
    </w:rPr>
  </w:style>
  <w:style w:type="paragraph" w:customStyle="1" w:styleId="369">
    <w:name w:val="Subitem"/>
    <w:basedOn w:val="86"/>
    <w:qFormat/>
    <w:uiPriority w:val="0"/>
    <w:pPr>
      <w:widowControl w:val="0"/>
      <w:numPr>
        <w:ilvl w:val="2"/>
        <w:numId w:val="14"/>
      </w:numPr>
      <w:spacing w:line="360" w:lineRule="auto"/>
      <w:contextualSpacing/>
      <w:jc w:val="both"/>
    </w:pPr>
    <w:rPr>
      <w:rFonts w:ascii="Arial" w:hAnsi="Arial" w:eastAsia="Arial" w:cs="Arial"/>
      <w:lang w:val="en-US" w:eastAsia="en-US"/>
    </w:rPr>
  </w:style>
  <w:style w:type="paragraph" w:customStyle="1" w:styleId="370">
    <w:name w:val="m_3712312254174757301gmail-11-numerao1"/>
    <w:basedOn w:val="1"/>
    <w:qFormat/>
    <w:uiPriority w:val="0"/>
    <w:pPr>
      <w:spacing w:before="100" w:beforeAutospacing="1" w:after="100" w:afterAutospacing="1"/>
    </w:pPr>
  </w:style>
  <w:style w:type="table" w:customStyle="1" w:styleId="371">
    <w:name w:val="Table Normal1"/>
    <w:semiHidden/>
    <w:unhideWhenUsed/>
    <w:qFormat/>
    <w:uiPriority w:val="2"/>
    <w:pPr>
      <w:widowControl w:val="0"/>
    </w:pPr>
    <w:rPr>
      <w:rFonts w:asciiTheme="minorHAnsi" w:hAnsiTheme="minorHAnsi" w:eastAsiaTheme="minorHAnsi" w:cstheme="minorBidi"/>
      <w:sz w:val="22"/>
      <w:szCs w:val="22"/>
      <w:lang w:val="en-US" w:eastAsia="en-US"/>
    </w:rPr>
    <w:tblPr>
      <w:tblCellMar>
        <w:top w:w="0" w:type="dxa"/>
        <w:left w:w="0" w:type="dxa"/>
        <w:bottom w:w="0" w:type="dxa"/>
        <w:right w:w="0" w:type="dxa"/>
      </w:tblCellMar>
    </w:tblPr>
  </w:style>
  <w:style w:type="paragraph" w:customStyle="1" w:styleId="372">
    <w:name w:val="Table Paragraph"/>
    <w:basedOn w:val="1"/>
    <w:qFormat/>
    <w:uiPriority w:val="1"/>
    <w:pPr>
      <w:widowControl w:val="0"/>
    </w:pPr>
    <w:rPr>
      <w:rFonts w:asciiTheme="minorHAnsi" w:hAnsiTheme="minorHAnsi" w:eastAsiaTheme="minorHAnsi" w:cstheme="minorBidi"/>
      <w:sz w:val="22"/>
      <w:szCs w:val="22"/>
      <w:lang w:val="en-US" w:eastAsia="en-US"/>
    </w:rPr>
  </w:style>
  <w:style w:type="paragraph" w:customStyle="1" w:styleId="373">
    <w:name w:val="Nivel 2"/>
    <w:link w:val="380"/>
    <w:qFormat/>
    <w:uiPriority w:val="0"/>
    <w:pPr>
      <w:numPr>
        <w:ilvl w:val="1"/>
        <w:numId w:val="15"/>
      </w:numPr>
      <w:spacing w:before="120" w:after="120" w:line="276" w:lineRule="auto"/>
      <w:jc w:val="both"/>
    </w:pPr>
    <w:rPr>
      <w:rFonts w:ascii="Ecofont_Spranq_eco_Sans" w:hAnsi="Ecofont_Spranq_eco_Sans" w:eastAsia="Arial Unicode MS" w:cs="Times New Roman"/>
      <w:lang w:val="pt-BR" w:eastAsia="pt-BR" w:bidi="ar-SA"/>
    </w:rPr>
  </w:style>
  <w:style w:type="paragraph" w:customStyle="1" w:styleId="374">
    <w:name w:val="Nivel 1"/>
    <w:basedOn w:val="373"/>
    <w:next w:val="373"/>
    <w:link w:val="379"/>
    <w:qFormat/>
    <w:uiPriority w:val="0"/>
    <w:pPr>
      <w:numPr>
        <w:ilvl w:val="0"/>
      </w:numPr>
    </w:pPr>
    <w:rPr>
      <w:b/>
    </w:rPr>
  </w:style>
  <w:style w:type="paragraph" w:customStyle="1" w:styleId="375">
    <w:name w:val="Nivel 3"/>
    <w:basedOn w:val="373"/>
    <w:link w:val="383"/>
    <w:qFormat/>
    <w:uiPriority w:val="0"/>
    <w:pPr>
      <w:numPr>
        <w:ilvl w:val="2"/>
      </w:numPr>
    </w:pPr>
    <w:rPr>
      <w:color w:val="000000"/>
    </w:rPr>
  </w:style>
  <w:style w:type="paragraph" w:customStyle="1" w:styleId="376">
    <w:name w:val="Nivel 4"/>
    <w:basedOn w:val="375"/>
    <w:link w:val="378"/>
    <w:qFormat/>
    <w:uiPriority w:val="0"/>
    <w:pPr>
      <w:numPr>
        <w:ilvl w:val="3"/>
      </w:numPr>
      <w:ind w:left="1728"/>
    </w:pPr>
    <w:rPr>
      <w:color w:val="auto"/>
    </w:rPr>
  </w:style>
  <w:style w:type="paragraph" w:customStyle="1" w:styleId="377">
    <w:name w:val="Nivel 5"/>
    <w:basedOn w:val="376"/>
    <w:link w:val="382"/>
    <w:qFormat/>
    <w:uiPriority w:val="0"/>
    <w:pPr>
      <w:numPr>
        <w:ilvl w:val="4"/>
      </w:numPr>
      <w:tabs>
        <w:tab w:val="left" w:pos="926"/>
      </w:tabs>
      <w:ind w:left="926" w:hanging="360"/>
    </w:pPr>
  </w:style>
  <w:style w:type="character" w:customStyle="1" w:styleId="378">
    <w:name w:val="Nivel 4 Char"/>
    <w:link w:val="376"/>
    <w:qFormat/>
    <w:locked/>
    <w:uiPriority w:val="0"/>
    <w:rPr>
      <w:rFonts w:ascii="Ecofont_Spranq_eco_Sans" w:hAnsi="Ecofont_Spranq_eco_Sans" w:eastAsia="Arial Unicode MS"/>
    </w:rPr>
  </w:style>
  <w:style w:type="character" w:customStyle="1" w:styleId="379">
    <w:name w:val="Nivel 1 Char"/>
    <w:link w:val="374"/>
    <w:qFormat/>
    <w:locked/>
    <w:uiPriority w:val="0"/>
    <w:rPr>
      <w:rFonts w:ascii="Ecofont_Spranq_eco_Sans" w:hAnsi="Ecofont_Spranq_eco_Sans" w:eastAsia="Arial Unicode MS"/>
      <w:b/>
    </w:rPr>
  </w:style>
  <w:style w:type="character" w:customStyle="1" w:styleId="380">
    <w:name w:val="Nivel 2 Char"/>
    <w:link w:val="373"/>
    <w:qFormat/>
    <w:locked/>
    <w:uiPriority w:val="0"/>
    <w:rPr>
      <w:rFonts w:ascii="Ecofont_Spranq_eco_Sans" w:hAnsi="Ecofont_Spranq_eco_Sans" w:eastAsia="Arial Unicode MS"/>
    </w:rPr>
  </w:style>
  <w:style w:type="character" w:customStyle="1" w:styleId="381">
    <w:name w:val="Manoel"/>
    <w:qFormat/>
    <w:uiPriority w:val="0"/>
    <w:rPr>
      <w:rFonts w:ascii="Arial" w:hAnsi="Arial"/>
      <w:color w:val="7030A0"/>
      <w:sz w:val="20"/>
    </w:rPr>
  </w:style>
  <w:style w:type="character" w:customStyle="1" w:styleId="382">
    <w:name w:val="Nivel 5 Char"/>
    <w:link w:val="377"/>
    <w:qFormat/>
    <w:locked/>
    <w:uiPriority w:val="0"/>
    <w:rPr>
      <w:rFonts w:ascii="Ecofont_Spranq_eco_Sans" w:hAnsi="Ecofont_Spranq_eco_Sans" w:eastAsia="Arial Unicode MS"/>
    </w:rPr>
  </w:style>
  <w:style w:type="character" w:customStyle="1" w:styleId="383">
    <w:name w:val="Nivel 3 Char"/>
    <w:link w:val="375"/>
    <w:qFormat/>
    <w:locked/>
    <w:uiPriority w:val="0"/>
    <w:rPr>
      <w:rFonts w:ascii="Ecofont_Spranq_eco_Sans" w:hAnsi="Ecofont_Spranq_eco_Sans" w:eastAsia="Arial Unicode MS"/>
      <w:color w:val="000000"/>
    </w:rPr>
  </w:style>
  <w:style w:type="paragraph" w:customStyle="1" w:styleId="384">
    <w:name w:val="Estilo Título 9 + Bookman Old Style"/>
    <w:basedOn w:val="10"/>
    <w:qFormat/>
    <w:uiPriority w:val="0"/>
    <w:pPr>
      <w:widowControl/>
      <w:ind w:left="0" w:firstLine="0"/>
      <w:jc w:val="center"/>
    </w:pPr>
    <w:rPr>
      <w:rFonts w:ascii="Bookman Old Style" w:hAnsi="Bookman Old Style"/>
      <w:b/>
      <w:bCs/>
      <w:snapToGrid/>
      <w:sz w:val="92"/>
      <w:lang w:val="pt-PT"/>
    </w:rPr>
  </w:style>
  <w:style w:type="character" w:customStyle="1" w:styleId="385">
    <w:name w:val="manoel1"/>
    <w:basedOn w:val="11"/>
    <w:qFormat/>
    <w:uiPriority w:val="0"/>
    <w:rPr>
      <w:rFonts w:hint="default" w:ascii="Arial" w:hAnsi="Arial" w:cs="Arial"/>
      <w:color w:val="7030A0"/>
    </w:rPr>
  </w:style>
  <w:style w:type="character" w:customStyle="1" w:styleId="386">
    <w:name w:val="Normal (Web) Char"/>
    <w:link w:val="32"/>
    <w:qFormat/>
    <w:uiPriority w:val="99"/>
    <w:rPr>
      <w:rFonts w:ascii="Times New Roman" w:hAnsi="Times New Roman" w:eastAsia="SimSun" w:cs="Times New Roman"/>
      <w:lang w:val="en-US" w:eastAsia="en-US"/>
    </w:rPr>
  </w:style>
  <w:style w:type="character" w:customStyle="1" w:styleId="387">
    <w:name w:val="Texto sem Formatação Char1"/>
    <w:basedOn w:val="11"/>
    <w:link w:val="33"/>
    <w:qFormat/>
    <w:uiPriority w:val="99"/>
    <w:rPr>
      <w:rFonts w:ascii="Consolas" w:hAnsi="Consolas" w:eastAsia="Times New Roman" w:cs="Consolas"/>
      <w:sz w:val="21"/>
      <w:szCs w:val="21"/>
      <w:lang w:val="en-US" w:eastAsia="en-US" w:bidi="en-US"/>
    </w:rPr>
  </w:style>
  <w:style w:type="character" w:customStyle="1" w:styleId="388">
    <w:name w:val="fornecimg1"/>
    <w:qFormat/>
    <w:uiPriority w:val="0"/>
    <w:rPr>
      <w:rFonts w:ascii="Times New Roman" w:hAnsi="Times New Roman" w:eastAsia="SimSun" w:cs="Times New Roman"/>
      <w:bdr w:val="single" w:color="007784" w:sz="12" w:space="0"/>
    </w:rPr>
  </w:style>
  <w:style w:type="character" w:customStyle="1" w:styleId="389">
    <w:name w:val="texttahoma11cinza1"/>
    <w:qFormat/>
    <w:uiPriority w:val="0"/>
    <w:rPr>
      <w:rFonts w:ascii="Tahoma" w:hAnsi="Tahoma" w:eastAsia="SimSun" w:cs="Tahoma"/>
      <w:color w:val="333333"/>
      <w:sz w:val="17"/>
      <w:szCs w:val="17"/>
    </w:rPr>
  </w:style>
  <w:style w:type="character" w:customStyle="1" w:styleId="390">
    <w:name w:val="barra_separacao social-sep"/>
    <w:basedOn w:val="11"/>
    <w:qFormat/>
    <w:uiPriority w:val="0"/>
    <w:rPr>
      <w:rFonts w:ascii="Times New Roman" w:hAnsi="Times New Roman" w:eastAsia="SimSun" w:cs="Times New Roman"/>
    </w:rPr>
  </w:style>
  <w:style w:type="character" w:customStyle="1" w:styleId="391">
    <w:name w:val="f51f35c97"/>
    <w:basedOn w:val="11"/>
    <w:qFormat/>
    <w:uiPriority w:val="0"/>
    <w:rPr>
      <w:rFonts w:ascii="Times New Roman" w:hAnsi="Times New Roman" w:eastAsia="SimSun" w:cs="Times New Roman"/>
    </w:rPr>
  </w:style>
  <w:style w:type="character" w:customStyle="1" w:styleId="392">
    <w:name w:val="lnkextra"/>
    <w:basedOn w:val="11"/>
    <w:qFormat/>
    <w:uiPriority w:val="0"/>
    <w:rPr>
      <w:rFonts w:ascii="Times New Roman" w:hAnsi="Times New Roman" w:eastAsia="SimSun" w:cs="Times New Roman"/>
    </w:rPr>
  </w:style>
  <w:style w:type="character" w:customStyle="1" w:styleId="393">
    <w:name w:val="num"/>
    <w:basedOn w:val="11"/>
    <w:qFormat/>
    <w:uiPriority w:val="0"/>
    <w:rPr>
      <w:rFonts w:ascii="Times New Roman" w:hAnsi="Times New Roman" w:eastAsia="SimSun" w:cs="Times New Roman"/>
    </w:rPr>
  </w:style>
  <w:style w:type="character" w:customStyle="1" w:styleId="394">
    <w:name w:val="font101"/>
    <w:qFormat/>
    <w:uiPriority w:val="0"/>
    <w:rPr>
      <w:rFonts w:hint="default" w:ascii="Times New Roman" w:hAnsi="Times New Roman" w:eastAsia="SimSun" w:cs="Times New Roman"/>
      <w:b/>
      <w:color w:val="0033CC"/>
      <w:u w:val="none"/>
    </w:rPr>
  </w:style>
  <w:style w:type="character" w:customStyle="1" w:styleId="395">
    <w:name w:val="Recuo de corpo de texto 2 Char1"/>
    <w:basedOn w:val="11"/>
    <w:semiHidden/>
    <w:qFormat/>
    <w:uiPriority w:val="99"/>
    <w:rPr>
      <w:rFonts w:ascii="Calibri" w:hAnsi="Calibri" w:eastAsia="SimSun" w:cs="Times New Roman"/>
      <w:sz w:val="20"/>
      <w:szCs w:val="20"/>
      <w:lang w:eastAsia="pt-BR"/>
    </w:rPr>
  </w:style>
  <w:style w:type="character" w:customStyle="1" w:styleId="396">
    <w:name w:val="Body Text Char"/>
    <w:qFormat/>
    <w:uiPriority w:val="99"/>
    <w:rPr>
      <w:rFonts w:ascii="Times New Roman" w:hAnsi="Times New Roman" w:eastAsia="SimSun" w:cs="Times New Roman"/>
      <w:sz w:val="28"/>
    </w:rPr>
  </w:style>
  <w:style w:type="character" w:customStyle="1" w:styleId="397">
    <w:name w:val="num2"/>
    <w:qFormat/>
    <w:uiPriority w:val="0"/>
    <w:rPr>
      <w:rFonts w:ascii="Times New Roman" w:hAnsi="Times New Roman" w:eastAsia="SimSun" w:cs="Times New Roman"/>
      <w:color w:val="004851"/>
      <w:sz w:val="17"/>
      <w:szCs w:val="17"/>
      <w:shd w:val="clear" w:color="auto" w:fill="ABDA30"/>
    </w:rPr>
  </w:style>
  <w:style w:type="character" w:customStyle="1" w:styleId="398">
    <w:name w:val="n33544i5"/>
    <w:qFormat/>
    <w:uiPriority w:val="0"/>
    <w:rPr>
      <w:rFonts w:ascii="Times New Roman" w:hAnsi="Times New Roman" w:eastAsia="SimSun" w:cs="Times New Roman"/>
    </w:rPr>
  </w:style>
  <w:style w:type="character" w:customStyle="1" w:styleId="399">
    <w:name w:val="Subtle Emphasis"/>
    <w:qFormat/>
    <w:uiPriority w:val="19"/>
    <w:rPr>
      <w:rFonts w:ascii="Calibri" w:hAnsi="Calibri" w:eastAsia="Times New Roman" w:cs="Times New Roman"/>
      <w:i/>
      <w:iCs/>
      <w:color w:val="808080"/>
    </w:rPr>
  </w:style>
  <w:style w:type="character" w:customStyle="1" w:styleId="400">
    <w:name w:val="Font Style13"/>
    <w:basedOn w:val="11"/>
    <w:qFormat/>
    <w:uiPriority w:val="99"/>
    <w:rPr>
      <w:rFonts w:ascii="Arial" w:hAnsi="Arial" w:eastAsia="SimSun" w:cs="Arial"/>
      <w:i/>
      <w:iCs/>
      <w:color w:val="000000"/>
      <w:sz w:val="20"/>
      <w:szCs w:val="20"/>
    </w:rPr>
  </w:style>
  <w:style w:type="character" w:customStyle="1" w:styleId="401">
    <w:name w:val="ivh2bu6cfj9e"/>
    <w:qFormat/>
    <w:uiPriority w:val="0"/>
    <w:rPr>
      <w:rFonts w:ascii="Times New Roman" w:hAnsi="Times New Roman" w:eastAsia="SimSun" w:cs="Times New Roman"/>
    </w:rPr>
  </w:style>
  <w:style w:type="character" w:customStyle="1" w:styleId="402">
    <w:name w:val="msg"/>
    <w:basedOn w:val="11"/>
    <w:qFormat/>
    <w:uiPriority w:val="0"/>
    <w:rPr>
      <w:rFonts w:ascii="Times New Roman" w:hAnsi="Times New Roman" w:eastAsia="SimSun" w:cs="Times New Roman"/>
    </w:rPr>
  </w:style>
  <w:style w:type="character" w:customStyle="1" w:styleId="403">
    <w:name w:val="Font Style15"/>
    <w:basedOn w:val="11"/>
    <w:qFormat/>
    <w:uiPriority w:val="99"/>
    <w:rPr>
      <w:rFonts w:ascii="Arial" w:hAnsi="Arial" w:eastAsia="SimSun" w:cs="Arial"/>
      <w:b/>
      <w:bCs/>
      <w:color w:val="000000"/>
      <w:sz w:val="20"/>
      <w:szCs w:val="20"/>
    </w:rPr>
  </w:style>
  <w:style w:type="character" w:customStyle="1" w:styleId="404">
    <w:name w:val="v702n823zxz"/>
    <w:basedOn w:val="11"/>
    <w:qFormat/>
    <w:uiPriority w:val="0"/>
    <w:rPr>
      <w:rFonts w:ascii="Times New Roman" w:hAnsi="Times New Roman" w:eastAsia="SimSun" w:cs="Times New Roman"/>
    </w:rPr>
  </w:style>
  <w:style w:type="character" w:customStyle="1" w:styleId="405">
    <w:name w:val="Texto de comentário Char1"/>
    <w:basedOn w:val="11"/>
    <w:semiHidden/>
    <w:qFormat/>
    <w:uiPriority w:val="99"/>
    <w:rPr>
      <w:rFonts w:ascii="Calibri" w:hAnsi="Calibri" w:eastAsia="SimSun" w:cs="Times New Roman"/>
      <w:sz w:val="20"/>
      <w:szCs w:val="20"/>
      <w:lang w:eastAsia="pt-BR"/>
    </w:rPr>
  </w:style>
  <w:style w:type="character" w:customStyle="1" w:styleId="406">
    <w:name w:val="a837bt35l"/>
    <w:qFormat/>
    <w:uiPriority w:val="0"/>
    <w:rPr>
      <w:rFonts w:ascii="Times New Roman" w:hAnsi="Times New Roman" w:eastAsia="SimSun" w:cs="Times New Roman"/>
    </w:rPr>
  </w:style>
  <w:style w:type="character" w:customStyle="1" w:styleId="407">
    <w:name w:val="font51"/>
    <w:qFormat/>
    <w:uiPriority w:val="0"/>
    <w:rPr>
      <w:rFonts w:hint="default" w:ascii="Times New Roman" w:hAnsi="Times New Roman" w:eastAsia="SimSun" w:cs="Times New Roman"/>
      <w:b/>
      <w:color w:val="000000"/>
      <w:u w:val="none"/>
    </w:rPr>
  </w:style>
  <w:style w:type="character" w:customStyle="1" w:styleId="408">
    <w:name w:val="Char Char11"/>
    <w:qFormat/>
    <w:uiPriority w:val="0"/>
    <w:rPr>
      <w:rFonts w:ascii="Times New Roman" w:hAnsi="Times New Roman" w:eastAsia="Times New Roman" w:cs="Times New Roman"/>
      <w:b/>
      <w:sz w:val="20"/>
      <w:szCs w:val="20"/>
      <w:lang w:eastAsia="pt-BR"/>
    </w:rPr>
  </w:style>
  <w:style w:type="character" w:customStyle="1" w:styleId="409">
    <w:name w:val="ox16lv28"/>
    <w:qFormat/>
    <w:uiPriority w:val="0"/>
    <w:rPr>
      <w:rFonts w:ascii="Times New Roman" w:hAnsi="Times New Roman" w:eastAsia="SimSun" w:cs="Times New Roman"/>
    </w:rPr>
  </w:style>
  <w:style w:type="character" w:customStyle="1" w:styleId="410">
    <w:name w:val="Título Char1"/>
    <w:qFormat/>
    <w:uiPriority w:val="0"/>
    <w:rPr>
      <w:rFonts w:ascii="Cambria" w:hAnsi="Cambria" w:eastAsia="SimSun" w:cs="Times New Roman"/>
      <w:b/>
      <w:kern w:val="28"/>
      <w:sz w:val="32"/>
    </w:rPr>
  </w:style>
  <w:style w:type="character" w:customStyle="1" w:styleId="411">
    <w:name w:val="Citação Intensa Char"/>
    <w:basedOn w:val="11"/>
    <w:link w:val="412"/>
    <w:qFormat/>
    <w:uiPriority w:val="30"/>
    <w:rPr>
      <w:rFonts w:ascii="Calibri" w:hAnsi="Calibri" w:eastAsia="SimSun" w:cs="Times New Roman"/>
      <w:b/>
      <w:bCs/>
      <w:i/>
      <w:iCs/>
      <w:color w:val="4F81BD"/>
      <w:sz w:val="22"/>
      <w:szCs w:val="22"/>
      <w:lang w:val="en-US" w:eastAsia="en-US"/>
    </w:rPr>
  </w:style>
  <w:style w:type="paragraph" w:styleId="412">
    <w:name w:val="Intense Quote"/>
    <w:basedOn w:val="1"/>
    <w:next w:val="1"/>
    <w:link w:val="411"/>
    <w:semiHidden/>
    <w:unhideWhenUsed/>
    <w:qFormat/>
    <w:uiPriority w:val="99"/>
    <w:pPr>
      <w:pBdr>
        <w:bottom w:val="single" w:color="4F81BD" w:sz="4" w:space="4"/>
      </w:pBdr>
      <w:spacing w:before="200" w:after="280" w:line="276" w:lineRule="auto"/>
      <w:ind w:left="936" w:right="936"/>
    </w:pPr>
    <w:rPr>
      <w:rFonts w:ascii="Calibri" w:hAnsi="Calibri" w:eastAsia="SimSun"/>
      <w:b/>
      <w:bCs/>
      <w:i/>
      <w:iCs/>
      <w:color w:val="4F81BD"/>
      <w:sz w:val="22"/>
      <w:szCs w:val="22"/>
      <w:lang w:val="en-US" w:eastAsia="en-US"/>
    </w:rPr>
  </w:style>
  <w:style w:type="character" w:customStyle="1" w:styleId="413">
    <w:name w:val="lnkextra1"/>
    <w:qFormat/>
    <w:uiPriority w:val="0"/>
    <w:rPr>
      <w:rFonts w:ascii="Times New Roman" w:hAnsi="Times New Roman" w:eastAsia="SimSun" w:cs="Times New Roman"/>
      <w:color w:val="666666"/>
      <w:sz w:val="15"/>
      <w:szCs w:val="15"/>
    </w:rPr>
  </w:style>
  <w:style w:type="character" w:customStyle="1" w:styleId="414">
    <w:name w:val="qv3d6too6"/>
    <w:basedOn w:val="11"/>
    <w:qFormat/>
    <w:uiPriority w:val="0"/>
    <w:rPr>
      <w:rFonts w:ascii="Times New Roman" w:hAnsi="Times New Roman" w:eastAsia="SimSun" w:cs="Times New Roman"/>
    </w:rPr>
  </w:style>
  <w:style w:type="character" w:customStyle="1" w:styleId="415">
    <w:name w:val="links1"/>
    <w:qFormat/>
    <w:uiPriority w:val="0"/>
    <w:rPr>
      <w:rFonts w:ascii="Times New Roman" w:hAnsi="Times New Roman" w:eastAsia="SimSun" w:cs="Times New Roman"/>
      <w:color w:val="9AC9CF"/>
    </w:rPr>
  </w:style>
  <w:style w:type="character" w:customStyle="1" w:styleId="416">
    <w:name w:val="Corpo de texto 2 Char1"/>
    <w:basedOn w:val="11"/>
    <w:semiHidden/>
    <w:qFormat/>
    <w:uiPriority w:val="99"/>
    <w:rPr>
      <w:rFonts w:ascii="Calibri" w:hAnsi="Calibri" w:eastAsia="SimSun" w:cs="Times New Roman"/>
      <w:sz w:val="20"/>
      <w:szCs w:val="20"/>
      <w:lang w:eastAsia="pt-BR"/>
    </w:rPr>
  </w:style>
  <w:style w:type="character" w:customStyle="1" w:styleId="417">
    <w:name w:val="_Style 416"/>
    <w:qFormat/>
    <w:uiPriority w:val="19"/>
    <w:rPr>
      <w:rFonts w:ascii="Times New Roman" w:hAnsi="Times New Roman" w:eastAsia="SimSun" w:cs="Times New Roman"/>
      <w:i/>
      <w:iCs/>
      <w:color w:val="808080"/>
    </w:rPr>
  </w:style>
  <w:style w:type="character" w:customStyle="1" w:styleId="418">
    <w:name w:val="h1-product-page-content"/>
    <w:basedOn w:val="11"/>
    <w:qFormat/>
    <w:uiPriority w:val="0"/>
    <w:rPr>
      <w:rFonts w:ascii="Times New Roman" w:hAnsi="Times New Roman" w:eastAsia="SimSun" w:cs="Times New Roman"/>
    </w:rPr>
  </w:style>
  <w:style w:type="character" w:customStyle="1" w:styleId="419">
    <w:name w:val="msg1"/>
    <w:qFormat/>
    <w:uiPriority w:val="0"/>
    <w:rPr>
      <w:rFonts w:ascii="Times New Roman" w:hAnsi="Times New Roman" w:eastAsia="SimSun" w:cs="Times New Roman"/>
      <w:b/>
      <w:bCs/>
    </w:rPr>
  </w:style>
  <w:style w:type="character" w:customStyle="1" w:styleId="420">
    <w:name w:val="h2-c1"/>
    <w:qFormat/>
    <w:uiPriority w:val="0"/>
    <w:rPr>
      <w:rFonts w:ascii="Verdana" w:hAnsi="Verdana" w:eastAsia="SimSun" w:cs="Times New Roman"/>
      <w:b/>
      <w:bCs/>
      <w:color w:val="784625"/>
      <w:sz w:val="23"/>
      <w:szCs w:val="23"/>
    </w:rPr>
  </w:style>
  <w:style w:type="character" w:customStyle="1" w:styleId="421">
    <w:name w:val="even1"/>
    <w:qFormat/>
    <w:uiPriority w:val="0"/>
    <w:rPr>
      <w:rFonts w:ascii="Times New Roman" w:hAnsi="Times New Roman" w:eastAsia="SimSun" w:cs="Times New Roman"/>
      <w:shd w:val="clear" w:color="auto" w:fill="E3E3E3"/>
    </w:rPr>
  </w:style>
  <w:style w:type="character" w:customStyle="1" w:styleId="422">
    <w:name w:val="Assunto do comentário Char1"/>
    <w:basedOn w:val="405"/>
    <w:semiHidden/>
    <w:qFormat/>
    <w:uiPriority w:val="99"/>
    <w:rPr>
      <w:b/>
      <w:bCs/>
    </w:rPr>
  </w:style>
  <w:style w:type="character" w:customStyle="1" w:styleId="423">
    <w:name w:val="Recuo de corpo de texto 3 Char1"/>
    <w:basedOn w:val="11"/>
    <w:semiHidden/>
    <w:qFormat/>
    <w:uiPriority w:val="99"/>
    <w:rPr>
      <w:rFonts w:ascii="Calibri" w:hAnsi="Calibri" w:eastAsia="SimSun" w:cs="Times New Roman"/>
      <w:sz w:val="16"/>
      <w:szCs w:val="16"/>
      <w:lang w:eastAsia="pt-BR"/>
    </w:rPr>
  </w:style>
  <w:style w:type="character" w:customStyle="1" w:styleId="424">
    <w:name w:val="Parte inferior do formulário Char"/>
    <w:link w:val="425"/>
    <w:qFormat/>
    <w:uiPriority w:val="0"/>
    <w:rPr>
      <w:rFonts w:ascii="Arial" w:hAnsi="Arial" w:eastAsia="SimSun" w:cs="Arial"/>
      <w:vanish/>
      <w:sz w:val="16"/>
      <w:szCs w:val="16"/>
      <w:lang w:eastAsia="en-US" w:bidi="en-US"/>
    </w:rPr>
  </w:style>
  <w:style w:type="paragraph" w:customStyle="1" w:styleId="425">
    <w:name w:val="_Style 424"/>
    <w:basedOn w:val="1"/>
    <w:next w:val="1"/>
    <w:link w:val="424"/>
    <w:semiHidden/>
    <w:unhideWhenUsed/>
    <w:qFormat/>
    <w:uiPriority w:val="99"/>
    <w:pPr>
      <w:pBdr>
        <w:top w:val="single" w:color="auto" w:sz="6" w:space="1"/>
      </w:pBdr>
      <w:spacing w:after="200" w:line="276" w:lineRule="auto"/>
      <w:jc w:val="center"/>
    </w:pPr>
    <w:rPr>
      <w:rFonts w:ascii="Arial" w:hAnsi="Arial" w:eastAsia="SimSun" w:cs="Arial"/>
      <w:vanish/>
      <w:sz w:val="16"/>
      <w:szCs w:val="16"/>
      <w:lang w:eastAsia="en-US" w:bidi="en-US"/>
    </w:rPr>
  </w:style>
  <w:style w:type="character" w:customStyle="1" w:styleId="426">
    <w:name w:val="watch-title"/>
    <w:basedOn w:val="11"/>
    <w:qFormat/>
    <w:uiPriority w:val="0"/>
    <w:rPr>
      <w:rFonts w:ascii="Times New Roman" w:hAnsi="Times New Roman" w:eastAsia="SimSun" w:cs="Times New Roman"/>
    </w:rPr>
  </w:style>
  <w:style w:type="character" w:customStyle="1" w:styleId="427">
    <w:name w:val="lnkoptions"/>
    <w:basedOn w:val="11"/>
    <w:qFormat/>
    <w:uiPriority w:val="0"/>
    <w:rPr>
      <w:rFonts w:ascii="Times New Roman" w:hAnsi="Times New Roman" w:eastAsia="SimSun" w:cs="Times New Roman"/>
    </w:rPr>
  </w:style>
  <w:style w:type="character" w:customStyle="1" w:styleId="428">
    <w:name w:val="Parte superior-z do formulário Char"/>
    <w:link w:val="429"/>
    <w:qFormat/>
    <w:uiPriority w:val="0"/>
    <w:rPr>
      <w:rFonts w:ascii="Arial" w:hAnsi="Arial" w:eastAsia="SimSun" w:cs="Arial"/>
      <w:vanish/>
      <w:sz w:val="16"/>
      <w:szCs w:val="16"/>
      <w:lang w:eastAsia="en-US" w:bidi="en-US"/>
    </w:rPr>
  </w:style>
  <w:style w:type="paragraph" w:customStyle="1" w:styleId="429">
    <w:name w:val="_Style 428"/>
    <w:basedOn w:val="1"/>
    <w:next w:val="1"/>
    <w:link w:val="428"/>
    <w:semiHidden/>
    <w:unhideWhenUsed/>
    <w:qFormat/>
    <w:uiPriority w:val="99"/>
    <w:pPr>
      <w:pBdr>
        <w:bottom w:val="single" w:color="auto" w:sz="6" w:space="1"/>
      </w:pBdr>
      <w:spacing w:after="200" w:line="276" w:lineRule="auto"/>
      <w:jc w:val="center"/>
    </w:pPr>
    <w:rPr>
      <w:rFonts w:ascii="Arial" w:hAnsi="Arial" w:eastAsia="SimSun" w:cs="Arial"/>
      <w:vanish/>
      <w:sz w:val="16"/>
      <w:szCs w:val="16"/>
      <w:lang w:eastAsia="en-US" w:bidi="en-US"/>
    </w:rPr>
  </w:style>
  <w:style w:type="character" w:customStyle="1" w:styleId="430">
    <w:name w:val="textolinha"/>
    <w:basedOn w:val="11"/>
    <w:qFormat/>
    <w:uiPriority w:val="0"/>
    <w:rPr>
      <w:rFonts w:ascii="Times New Roman" w:hAnsi="Times New Roman" w:eastAsia="SimSun" w:cs="Times New Roman"/>
    </w:rPr>
  </w:style>
  <w:style w:type="character" w:customStyle="1" w:styleId="431">
    <w:name w:val="Font Style16"/>
    <w:qFormat/>
    <w:uiPriority w:val="99"/>
    <w:rPr>
      <w:rFonts w:ascii="Arial" w:hAnsi="Arial" w:eastAsia="SimSun" w:cs="Arial"/>
      <w:color w:val="000000"/>
      <w:sz w:val="20"/>
      <w:szCs w:val="20"/>
    </w:rPr>
  </w:style>
  <w:style w:type="character" w:customStyle="1" w:styleId="432">
    <w:name w:val="om536z14twd3"/>
    <w:basedOn w:val="11"/>
    <w:qFormat/>
    <w:uiPriority w:val="0"/>
    <w:rPr>
      <w:rFonts w:ascii="Times New Roman" w:hAnsi="Times New Roman" w:eastAsia="SimSun" w:cs="Times New Roman"/>
    </w:rPr>
  </w:style>
  <w:style w:type="character" w:customStyle="1" w:styleId="433">
    <w:name w:val=" Char Char"/>
    <w:qFormat/>
    <w:uiPriority w:val="0"/>
    <w:rPr>
      <w:rFonts w:ascii="Times New Roman" w:hAnsi="Times New Roman" w:eastAsia="Times New Roman" w:cs="Times New Roman"/>
      <w:b/>
      <w:sz w:val="20"/>
      <w:szCs w:val="20"/>
      <w:lang w:eastAsia="pt-BR"/>
    </w:rPr>
  </w:style>
  <w:style w:type="character" w:customStyle="1" w:styleId="434">
    <w:name w:val="Normal arial Char"/>
    <w:link w:val="435"/>
    <w:qFormat/>
    <w:uiPriority w:val="0"/>
    <w:rPr>
      <w:rFonts w:ascii="Times New Roman" w:hAnsi="Times New Roman" w:eastAsia="SimSun" w:cs="Times New Roman"/>
      <w:sz w:val="24"/>
      <w:szCs w:val="24"/>
    </w:rPr>
  </w:style>
  <w:style w:type="paragraph" w:customStyle="1" w:styleId="435">
    <w:name w:val="Normal arial"/>
    <w:basedOn w:val="1"/>
    <w:link w:val="434"/>
    <w:qFormat/>
    <w:uiPriority w:val="0"/>
    <w:rPr>
      <w:rFonts w:eastAsia="SimSun"/>
      <w:sz w:val="24"/>
      <w:szCs w:val="24"/>
    </w:rPr>
  </w:style>
  <w:style w:type="character" w:customStyle="1" w:styleId="436">
    <w:name w:val="Char Char1"/>
    <w:qFormat/>
    <w:uiPriority w:val="0"/>
    <w:rPr>
      <w:rFonts w:ascii="Times New Roman" w:hAnsi="Times New Roman" w:eastAsia="SimSun" w:cs="Times New Roman"/>
      <w:b/>
      <w:sz w:val="20"/>
      <w:lang w:eastAsia="pt-BR"/>
    </w:rPr>
  </w:style>
  <w:style w:type="character" w:customStyle="1" w:styleId="437">
    <w:name w:val="data1"/>
    <w:qFormat/>
    <w:uiPriority w:val="0"/>
    <w:rPr>
      <w:rFonts w:ascii="Times New Roman" w:hAnsi="Times New Roman" w:eastAsia="SimSun" w:cs="Times New Roman"/>
      <w:color w:val="9AC9CF"/>
    </w:rPr>
  </w:style>
  <w:style w:type="character" w:customStyle="1" w:styleId="438">
    <w:name w:val="yah20mfa"/>
    <w:basedOn w:val="11"/>
    <w:qFormat/>
    <w:uiPriority w:val="0"/>
    <w:rPr>
      <w:rFonts w:ascii="Times New Roman" w:hAnsi="Times New Roman" w:eastAsia="SimSun" w:cs="Times New Roman"/>
    </w:rPr>
  </w:style>
  <w:style w:type="character" w:customStyle="1" w:styleId="439">
    <w:name w:val="ch61"/>
    <w:qFormat/>
    <w:uiPriority w:val="0"/>
    <w:rPr>
      <w:rFonts w:ascii="Times New Roman" w:hAnsi="Times New Roman" w:eastAsia="SimSun" w:cs="Times New Roman"/>
      <w:color w:val="000000"/>
      <w:sz w:val="15"/>
      <w:szCs w:val="15"/>
    </w:rPr>
  </w:style>
  <w:style w:type="character" w:customStyle="1" w:styleId="440">
    <w:name w:val="Ênfase Sutil1"/>
    <w:basedOn w:val="11"/>
    <w:qFormat/>
    <w:uiPriority w:val="19"/>
    <w:rPr>
      <w:rFonts w:ascii="Calibri" w:hAnsi="Calibri" w:eastAsia="SimSun" w:cs="Times New Roman"/>
      <w:i/>
      <w:iCs/>
      <w:color w:val="7E7E7E"/>
    </w:rPr>
  </w:style>
  <w:style w:type="character" w:customStyle="1" w:styleId="441">
    <w:name w:val="azul12bold"/>
    <w:qFormat/>
    <w:uiPriority w:val="0"/>
    <w:rPr>
      <w:rFonts w:ascii="Times New Roman" w:hAnsi="Times New Roman" w:eastAsia="SimSun" w:cs="Times New Roman"/>
    </w:rPr>
  </w:style>
  <w:style w:type="character" w:customStyle="1" w:styleId="442">
    <w:name w:val="_Style 441"/>
    <w:qFormat/>
    <w:uiPriority w:val="31"/>
    <w:rPr>
      <w:rFonts w:ascii="Times New Roman" w:hAnsi="Times New Roman" w:eastAsia="SimSun" w:cs="Times New Roman"/>
      <w:smallCaps/>
      <w:color w:val="C0504D"/>
      <w:u w:val="single"/>
    </w:rPr>
  </w:style>
  <w:style w:type="character" w:customStyle="1" w:styleId="443">
    <w:name w:val="cinza13"/>
    <w:qFormat/>
    <w:uiPriority w:val="0"/>
    <w:rPr>
      <w:rFonts w:ascii="Times New Roman" w:hAnsi="Times New Roman" w:eastAsia="SimSun" w:cs="Times New Roman"/>
    </w:rPr>
  </w:style>
  <w:style w:type="character" w:customStyle="1" w:styleId="444">
    <w:name w:val="num1"/>
    <w:basedOn w:val="11"/>
    <w:qFormat/>
    <w:uiPriority w:val="0"/>
    <w:rPr>
      <w:rFonts w:ascii="Times New Roman" w:hAnsi="Times New Roman" w:eastAsia="SimSun" w:cs="Times New Roman"/>
    </w:rPr>
  </w:style>
  <w:style w:type="character" w:customStyle="1" w:styleId="445">
    <w:name w:val="Título Char2"/>
    <w:basedOn w:val="11"/>
    <w:qFormat/>
    <w:uiPriority w:val="10"/>
    <w:rPr>
      <w:rFonts w:ascii="Cambria" w:hAnsi="Cambria" w:eastAsia="SimSun" w:cs="Times New Roman"/>
      <w:color w:val="17365D"/>
      <w:spacing w:val="5"/>
      <w:kern w:val="28"/>
      <w:sz w:val="52"/>
      <w:szCs w:val="52"/>
      <w:lang w:eastAsia="pt-BR"/>
    </w:rPr>
  </w:style>
  <w:style w:type="character" w:customStyle="1" w:styleId="446">
    <w:name w:val="Cabeçalho Char1"/>
    <w:basedOn w:val="11"/>
    <w:semiHidden/>
    <w:qFormat/>
    <w:uiPriority w:val="99"/>
    <w:rPr>
      <w:rFonts w:ascii="Calibri" w:hAnsi="Calibri" w:eastAsia="SimSun" w:cs="Times New Roman"/>
      <w:sz w:val="20"/>
      <w:szCs w:val="20"/>
      <w:lang w:eastAsia="pt-BR"/>
    </w:rPr>
  </w:style>
  <w:style w:type="character" w:customStyle="1" w:styleId="447">
    <w:name w:val="encabezado Char"/>
    <w:qFormat/>
    <w:uiPriority w:val="0"/>
    <w:rPr>
      <w:rFonts w:ascii="Times New Roman" w:hAnsi="Times New Roman" w:eastAsia="SimSun" w:cs="Times New Roman"/>
      <w:sz w:val="28"/>
      <w:lang w:val="pt-BR" w:eastAsia="pt-BR" w:bidi="ar-SA"/>
    </w:rPr>
  </w:style>
  <w:style w:type="character" w:customStyle="1" w:styleId="448">
    <w:name w:val="Citação Intensa Char1"/>
    <w:basedOn w:val="11"/>
    <w:qFormat/>
    <w:uiPriority w:val="30"/>
    <w:rPr>
      <w:rFonts w:ascii="Calibri" w:hAnsi="Calibri" w:eastAsia="SimSun" w:cs="Times New Roman"/>
      <w:b/>
      <w:bCs/>
      <w:i/>
      <w:iCs/>
      <w:color w:val="4F81BD"/>
      <w:sz w:val="20"/>
      <w:szCs w:val="20"/>
      <w:lang w:eastAsia="pt-BR"/>
    </w:rPr>
  </w:style>
  <w:style w:type="character" w:customStyle="1" w:styleId="449">
    <w:name w:val="destaque"/>
    <w:basedOn w:val="11"/>
    <w:qFormat/>
    <w:uiPriority w:val="0"/>
    <w:rPr>
      <w:rFonts w:ascii="Times New Roman" w:hAnsi="Times New Roman" w:eastAsia="SimSun" w:cs="Times New Roman"/>
    </w:rPr>
  </w:style>
  <w:style w:type="character" w:customStyle="1" w:styleId="450">
    <w:name w:val="normal-c-c11"/>
    <w:qFormat/>
    <w:uiPriority w:val="0"/>
    <w:rPr>
      <w:rFonts w:ascii="Verdana" w:hAnsi="Verdana" w:eastAsia="SimSun" w:cs="Times New Roman"/>
      <w:color w:val="784625"/>
      <w:sz w:val="23"/>
      <w:szCs w:val="23"/>
    </w:rPr>
  </w:style>
  <w:style w:type="character" w:customStyle="1" w:styleId="451">
    <w:name w:val="Referência Sutil1"/>
    <w:basedOn w:val="11"/>
    <w:qFormat/>
    <w:uiPriority w:val="31"/>
    <w:rPr>
      <w:rFonts w:ascii="Calibri" w:hAnsi="Calibri" w:eastAsia="SimSun" w:cs="Times New Roman"/>
      <w:smallCaps/>
      <w:color w:val="C0504D"/>
      <w:u w:val="single"/>
    </w:rPr>
  </w:style>
  <w:style w:type="character" w:customStyle="1" w:styleId="452">
    <w:name w:val="Font Style12"/>
    <w:basedOn w:val="11"/>
    <w:qFormat/>
    <w:uiPriority w:val="99"/>
    <w:rPr>
      <w:rFonts w:ascii="Arial" w:hAnsi="Arial" w:eastAsia="SimSun" w:cs="Arial"/>
      <w:b/>
      <w:bCs/>
      <w:color w:val="000000"/>
      <w:sz w:val="22"/>
      <w:szCs w:val="22"/>
    </w:rPr>
  </w:style>
  <w:style w:type="character" w:customStyle="1" w:styleId="453">
    <w:name w:val="_Style 452"/>
    <w:qFormat/>
    <w:uiPriority w:val="21"/>
    <w:rPr>
      <w:rFonts w:ascii="Times New Roman" w:hAnsi="Times New Roman" w:eastAsia="SimSun" w:cs="Times New Roman"/>
      <w:b/>
      <w:bCs/>
      <w:i/>
      <w:iCs/>
      <w:color w:val="4F81BD"/>
    </w:rPr>
  </w:style>
  <w:style w:type="character" w:customStyle="1" w:styleId="454">
    <w:name w:val="destaque_41"/>
    <w:qFormat/>
    <w:uiPriority w:val="0"/>
    <w:rPr>
      <w:rFonts w:ascii="Arial" w:hAnsi="Arial" w:eastAsia="SimSun" w:cs="Arial"/>
      <w:b/>
      <w:bCs/>
      <w:color w:val="3C4B91"/>
      <w:sz w:val="14"/>
      <w:szCs w:val="14"/>
    </w:rPr>
  </w:style>
  <w:style w:type="character" w:customStyle="1" w:styleId="455">
    <w:name w:val="Citação Char1"/>
    <w:basedOn w:val="11"/>
    <w:qFormat/>
    <w:uiPriority w:val="29"/>
    <w:rPr>
      <w:rFonts w:ascii="Calibri" w:hAnsi="Calibri" w:eastAsia="SimSun" w:cs="Times New Roman"/>
      <w:i/>
      <w:iCs/>
      <w:color w:val="000000"/>
      <w:sz w:val="20"/>
      <w:szCs w:val="20"/>
      <w:lang w:eastAsia="pt-BR"/>
    </w:rPr>
  </w:style>
  <w:style w:type="character" w:customStyle="1" w:styleId="456">
    <w:name w:val="Parte inferior do formulário Char1"/>
    <w:basedOn w:val="11"/>
    <w:link w:val="457"/>
    <w:qFormat/>
    <w:uiPriority w:val="99"/>
    <w:rPr>
      <w:rFonts w:ascii="Arial" w:hAnsi="Arial" w:eastAsia="Times New Roman" w:cs="Arial"/>
      <w:vanish/>
      <w:sz w:val="16"/>
      <w:szCs w:val="16"/>
      <w:lang w:val="pt-BR" w:eastAsia="pt-BR" w:bidi="en-US"/>
    </w:rPr>
  </w:style>
  <w:style w:type="paragraph" w:customStyle="1" w:styleId="457">
    <w:name w:val="HTML Bottom of Form"/>
    <w:basedOn w:val="1"/>
    <w:next w:val="1"/>
    <w:link w:val="456"/>
    <w:qFormat/>
    <w:uiPriority w:val="0"/>
    <w:pPr>
      <w:pBdr>
        <w:top w:val="single" w:color="auto" w:sz="6" w:space="1"/>
      </w:pBdr>
      <w:spacing w:after="200" w:line="276" w:lineRule="auto"/>
      <w:jc w:val="center"/>
    </w:pPr>
    <w:rPr>
      <w:rFonts w:ascii="Arial" w:hAnsi="Arial" w:eastAsia="Times New Roman" w:cs="Arial"/>
      <w:vanish/>
      <w:sz w:val="16"/>
      <w:szCs w:val="16"/>
      <w:lang w:val="pt-BR" w:eastAsia="pt-BR" w:bidi="en-US"/>
    </w:rPr>
  </w:style>
  <w:style w:type="character" w:customStyle="1" w:styleId="458">
    <w:name w:val="proddescricaofooter_voltartopo"/>
    <w:basedOn w:val="11"/>
    <w:qFormat/>
    <w:uiPriority w:val="0"/>
    <w:rPr>
      <w:rFonts w:ascii="Times New Roman" w:hAnsi="Times New Roman" w:eastAsia="SimSun" w:cs="Times New Roman"/>
    </w:rPr>
  </w:style>
  <w:style w:type="character" w:customStyle="1" w:styleId="459">
    <w:name w:val="Corpo de texto Char1"/>
    <w:basedOn w:val="11"/>
    <w:semiHidden/>
    <w:qFormat/>
    <w:uiPriority w:val="99"/>
    <w:rPr>
      <w:rFonts w:ascii="Calibri" w:hAnsi="Calibri" w:eastAsia="SimSun" w:cs="Times New Roman"/>
      <w:sz w:val="20"/>
      <w:szCs w:val="20"/>
      <w:lang w:eastAsia="pt-BR"/>
    </w:rPr>
  </w:style>
  <w:style w:type="character" w:customStyle="1" w:styleId="460">
    <w:name w:val="readonlyisolvdescritivo1"/>
    <w:qFormat/>
    <w:uiPriority w:val="0"/>
    <w:rPr>
      <w:rFonts w:ascii="Verdana" w:hAnsi="Verdana" w:eastAsia="SimSun" w:cs="Times New Roman"/>
      <w:color w:val="404040"/>
      <w:sz w:val="16"/>
      <w:szCs w:val="16"/>
      <w:u w:val="none"/>
      <w:shd w:val="clear" w:color="auto" w:fill="auto"/>
    </w:rPr>
  </w:style>
  <w:style w:type="character" w:customStyle="1" w:styleId="461">
    <w:name w:val="links"/>
    <w:basedOn w:val="11"/>
    <w:qFormat/>
    <w:uiPriority w:val="0"/>
    <w:rPr>
      <w:rFonts w:ascii="Times New Roman" w:hAnsi="Times New Roman" w:eastAsia="SimSun" w:cs="Times New Roman"/>
    </w:rPr>
  </w:style>
  <w:style w:type="character" w:customStyle="1" w:styleId="462">
    <w:name w:val="Corpo de texto 3 Char1"/>
    <w:basedOn w:val="11"/>
    <w:semiHidden/>
    <w:qFormat/>
    <w:uiPriority w:val="99"/>
    <w:rPr>
      <w:rFonts w:ascii="Calibri" w:hAnsi="Calibri" w:eastAsia="SimSun" w:cs="Times New Roman"/>
      <w:sz w:val="16"/>
      <w:szCs w:val="16"/>
      <w:lang w:eastAsia="pt-BR"/>
    </w:rPr>
  </w:style>
  <w:style w:type="character" w:customStyle="1" w:styleId="463">
    <w:name w:val="even"/>
    <w:basedOn w:val="11"/>
    <w:qFormat/>
    <w:uiPriority w:val="0"/>
    <w:rPr>
      <w:rFonts w:ascii="Times New Roman" w:hAnsi="Times New Roman" w:eastAsia="SimSun" w:cs="Times New Roman"/>
    </w:rPr>
  </w:style>
  <w:style w:type="character" w:customStyle="1" w:styleId="464">
    <w:name w:val="_Style 463"/>
    <w:qFormat/>
    <w:uiPriority w:val="33"/>
    <w:rPr>
      <w:rFonts w:ascii="Times New Roman" w:hAnsi="Times New Roman" w:eastAsia="SimSun" w:cs="Times New Roman"/>
      <w:b/>
      <w:bCs/>
      <w:smallCaps/>
      <w:spacing w:val="5"/>
    </w:rPr>
  </w:style>
  <w:style w:type="character" w:customStyle="1" w:styleId="465">
    <w:name w:val="Subtle Reference"/>
    <w:qFormat/>
    <w:uiPriority w:val="31"/>
    <w:rPr>
      <w:rFonts w:ascii="Calibri" w:hAnsi="Calibri" w:eastAsia="Times New Roman" w:cs="Times New Roman"/>
      <w:smallCaps/>
      <w:color w:val="C0504D"/>
      <w:u w:val="single"/>
    </w:rPr>
  </w:style>
  <w:style w:type="character" w:customStyle="1" w:styleId="466">
    <w:name w:val="i4yj81w28f8"/>
    <w:qFormat/>
    <w:uiPriority w:val="0"/>
    <w:rPr>
      <w:rFonts w:ascii="Times New Roman" w:hAnsi="Times New Roman" w:eastAsia="SimSun" w:cs="Times New Roman"/>
    </w:rPr>
  </w:style>
  <w:style w:type="character" w:customStyle="1" w:styleId="467">
    <w:name w:val="sectiontableheader1"/>
    <w:qFormat/>
    <w:uiPriority w:val="0"/>
    <w:rPr>
      <w:rFonts w:ascii="Times New Roman" w:hAnsi="Times New Roman" w:eastAsia="SimSun" w:cs="Times New Roman"/>
      <w:color w:val="FFFFFF"/>
      <w:shd w:val="clear" w:color="auto" w:fill="88B074"/>
    </w:rPr>
  </w:style>
  <w:style w:type="character" w:customStyle="1" w:styleId="468">
    <w:name w:val="icon"/>
    <w:qFormat/>
    <w:uiPriority w:val="0"/>
    <w:rPr>
      <w:rFonts w:ascii="Times New Roman" w:hAnsi="Times New Roman" w:eastAsia="SimSun" w:cs="Times New Roman"/>
    </w:rPr>
  </w:style>
  <w:style w:type="character" w:customStyle="1" w:styleId="469">
    <w:name w:val="Intense Emphasis"/>
    <w:qFormat/>
    <w:uiPriority w:val="21"/>
    <w:rPr>
      <w:rFonts w:ascii="Calibri" w:hAnsi="Calibri" w:eastAsia="Times New Roman" w:cs="Times New Roman"/>
      <w:b/>
      <w:bCs/>
      <w:i/>
      <w:iCs/>
      <w:color w:val="4F81BD"/>
    </w:rPr>
  </w:style>
  <w:style w:type="character" w:customStyle="1" w:styleId="470">
    <w:name w:val="tit_dept1"/>
    <w:qFormat/>
    <w:uiPriority w:val="0"/>
    <w:rPr>
      <w:rFonts w:ascii="Times New Roman" w:hAnsi="Times New Roman" w:eastAsia="SimSun" w:cs="Times New Roman"/>
      <w:b/>
      <w:bCs/>
      <w:color w:val="333333"/>
      <w:sz w:val="18"/>
      <w:szCs w:val="18"/>
    </w:rPr>
  </w:style>
  <w:style w:type="character" w:customStyle="1" w:styleId="471">
    <w:name w:val="descricao-empresa1"/>
    <w:qFormat/>
    <w:uiPriority w:val="0"/>
    <w:rPr>
      <w:rFonts w:ascii="Arial" w:hAnsi="Arial" w:eastAsia="SimSun" w:cs="Arial"/>
      <w:sz w:val="20"/>
      <w:szCs w:val="20"/>
    </w:rPr>
  </w:style>
  <w:style w:type="character" w:customStyle="1" w:styleId="472">
    <w:name w:val="Parte superior-z do formulário Char1"/>
    <w:basedOn w:val="11"/>
    <w:link w:val="473"/>
    <w:qFormat/>
    <w:uiPriority w:val="99"/>
    <w:rPr>
      <w:rFonts w:ascii="Arial" w:hAnsi="Arial" w:eastAsia="Times New Roman" w:cs="Arial"/>
      <w:vanish/>
      <w:sz w:val="16"/>
      <w:szCs w:val="16"/>
      <w:lang w:val="pt-BR" w:eastAsia="pt-BR" w:bidi="en-US"/>
    </w:rPr>
  </w:style>
  <w:style w:type="paragraph" w:customStyle="1" w:styleId="473">
    <w:name w:val="HTML Top of Form"/>
    <w:basedOn w:val="1"/>
    <w:next w:val="1"/>
    <w:link w:val="472"/>
    <w:qFormat/>
    <w:uiPriority w:val="0"/>
    <w:pPr>
      <w:pBdr>
        <w:bottom w:val="single" w:color="auto" w:sz="6" w:space="1"/>
      </w:pBdr>
      <w:spacing w:after="200" w:line="276" w:lineRule="auto"/>
      <w:jc w:val="center"/>
    </w:pPr>
    <w:rPr>
      <w:rFonts w:ascii="Arial" w:hAnsi="Arial" w:eastAsia="Times New Roman" w:cs="Arial"/>
      <w:vanish/>
      <w:sz w:val="16"/>
      <w:szCs w:val="16"/>
      <w:lang w:val="pt-BR" w:eastAsia="pt-BR" w:bidi="en-US"/>
    </w:rPr>
  </w:style>
  <w:style w:type="character" w:customStyle="1" w:styleId="474">
    <w:name w:val="_Style 473"/>
    <w:qFormat/>
    <w:uiPriority w:val="32"/>
    <w:rPr>
      <w:rFonts w:ascii="Times New Roman" w:hAnsi="Times New Roman" w:eastAsia="SimSun" w:cs="Times New Roman"/>
      <w:b/>
      <w:bCs/>
      <w:smallCaps/>
      <w:color w:val="C0504D"/>
      <w:spacing w:val="5"/>
      <w:u w:val="single"/>
    </w:rPr>
  </w:style>
  <w:style w:type="character" w:customStyle="1" w:styleId="475">
    <w:name w:val="Rodapé Char1"/>
    <w:basedOn w:val="11"/>
    <w:semiHidden/>
    <w:qFormat/>
    <w:uiPriority w:val="99"/>
    <w:rPr>
      <w:rFonts w:ascii="Calibri" w:hAnsi="Calibri" w:eastAsia="SimSun" w:cs="Times New Roman"/>
      <w:sz w:val="20"/>
      <w:szCs w:val="20"/>
      <w:lang w:eastAsia="pt-BR"/>
    </w:rPr>
  </w:style>
  <w:style w:type="character" w:customStyle="1" w:styleId="476">
    <w:name w:val="q0k2s49"/>
    <w:qFormat/>
    <w:uiPriority w:val="0"/>
    <w:rPr>
      <w:rFonts w:ascii="Times New Roman" w:hAnsi="Times New Roman" w:eastAsia="SimSun" w:cs="Times New Roman"/>
    </w:rPr>
  </w:style>
  <w:style w:type="character" w:customStyle="1" w:styleId="477">
    <w:name w:val="Título do Livro1"/>
    <w:basedOn w:val="11"/>
    <w:qFormat/>
    <w:uiPriority w:val="33"/>
    <w:rPr>
      <w:rFonts w:ascii="Calibri" w:hAnsi="Calibri" w:eastAsia="SimSun" w:cs="Times New Roman"/>
      <w:b/>
      <w:bCs/>
      <w:smallCaps/>
      <w:spacing w:val="5"/>
    </w:rPr>
  </w:style>
  <w:style w:type="character" w:customStyle="1" w:styleId="478">
    <w:name w:val="oq4tku9r5fw"/>
    <w:qFormat/>
    <w:uiPriority w:val="0"/>
    <w:rPr>
      <w:rFonts w:ascii="Times New Roman" w:hAnsi="Times New Roman" w:eastAsia="SimSun" w:cs="Times New Roman"/>
    </w:rPr>
  </w:style>
  <w:style w:type="character" w:customStyle="1" w:styleId="479">
    <w:name w:val="data"/>
    <w:basedOn w:val="11"/>
    <w:qFormat/>
    <w:uiPriority w:val="0"/>
    <w:rPr>
      <w:rFonts w:ascii="Times New Roman" w:hAnsi="Times New Roman" w:eastAsia="SimSun" w:cs="Times New Roman"/>
    </w:rPr>
  </w:style>
  <w:style w:type="character" w:customStyle="1" w:styleId="480">
    <w:name w:val="clearfull div20"/>
    <w:basedOn w:val="11"/>
    <w:qFormat/>
    <w:uiPriority w:val="0"/>
    <w:rPr>
      <w:rFonts w:ascii="Times New Roman" w:hAnsi="Times New Roman" w:eastAsia="SimSun" w:cs="Times New Roman"/>
    </w:rPr>
  </w:style>
  <w:style w:type="character" w:customStyle="1" w:styleId="481">
    <w:name w:val="barra_separacao2"/>
    <w:basedOn w:val="11"/>
    <w:qFormat/>
    <w:uiPriority w:val="0"/>
    <w:rPr>
      <w:rFonts w:ascii="Times New Roman" w:hAnsi="Times New Roman" w:eastAsia="SimSun" w:cs="Times New Roman"/>
    </w:rPr>
  </w:style>
  <w:style w:type="character" w:customStyle="1" w:styleId="482">
    <w:name w:val="fornecimg"/>
    <w:basedOn w:val="11"/>
    <w:qFormat/>
    <w:uiPriority w:val="0"/>
    <w:rPr>
      <w:rFonts w:ascii="Times New Roman" w:hAnsi="Times New Roman" w:eastAsia="SimSun" w:cs="Times New Roman"/>
    </w:rPr>
  </w:style>
  <w:style w:type="character" w:customStyle="1" w:styleId="483">
    <w:name w:val="desc_agrup_longo"/>
    <w:qFormat/>
    <w:uiPriority w:val="0"/>
    <w:rPr>
      <w:rFonts w:ascii="Times New Roman" w:hAnsi="Times New Roman" w:eastAsia="SimSun" w:cs="Times New Roman"/>
    </w:rPr>
  </w:style>
  <w:style w:type="character" w:customStyle="1" w:styleId="484">
    <w:name w:val="Subtítulo Char1"/>
    <w:basedOn w:val="11"/>
    <w:qFormat/>
    <w:uiPriority w:val="11"/>
    <w:rPr>
      <w:rFonts w:ascii="Cambria" w:hAnsi="Cambria" w:eastAsia="SimSun" w:cs="Times New Roman"/>
      <w:i/>
      <w:iCs/>
      <w:color w:val="4F81BD"/>
      <w:spacing w:val="15"/>
      <w:sz w:val="24"/>
      <w:szCs w:val="24"/>
      <w:lang w:eastAsia="pt-BR"/>
    </w:rPr>
  </w:style>
  <w:style w:type="character" w:customStyle="1" w:styleId="485">
    <w:name w:val="Char Char"/>
    <w:qFormat/>
    <w:uiPriority w:val="0"/>
    <w:rPr>
      <w:rFonts w:ascii="Times New Roman" w:hAnsi="Times New Roman" w:eastAsia="SimSun" w:cs="Times New Roman"/>
      <w:b/>
      <w:sz w:val="20"/>
      <w:lang w:eastAsia="pt-BR"/>
    </w:rPr>
  </w:style>
  <w:style w:type="character" w:customStyle="1" w:styleId="486">
    <w:name w:val="k5xdc7egbe"/>
    <w:qFormat/>
    <w:uiPriority w:val="0"/>
    <w:rPr>
      <w:rFonts w:ascii="Times New Roman" w:hAnsi="Times New Roman" w:eastAsia="SimSun" w:cs="Times New Roman"/>
    </w:rPr>
  </w:style>
  <w:style w:type="character" w:customStyle="1" w:styleId="487">
    <w:name w:val="Intense Reference"/>
    <w:qFormat/>
    <w:uiPriority w:val="32"/>
    <w:rPr>
      <w:rFonts w:ascii="Calibri" w:hAnsi="Calibri" w:eastAsia="Times New Roman" w:cs="Times New Roman"/>
      <w:b/>
      <w:bCs/>
      <w:smallCaps/>
      <w:color w:val="C0504D"/>
      <w:spacing w:val="5"/>
      <w:u w:val="single"/>
    </w:rPr>
  </w:style>
  <w:style w:type="character" w:customStyle="1" w:styleId="488">
    <w:name w:val="msg2"/>
    <w:qFormat/>
    <w:uiPriority w:val="0"/>
    <w:rPr>
      <w:rFonts w:ascii="Times New Roman" w:hAnsi="Times New Roman" w:eastAsia="SimSun" w:cs="Times New Roman"/>
    </w:rPr>
  </w:style>
  <w:style w:type="character" w:customStyle="1" w:styleId="489">
    <w:name w:val="Recuo de corpo de texto Char1"/>
    <w:basedOn w:val="11"/>
    <w:semiHidden/>
    <w:qFormat/>
    <w:uiPriority w:val="99"/>
    <w:rPr>
      <w:rFonts w:ascii="Calibri" w:hAnsi="Calibri" w:eastAsia="SimSun" w:cs="Times New Roman"/>
      <w:sz w:val="20"/>
      <w:szCs w:val="20"/>
      <w:lang w:eastAsia="pt-BR"/>
    </w:rPr>
  </w:style>
  <w:style w:type="character" w:customStyle="1" w:styleId="490">
    <w:name w:val="Citação Char"/>
    <w:basedOn w:val="11"/>
    <w:link w:val="491"/>
    <w:qFormat/>
    <w:uiPriority w:val="29"/>
    <w:rPr>
      <w:rFonts w:ascii="Calibri" w:hAnsi="Calibri" w:eastAsia="SimSun" w:cs="Times New Roman"/>
      <w:i/>
      <w:iCs/>
      <w:color w:val="000000"/>
      <w:sz w:val="22"/>
      <w:szCs w:val="22"/>
      <w:lang w:val="en-US" w:eastAsia="en-US"/>
    </w:rPr>
  </w:style>
  <w:style w:type="paragraph" w:styleId="491">
    <w:name w:val="Quote"/>
    <w:basedOn w:val="1"/>
    <w:next w:val="1"/>
    <w:link w:val="490"/>
    <w:semiHidden/>
    <w:unhideWhenUsed/>
    <w:qFormat/>
    <w:uiPriority w:val="99"/>
    <w:pPr>
      <w:spacing w:after="200" w:line="276" w:lineRule="auto"/>
    </w:pPr>
    <w:rPr>
      <w:rFonts w:ascii="Calibri" w:hAnsi="Calibri" w:eastAsia="SimSun"/>
      <w:i/>
      <w:iCs/>
      <w:color w:val="000000"/>
      <w:sz w:val="22"/>
      <w:szCs w:val="22"/>
      <w:lang w:val="en-US" w:eastAsia="en-US"/>
    </w:rPr>
  </w:style>
  <w:style w:type="character" w:customStyle="1" w:styleId="492">
    <w:name w:val="Ênfase Intensa1"/>
    <w:basedOn w:val="11"/>
    <w:qFormat/>
    <w:uiPriority w:val="21"/>
    <w:rPr>
      <w:rFonts w:ascii="Calibri" w:hAnsi="Calibri" w:eastAsia="SimSun" w:cs="Times New Roman"/>
      <w:b/>
      <w:bCs/>
      <w:i/>
      <w:iCs/>
      <w:color w:val="4F81BD"/>
    </w:rPr>
  </w:style>
  <w:style w:type="character" w:customStyle="1" w:styleId="493">
    <w:name w:val="Grade Colorida - Ênfase 1 Char"/>
    <w:link w:val="494"/>
    <w:qFormat/>
    <w:uiPriority w:val="29"/>
    <w:rPr>
      <w:rFonts w:ascii="Ecofont_Spranq_eco_Sans" w:hAnsi="Ecofont_Spranq_eco_Sans" w:eastAsia="SimSun" w:cs="Times New Roman"/>
      <w:i/>
      <w:color w:val="000000"/>
      <w:sz w:val="24"/>
      <w:lang w:eastAsia="en-US"/>
    </w:rPr>
  </w:style>
  <w:style w:type="paragraph" w:customStyle="1" w:styleId="494">
    <w:name w:val="Grade Colorida - Ênfase 11"/>
    <w:basedOn w:val="1"/>
    <w:next w:val="1"/>
    <w:link w:val="493"/>
    <w:qFormat/>
    <w:uiPriority w:val="29"/>
    <w:pPr>
      <w:pBdr>
        <w:top w:val="single" w:color="1F497D" w:sz="4" w:space="1"/>
        <w:left w:val="single" w:color="1F497D" w:sz="4" w:space="4"/>
        <w:bottom w:val="single" w:color="1F497D" w:sz="4" w:space="1"/>
        <w:right w:val="single" w:color="1F497D" w:sz="4" w:space="4"/>
      </w:pBdr>
      <w:shd w:val="clear" w:color="auto" w:fill="FFFFCC"/>
      <w:spacing w:before="120"/>
      <w:jc w:val="both"/>
    </w:pPr>
    <w:rPr>
      <w:rFonts w:ascii="Ecofont_Spranq_eco_Sans" w:hAnsi="Ecofont_Spranq_eco_Sans" w:eastAsia="SimSun"/>
      <w:i/>
      <w:color w:val="000000"/>
      <w:sz w:val="24"/>
      <w:szCs w:val="20"/>
      <w:lang w:eastAsia="en-US"/>
    </w:rPr>
  </w:style>
  <w:style w:type="character" w:customStyle="1" w:styleId="495">
    <w:name w:val="txtproduto"/>
    <w:qFormat/>
    <w:uiPriority w:val="99"/>
    <w:rPr>
      <w:rFonts w:ascii="Times New Roman" w:hAnsi="Times New Roman" w:eastAsia="SimSun" w:cs="Times New Roman"/>
    </w:rPr>
  </w:style>
  <w:style w:type="character" w:customStyle="1" w:styleId="496">
    <w:name w:val="Header Char"/>
    <w:qFormat/>
    <w:uiPriority w:val="0"/>
    <w:rPr>
      <w:rFonts w:ascii="Times New Roman" w:hAnsi="Times New Roman" w:eastAsia="Times New Roman" w:cs="Times New Roman"/>
      <w:sz w:val="28"/>
      <w:lang w:val="pt-BR" w:eastAsia="pt-BR" w:bidi="ar-SA"/>
    </w:rPr>
  </w:style>
  <w:style w:type="character" w:customStyle="1" w:styleId="497">
    <w:name w:val="Referência Intensa1"/>
    <w:basedOn w:val="11"/>
    <w:qFormat/>
    <w:uiPriority w:val="32"/>
    <w:rPr>
      <w:rFonts w:ascii="Calibri" w:hAnsi="Calibri" w:eastAsia="SimSun" w:cs="Times New Roman"/>
      <w:b/>
      <w:bCs/>
      <w:smallCaps/>
      <w:color w:val="C0504D"/>
      <w:spacing w:val="5"/>
      <w:u w:val="single"/>
    </w:rPr>
  </w:style>
  <w:style w:type="character" w:customStyle="1" w:styleId="498">
    <w:name w:val="lnkoptions1"/>
    <w:qFormat/>
    <w:uiPriority w:val="0"/>
    <w:rPr>
      <w:rFonts w:ascii="Times New Roman" w:hAnsi="Times New Roman" w:eastAsia="SimSun" w:cs="Times New Roman"/>
      <w:sz w:val="17"/>
      <w:szCs w:val="17"/>
    </w:rPr>
  </w:style>
  <w:style w:type="paragraph" w:customStyle="1" w:styleId="499">
    <w:name w:val="enttxt4"/>
    <w:basedOn w:val="1"/>
    <w:qFormat/>
    <w:uiPriority w:val="0"/>
    <w:pPr>
      <w:pBdr>
        <w:top w:val="single" w:color="004851" w:sz="12" w:space="0"/>
        <w:left w:val="single" w:color="004851" w:sz="12" w:space="0"/>
        <w:bottom w:val="single" w:color="004851" w:sz="12" w:space="0"/>
        <w:right w:val="single" w:color="004851" w:sz="12" w:space="0"/>
      </w:pBdr>
      <w:spacing w:before="100" w:beforeAutospacing="1" w:after="100" w:afterAutospacing="1" w:line="276" w:lineRule="auto"/>
    </w:pPr>
    <w:rPr>
      <w:rFonts w:ascii="Calibri" w:hAnsi="Calibri" w:eastAsia="SimSun"/>
      <w:sz w:val="22"/>
      <w:szCs w:val="22"/>
      <w:lang w:eastAsia="en-US" w:bidi="en-US"/>
    </w:rPr>
  </w:style>
  <w:style w:type="paragraph" w:customStyle="1" w:styleId="500">
    <w:name w:val="label"/>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01">
    <w:name w:val="Normal + 10 pt"/>
    <w:basedOn w:val="1"/>
    <w:qFormat/>
    <w:uiPriority w:val="0"/>
    <w:rPr>
      <w:rFonts w:eastAsia="SimSun"/>
      <w:color w:val="0000FF"/>
      <w:sz w:val="20"/>
      <w:szCs w:val="20"/>
    </w:rPr>
  </w:style>
  <w:style w:type="paragraph" w:customStyle="1" w:styleId="502">
    <w:name w:val="Style10"/>
    <w:basedOn w:val="1"/>
    <w:qFormat/>
    <w:uiPriority w:val="99"/>
    <w:pPr>
      <w:widowControl w:val="0"/>
      <w:autoSpaceDE w:val="0"/>
      <w:autoSpaceDN w:val="0"/>
      <w:adjustRightInd w:val="0"/>
      <w:spacing w:line="357" w:lineRule="exact"/>
      <w:ind w:hanging="571"/>
      <w:jc w:val="both"/>
    </w:pPr>
    <w:rPr>
      <w:rFonts w:ascii="Arial" w:hAnsi="Arial" w:eastAsia="SimSun" w:cs="Arial"/>
      <w:sz w:val="24"/>
      <w:szCs w:val="24"/>
    </w:rPr>
  </w:style>
  <w:style w:type="paragraph" w:customStyle="1" w:styleId="503">
    <w:name w:val="logo_rodape_peabirus"/>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04">
    <w:name w:val="tiMES IN ROMAN"/>
    <w:basedOn w:val="52"/>
    <w:qFormat/>
    <w:uiPriority w:val="0"/>
    <w:pPr>
      <w:jc w:val="both"/>
    </w:pPr>
    <w:rPr>
      <w:rFonts w:eastAsia="SimSun" w:cs="Tahoma"/>
      <w:color w:val="FF0000"/>
      <w:sz w:val="24"/>
      <w:szCs w:val="24"/>
    </w:rPr>
  </w:style>
  <w:style w:type="paragraph" w:customStyle="1" w:styleId="505">
    <w:name w:val="boxextra"/>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06">
    <w:name w:val="list"/>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07">
    <w:name w:val="div30"/>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08">
    <w:name w:val="Nivel_01_Titulo"/>
    <w:basedOn w:val="2"/>
    <w:next w:val="1"/>
    <w:qFormat/>
    <w:uiPriority w:val="0"/>
    <w:pPr>
      <w:keepLines w:val="0"/>
      <w:tabs>
        <w:tab w:val="left" w:pos="567"/>
      </w:tabs>
      <w:spacing w:before="240" w:after="0" w:line="240" w:lineRule="auto"/>
      <w:ind w:left="360" w:hanging="360"/>
      <w:jc w:val="both"/>
    </w:pPr>
    <w:rPr>
      <w:rFonts w:ascii="Arial" w:hAnsi="Arial" w:eastAsia="SimSun" w:cs="Times New Roman"/>
      <w:bCs w:val="0"/>
      <w:color w:val="auto"/>
      <w:sz w:val="20"/>
      <w:szCs w:val="20"/>
      <w:lang w:val="pt-BR" w:eastAsia="pt-BR"/>
    </w:rPr>
  </w:style>
  <w:style w:type="paragraph" w:customStyle="1" w:styleId="509">
    <w:name w:val="wmed"/>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10">
    <w:name w:val="jscrollpanedragtop"/>
    <w:basedOn w:val="1"/>
    <w:qFormat/>
    <w:uiPriority w:val="0"/>
    <w:pPr>
      <w:shd w:val="clear" w:color="auto" w:fill="ABDA30"/>
      <w:spacing w:before="100" w:beforeAutospacing="1" w:after="100" w:afterAutospacing="1" w:line="276" w:lineRule="auto"/>
    </w:pPr>
    <w:rPr>
      <w:rFonts w:ascii="Calibri" w:hAnsi="Calibri" w:eastAsia="SimSun"/>
      <w:sz w:val="22"/>
      <w:szCs w:val="22"/>
      <w:lang w:eastAsia="en-US" w:bidi="en-US"/>
    </w:rPr>
  </w:style>
  <w:style w:type="paragraph" w:customStyle="1" w:styleId="511">
    <w:name w:val="jscrollpanetrack"/>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12">
    <w:name w:val="nav_links"/>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13">
    <w:name w:val="Style6"/>
    <w:basedOn w:val="1"/>
    <w:qFormat/>
    <w:uiPriority w:val="99"/>
    <w:pPr>
      <w:widowControl w:val="0"/>
      <w:autoSpaceDE w:val="0"/>
      <w:autoSpaceDN w:val="0"/>
      <w:adjustRightInd w:val="0"/>
      <w:spacing w:line="355" w:lineRule="exact"/>
      <w:ind w:hanging="326"/>
    </w:pPr>
    <w:rPr>
      <w:rFonts w:ascii="Arial" w:hAnsi="Arial" w:eastAsia="SimSun" w:cs="Arial"/>
      <w:sz w:val="24"/>
      <w:szCs w:val="24"/>
    </w:rPr>
  </w:style>
  <w:style w:type="paragraph" w:customStyle="1" w:styleId="514">
    <w:name w:val="Cabeçalho do Sumário1"/>
    <w:basedOn w:val="2"/>
    <w:next w:val="1"/>
    <w:unhideWhenUsed/>
    <w:qFormat/>
    <w:uiPriority w:val="39"/>
    <w:pPr>
      <w:keepLines/>
      <w:spacing w:before="480" w:after="0" w:line="276" w:lineRule="auto"/>
      <w:jc w:val="left"/>
      <w:outlineLvl w:val="9"/>
    </w:pPr>
    <w:rPr>
      <w:rFonts w:ascii="Cambria" w:hAnsi="Cambria" w:eastAsia="SimSun" w:cs="Times New Roman"/>
      <w:color w:val="366091"/>
      <w:sz w:val="28"/>
      <w:szCs w:val="28"/>
      <w:lang w:val="en-US" w:eastAsia="en-US" w:bidi="en-US"/>
    </w:rPr>
  </w:style>
  <w:style w:type="paragraph" w:customStyle="1" w:styleId="515">
    <w:name w:val="wpeq1"/>
    <w:basedOn w:val="1"/>
    <w:qFormat/>
    <w:uiPriority w:val="0"/>
    <w:pPr>
      <w:spacing w:before="100" w:beforeAutospacing="1" w:after="100" w:afterAutospacing="1" w:line="276" w:lineRule="auto"/>
      <w:ind w:right="75"/>
    </w:pPr>
    <w:rPr>
      <w:rFonts w:ascii="Calibri" w:hAnsi="Calibri" w:eastAsia="SimSun"/>
      <w:sz w:val="22"/>
      <w:szCs w:val="22"/>
      <w:lang w:eastAsia="en-US" w:bidi="en-US"/>
    </w:rPr>
  </w:style>
  <w:style w:type="paragraph" w:customStyle="1" w:styleId="516">
    <w:name w:val="wpeq2"/>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17">
    <w:name w:val="Normal + Justificado"/>
    <w:basedOn w:val="1"/>
    <w:qFormat/>
    <w:uiPriority w:val="0"/>
    <w:pPr>
      <w:jc w:val="both"/>
    </w:pPr>
    <w:rPr>
      <w:rFonts w:eastAsia="SimSun"/>
      <w:sz w:val="24"/>
      <w:szCs w:val="24"/>
    </w:rPr>
  </w:style>
  <w:style w:type="paragraph" w:customStyle="1" w:styleId="518">
    <w:name w:val="type21"/>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19">
    <w:name w:val="list1"/>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20">
    <w:name w:val="wpeq"/>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21">
    <w:name w:val="h2-p"/>
    <w:basedOn w:val="1"/>
    <w:qFormat/>
    <w:uiPriority w:val="0"/>
    <w:pPr>
      <w:spacing w:before="105" w:after="105"/>
      <w:jc w:val="both"/>
    </w:pPr>
    <w:rPr>
      <w:rFonts w:eastAsia="SimSun"/>
      <w:color w:val="000000"/>
      <w:sz w:val="24"/>
      <w:szCs w:val="24"/>
    </w:rPr>
  </w:style>
  <w:style w:type="paragraph" w:customStyle="1" w:styleId="522">
    <w:name w:val="label1"/>
    <w:basedOn w:val="1"/>
    <w:qFormat/>
    <w:uiPriority w:val="0"/>
    <w:pPr>
      <w:spacing w:before="100" w:beforeAutospacing="1" w:after="100" w:afterAutospacing="1" w:line="360" w:lineRule="auto"/>
    </w:pPr>
    <w:rPr>
      <w:rFonts w:ascii="Arial" w:hAnsi="Arial" w:eastAsia="SimSun" w:cs="Arial"/>
      <w:color w:val="333333"/>
      <w:sz w:val="18"/>
      <w:szCs w:val="18"/>
      <w:lang w:eastAsia="en-US" w:bidi="en-US"/>
    </w:rPr>
  </w:style>
  <w:style w:type="paragraph" w:customStyle="1" w:styleId="523">
    <w:name w:val="Cabeçalho.encabezado1"/>
    <w:basedOn w:val="1"/>
    <w:qFormat/>
    <w:uiPriority w:val="0"/>
    <w:pPr>
      <w:tabs>
        <w:tab w:val="center" w:pos="4419"/>
        <w:tab w:val="right" w:pos="8838"/>
      </w:tabs>
    </w:pPr>
    <w:rPr>
      <w:rFonts w:ascii="Arial" w:hAnsi="Arial" w:eastAsia="SimSun"/>
      <w:sz w:val="24"/>
      <w:szCs w:val="20"/>
    </w:rPr>
  </w:style>
  <w:style w:type="paragraph" w:customStyle="1" w:styleId="524">
    <w:name w:val="enttxt2"/>
    <w:basedOn w:val="1"/>
    <w:qFormat/>
    <w:uiPriority w:val="0"/>
    <w:pPr>
      <w:pBdr>
        <w:top w:val="single" w:color="004851" w:sz="12" w:space="0"/>
        <w:left w:val="single" w:color="004851" w:sz="12" w:space="0"/>
        <w:bottom w:val="single" w:color="004851" w:sz="12" w:space="0"/>
        <w:right w:val="single" w:color="004851" w:sz="12" w:space="0"/>
      </w:pBdr>
      <w:spacing w:before="100" w:beforeAutospacing="1" w:after="100" w:afterAutospacing="1" w:line="276" w:lineRule="auto"/>
    </w:pPr>
    <w:rPr>
      <w:rFonts w:ascii="Calibri" w:hAnsi="Calibri" w:eastAsia="SimSun"/>
      <w:sz w:val="22"/>
      <w:szCs w:val="22"/>
      <w:lang w:eastAsia="en-US" w:bidi="en-US"/>
    </w:rPr>
  </w:style>
  <w:style w:type="paragraph" w:customStyle="1" w:styleId="525">
    <w:name w:val="medicina_tipo1"/>
    <w:basedOn w:val="1"/>
    <w:qFormat/>
    <w:uiPriority w:val="0"/>
    <w:pPr>
      <w:spacing w:before="100" w:beforeAutospacing="1" w:after="100" w:afterAutospacing="1" w:line="276" w:lineRule="auto"/>
    </w:pPr>
    <w:rPr>
      <w:rFonts w:ascii="Calibri" w:hAnsi="Calibri" w:eastAsia="SimSun"/>
      <w:color w:val="FFFFFF"/>
      <w:sz w:val="17"/>
      <w:szCs w:val="17"/>
      <w:lang w:eastAsia="en-US" w:bidi="en-US"/>
    </w:rPr>
  </w:style>
  <w:style w:type="paragraph" w:customStyle="1" w:styleId="526">
    <w:name w:val="div10"/>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27">
    <w:name w:val="formatf"/>
    <w:basedOn w:val="1"/>
    <w:qFormat/>
    <w:uiPriority w:val="0"/>
    <w:pPr>
      <w:spacing w:after="200" w:line="276" w:lineRule="auto"/>
    </w:pPr>
    <w:rPr>
      <w:rFonts w:ascii="Calibri" w:hAnsi="Calibri" w:eastAsia="SimSun"/>
      <w:sz w:val="22"/>
      <w:szCs w:val="22"/>
      <w:lang w:eastAsia="en-US" w:bidi="en-US"/>
    </w:rPr>
  </w:style>
  <w:style w:type="paragraph" w:customStyle="1" w:styleId="528">
    <w:name w:val="ft_rightcontent_form1"/>
    <w:basedOn w:val="1"/>
    <w:qFormat/>
    <w:uiPriority w:val="0"/>
    <w:pPr>
      <w:spacing w:after="200" w:line="276" w:lineRule="auto"/>
      <w:ind w:right="450"/>
      <w:jc w:val="center"/>
    </w:pPr>
    <w:rPr>
      <w:rFonts w:ascii="Calibri" w:hAnsi="Calibri" w:eastAsia="SimSun"/>
      <w:sz w:val="22"/>
      <w:szCs w:val="22"/>
      <w:lang w:eastAsia="en-US" w:bidi="en-US"/>
    </w:rPr>
  </w:style>
  <w:style w:type="paragraph" w:customStyle="1" w:styleId="529">
    <w:name w:val="div20"/>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30">
    <w:name w:val="ec_msoheader"/>
    <w:basedOn w:val="1"/>
    <w:qFormat/>
    <w:uiPriority w:val="0"/>
    <w:pPr>
      <w:spacing w:before="100" w:beforeAutospacing="1" w:after="100" w:afterAutospacing="1"/>
    </w:pPr>
    <w:rPr>
      <w:rFonts w:eastAsia="SimSun"/>
      <w:sz w:val="24"/>
      <w:szCs w:val="24"/>
    </w:rPr>
  </w:style>
  <w:style w:type="paragraph" w:customStyle="1" w:styleId="531">
    <w:name w:val="Standard"/>
    <w:unhideWhenUsed/>
    <w:qFormat/>
    <w:uiPriority w:val="0"/>
    <w:pPr>
      <w:widowControl w:val="0"/>
      <w:suppressAutoHyphens/>
      <w:autoSpaceDN w:val="0"/>
      <w:spacing w:beforeLines="0" w:afterLines="0"/>
      <w:textAlignment w:val="baseline"/>
    </w:pPr>
    <w:rPr>
      <w:rFonts w:hint="eastAsia" w:ascii="Times New Roman" w:hAnsi="Times New Roman" w:eastAsia="Times New Roman" w:cs="Tahoma"/>
      <w:kern w:val="3"/>
      <w:sz w:val="24"/>
      <w:szCs w:val="24"/>
      <w:lang w:val="de-DE" w:eastAsia="ja-JP" w:bidi="fa-IR"/>
    </w:rPr>
  </w:style>
  <w:style w:type="paragraph" w:customStyle="1" w:styleId="532">
    <w:name w:val="meramente"/>
    <w:basedOn w:val="1"/>
    <w:qFormat/>
    <w:uiPriority w:val="0"/>
    <w:pPr>
      <w:spacing w:before="100" w:beforeAutospacing="1" w:after="100" w:afterAutospacing="1"/>
    </w:pPr>
    <w:rPr>
      <w:rFonts w:eastAsia="SimSun"/>
      <w:sz w:val="24"/>
      <w:szCs w:val="24"/>
    </w:rPr>
  </w:style>
  <w:style w:type="paragraph" w:customStyle="1" w:styleId="533">
    <w:name w:val="listitens"/>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34">
    <w:name w:val="prod"/>
    <w:basedOn w:val="1"/>
    <w:qFormat/>
    <w:uiPriority w:val="0"/>
    <w:pPr>
      <w:spacing w:after="300"/>
    </w:pPr>
    <w:rPr>
      <w:rFonts w:eastAsia="SimSun"/>
      <w:sz w:val="24"/>
      <w:szCs w:val="24"/>
    </w:rPr>
  </w:style>
  <w:style w:type="paragraph" w:customStyle="1" w:styleId="535">
    <w:name w:val="divtraco"/>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36">
    <w:name w:val="boxextra1"/>
    <w:basedOn w:val="1"/>
    <w:qFormat/>
    <w:uiPriority w:val="0"/>
    <w:pPr>
      <w:shd w:val="clear" w:color="auto" w:fill="E8E8BB"/>
      <w:spacing w:before="100" w:beforeAutospacing="1" w:after="300" w:line="360" w:lineRule="auto"/>
    </w:pPr>
    <w:rPr>
      <w:rFonts w:ascii="Calibri" w:hAnsi="Calibri" w:eastAsia="SimSun"/>
      <w:vanish/>
      <w:sz w:val="17"/>
      <w:szCs w:val="17"/>
      <w:lang w:eastAsia="en-US" w:bidi="en-US"/>
    </w:rPr>
  </w:style>
  <w:style w:type="paragraph" w:customStyle="1" w:styleId="537">
    <w:name w:val="enttxt3"/>
    <w:basedOn w:val="1"/>
    <w:qFormat/>
    <w:uiPriority w:val="0"/>
    <w:pPr>
      <w:pBdr>
        <w:top w:val="single" w:color="004851" w:sz="12" w:space="0"/>
        <w:left w:val="single" w:color="004851" w:sz="12" w:space="0"/>
        <w:bottom w:val="single" w:color="004851" w:sz="12" w:space="0"/>
        <w:right w:val="single" w:color="004851" w:sz="12" w:space="0"/>
      </w:pBdr>
      <w:spacing w:before="100" w:beforeAutospacing="1" w:after="100" w:afterAutospacing="1" w:line="276" w:lineRule="auto"/>
    </w:pPr>
    <w:rPr>
      <w:rFonts w:ascii="Calibri" w:hAnsi="Calibri" w:eastAsia="SimSun"/>
      <w:sz w:val="22"/>
      <w:szCs w:val="22"/>
      <w:lang w:eastAsia="en-US" w:bidi="en-US"/>
    </w:rPr>
  </w:style>
  <w:style w:type="paragraph" w:customStyle="1" w:styleId="538">
    <w:name w:val="jscrollpanecontainer"/>
    <w:basedOn w:val="1"/>
    <w:qFormat/>
    <w:uiPriority w:val="0"/>
    <w:pPr>
      <w:spacing w:after="200" w:line="276" w:lineRule="auto"/>
    </w:pPr>
    <w:rPr>
      <w:rFonts w:ascii="Calibri" w:hAnsi="Calibri" w:eastAsia="SimSun"/>
      <w:sz w:val="22"/>
      <w:szCs w:val="22"/>
      <w:lang w:eastAsia="en-US" w:bidi="en-US"/>
    </w:rPr>
  </w:style>
  <w:style w:type="paragraph" w:customStyle="1" w:styleId="539">
    <w:name w:val="Normal + Negrito"/>
    <w:basedOn w:val="1"/>
    <w:qFormat/>
    <w:uiPriority w:val="0"/>
    <w:pPr>
      <w:spacing w:after="200" w:line="276" w:lineRule="auto"/>
    </w:pPr>
    <w:rPr>
      <w:rFonts w:ascii="Calibri" w:hAnsi="Calibri" w:eastAsia="SimSun"/>
      <w:b/>
      <w:sz w:val="22"/>
      <w:szCs w:val="22"/>
      <w:lang w:eastAsia="en-US" w:bidi="en-US"/>
    </w:rPr>
  </w:style>
  <w:style w:type="paragraph" w:customStyle="1" w:styleId="540">
    <w:name w:val="invalid"/>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41">
    <w:name w:val="Normal + Verdana"/>
    <w:basedOn w:val="1"/>
    <w:qFormat/>
    <w:uiPriority w:val="0"/>
    <w:pPr>
      <w:jc w:val="both"/>
    </w:pPr>
    <w:rPr>
      <w:rFonts w:ascii="Arial" w:hAnsi="Arial" w:eastAsia="SimSun" w:cs="Arial"/>
      <w:sz w:val="20"/>
      <w:szCs w:val="20"/>
    </w:rPr>
  </w:style>
  <w:style w:type="paragraph" w:customStyle="1" w:styleId="542">
    <w:name w:val="Normal + Helvetica"/>
    <w:basedOn w:val="1"/>
    <w:qFormat/>
    <w:uiPriority w:val="0"/>
    <w:pPr>
      <w:widowControl w:val="0"/>
      <w:autoSpaceDE w:val="0"/>
      <w:autoSpaceDN w:val="0"/>
      <w:adjustRightInd w:val="0"/>
      <w:spacing w:after="148" w:line="180" w:lineRule="exact"/>
      <w:ind w:left="-1002"/>
    </w:pPr>
    <w:rPr>
      <w:rFonts w:ascii="Helvetica" w:hAnsi="Helvetica" w:eastAsia="SimSun" w:cs="Helvetica"/>
      <w:color w:val="000000"/>
      <w:sz w:val="18"/>
      <w:szCs w:val="18"/>
    </w:rPr>
  </w:style>
  <w:style w:type="paragraph" w:customStyle="1" w:styleId="543">
    <w:name w:val="Style4"/>
    <w:basedOn w:val="1"/>
    <w:qFormat/>
    <w:uiPriority w:val="99"/>
    <w:pPr>
      <w:widowControl w:val="0"/>
      <w:autoSpaceDE w:val="0"/>
      <w:autoSpaceDN w:val="0"/>
      <w:adjustRightInd w:val="0"/>
      <w:spacing w:line="357" w:lineRule="exact"/>
      <w:jc w:val="both"/>
    </w:pPr>
    <w:rPr>
      <w:rFonts w:ascii="Arial" w:hAnsi="Arial" w:eastAsia="SimSun" w:cs="Arial"/>
      <w:sz w:val="24"/>
      <w:szCs w:val="24"/>
    </w:rPr>
  </w:style>
  <w:style w:type="paragraph" w:customStyle="1" w:styleId="544">
    <w:name w:val="link_cinza"/>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45">
    <w:name w:val="invalid1"/>
    <w:basedOn w:val="1"/>
    <w:qFormat/>
    <w:uiPriority w:val="0"/>
    <w:pPr>
      <w:pBdr>
        <w:top w:val="single" w:color="CC0000" w:sz="12" w:space="0"/>
        <w:left w:val="single" w:color="CC0000" w:sz="12" w:space="0"/>
        <w:bottom w:val="single" w:color="CC0000" w:sz="12" w:space="0"/>
        <w:right w:val="single" w:color="CC0000" w:sz="12" w:space="0"/>
      </w:pBdr>
      <w:spacing w:before="100" w:beforeAutospacing="1" w:after="100" w:afterAutospacing="1" w:line="276" w:lineRule="auto"/>
    </w:pPr>
    <w:rPr>
      <w:rFonts w:ascii="Calibri" w:hAnsi="Calibri" w:eastAsia="SimSun"/>
      <w:sz w:val="22"/>
      <w:szCs w:val="22"/>
      <w:lang w:eastAsia="en-US" w:bidi="en-US"/>
    </w:rPr>
  </w:style>
  <w:style w:type="paragraph" w:customStyle="1" w:styleId="546">
    <w:name w:val="logo_rodape_twitter"/>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47">
    <w:name w:val="nav_links1"/>
    <w:basedOn w:val="1"/>
    <w:qFormat/>
    <w:uiPriority w:val="0"/>
    <w:pPr>
      <w:spacing w:after="200" w:line="276" w:lineRule="auto"/>
    </w:pPr>
    <w:rPr>
      <w:rFonts w:ascii="Calibri" w:hAnsi="Calibri" w:eastAsia="SimSun"/>
      <w:sz w:val="22"/>
      <w:szCs w:val="22"/>
      <w:lang w:eastAsia="en-US" w:bidi="en-US"/>
    </w:rPr>
  </w:style>
  <w:style w:type="paragraph" w:customStyle="1" w:styleId="548">
    <w:name w:val="Style8"/>
    <w:basedOn w:val="1"/>
    <w:qFormat/>
    <w:uiPriority w:val="99"/>
    <w:pPr>
      <w:widowControl w:val="0"/>
      <w:autoSpaceDE w:val="0"/>
      <w:autoSpaceDN w:val="0"/>
      <w:adjustRightInd w:val="0"/>
      <w:spacing w:line="355" w:lineRule="exact"/>
      <w:ind w:hanging="499"/>
    </w:pPr>
    <w:rPr>
      <w:rFonts w:ascii="Arial" w:hAnsi="Arial" w:eastAsia="SimSun" w:cs="Arial"/>
      <w:sz w:val="24"/>
      <w:szCs w:val="24"/>
    </w:rPr>
  </w:style>
  <w:style w:type="paragraph" w:customStyle="1" w:styleId="549">
    <w:name w:val="titlinesimple"/>
    <w:basedOn w:val="1"/>
    <w:qFormat/>
    <w:uiPriority w:val="0"/>
    <w:pPr>
      <w:pBdr>
        <w:bottom w:val="single" w:color="007784" w:sz="6" w:space="0"/>
      </w:pBdr>
      <w:spacing w:before="100" w:beforeAutospacing="1" w:after="150" w:line="276" w:lineRule="auto"/>
    </w:pPr>
    <w:rPr>
      <w:rFonts w:ascii="Century Gothic" w:hAnsi="Century Gothic" w:eastAsia="SimSun"/>
      <w:b/>
      <w:bCs/>
      <w:color w:val="004851"/>
      <w:sz w:val="21"/>
      <w:szCs w:val="21"/>
      <w:lang w:eastAsia="en-US" w:bidi="en-US"/>
    </w:rPr>
  </w:style>
  <w:style w:type="paragraph" w:customStyle="1" w:styleId="550">
    <w:name w:val="hidethis"/>
    <w:basedOn w:val="1"/>
    <w:qFormat/>
    <w:uiPriority w:val="0"/>
    <w:pPr>
      <w:spacing w:before="100" w:beforeAutospacing="1" w:after="100" w:afterAutospacing="1" w:line="276" w:lineRule="auto"/>
    </w:pPr>
    <w:rPr>
      <w:rFonts w:ascii="Calibri" w:hAnsi="Calibri" w:eastAsia="SimSun"/>
      <w:vanish/>
      <w:sz w:val="22"/>
      <w:szCs w:val="22"/>
      <w:lang w:eastAsia="en-US" w:bidi="en-US"/>
    </w:rPr>
  </w:style>
  <w:style w:type="paragraph" w:customStyle="1" w:styleId="551">
    <w:name w:val="enttxt"/>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52">
    <w:name w:val="tit"/>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53">
    <w:name w:val="Style5"/>
    <w:basedOn w:val="1"/>
    <w:qFormat/>
    <w:uiPriority w:val="99"/>
    <w:pPr>
      <w:widowControl w:val="0"/>
      <w:autoSpaceDE w:val="0"/>
      <w:autoSpaceDN w:val="0"/>
      <w:adjustRightInd w:val="0"/>
    </w:pPr>
    <w:rPr>
      <w:rFonts w:ascii="Arial" w:hAnsi="Arial" w:eastAsia="SimSun" w:cs="Arial"/>
      <w:sz w:val="24"/>
      <w:szCs w:val="24"/>
    </w:rPr>
  </w:style>
  <w:style w:type="paragraph" w:customStyle="1" w:styleId="554">
    <w:name w:val="jscrollpanedragbottom"/>
    <w:basedOn w:val="1"/>
    <w:qFormat/>
    <w:uiPriority w:val="0"/>
    <w:pPr>
      <w:shd w:val="clear" w:color="auto" w:fill="ABDA30"/>
      <w:spacing w:before="100" w:beforeAutospacing="1" w:after="100" w:afterAutospacing="1" w:line="276" w:lineRule="auto"/>
    </w:pPr>
    <w:rPr>
      <w:rFonts w:ascii="Calibri" w:hAnsi="Calibri" w:eastAsia="SimSun"/>
      <w:sz w:val="22"/>
      <w:szCs w:val="22"/>
      <w:lang w:eastAsia="en-US" w:bidi="en-US"/>
    </w:rPr>
  </w:style>
  <w:style w:type="paragraph" w:customStyle="1" w:styleId="555">
    <w:name w:val="titline"/>
    <w:basedOn w:val="1"/>
    <w:qFormat/>
    <w:uiPriority w:val="0"/>
    <w:pPr>
      <w:pBdr>
        <w:bottom w:val="single" w:color="ABDA30" w:sz="12" w:space="2"/>
      </w:pBdr>
      <w:spacing w:before="100" w:beforeAutospacing="1" w:after="300" w:line="312" w:lineRule="auto"/>
    </w:pPr>
    <w:rPr>
      <w:rFonts w:ascii="Century Gothic" w:hAnsi="Century Gothic" w:eastAsia="SimSun"/>
      <w:b/>
      <w:bCs/>
      <w:color w:val="004851"/>
      <w:sz w:val="27"/>
      <w:szCs w:val="27"/>
      <w:lang w:eastAsia="en-US" w:bidi="en-US"/>
    </w:rPr>
  </w:style>
  <w:style w:type="paragraph" w:customStyle="1" w:styleId="556">
    <w:name w:val="titline1"/>
    <w:basedOn w:val="1"/>
    <w:qFormat/>
    <w:uiPriority w:val="0"/>
    <w:pPr>
      <w:pBdr>
        <w:bottom w:val="single" w:color="ABDA30" w:sz="12" w:space="2"/>
      </w:pBdr>
      <w:spacing w:before="100" w:beforeAutospacing="1" w:after="300" w:line="312" w:lineRule="auto"/>
    </w:pPr>
    <w:rPr>
      <w:rFonts w:ascii="Century Gothic" w:hAnsi="Century Gothic" w:eastAsia="SimSun"/>
      <w:b/>
      <w:bCs/>
      <w:color w:val="004851"/>
      <w:sz w:val="27"/>
      <w:szCs w:val="27"/>
      <w:lang w:eastAsia="en-US" w:bidi="en-US"/>
    </w:rPr>
  </w:style>
  <w:style w:type="paragraph" w:customStyle="1" w:styleId="557">
    <w:name w:val="Nivel1"/>
    <w:basedOn w:val="2"/>
    <w:next w:val="1"/>
    <w:qFormat/>
    <w:uiPriority w:val="0"/>
    <w:pPr>
      <w:keepLines w:val="0"/>
      <w:spacing w:before="0" w:after="0" w:line="276" w:lineRule="auto"/>
      <w:ind w:left="357" w:hanging="357"/>
      <w:jc w:val="both"/>
    </w:pPr>
    <w:rPr>
      <w:rFonts w:ascii="Arial" w:hAnsi="Arial" w:eastAsia="SimSun" w:cs="Arial"/>
      <w:bCs w:val="0"/>
      <w:color w:val="000000"/>
      <w:sz w:val="20"/>
      <w:szCs w:val="20"/>
      <w:lang w:val="pt-BR" w:eastAsia="pt-BR"/>
    </w:rPr>
  </w:style>
  <w:style w:type="paragraph" w:customStyle="1" w:styleId="558">
    <w:name w:val="clearfull"/>
    <w:basedOn w:val="1"/>
    <w:qFormat/>
    <w:uiPriority w:val="0"/>
    <w:pPr>
      <w:spacing w:after="100" w:afterAutospacing="1" w:line="276" w:lineRule="auto"/>
    </w:pPr>
    <w:rPr>
      <w:rFonts w:ascii="Calibri" w:hAnsi="Calibri" w:eastAsia="SimSun"/>
      <w:sz w:val="22"/>
      <w:szCs w:val="22"/>
      <w:lang w:eastAsia="en-US" w:bidi="en-US"/>
    </w:rPr>
  </w:style>
  <w:style w:type="paragraph" w:customStyle="1" w:styleId="559">
    <w:name w:val="errocontainer"/>
    <w:basedOn w:val="1"/>
    <w:qFormat/>
    <w:uiPriority w:val="0"/>
    <w:pPr>
      <w:spacing w:after="200" w:line="276" w:lineRule="auto"/>
    </w:pPr>
    <w:rPr>
      <w:rFonts w:ascii="Calibri" w:hAnsi="Calibri" w:eastAsia="SimSun"/>
      <w:color w:val="FF0000"/>
      <w:sz w:val="18"/>
      <w:szCs w:val="18"/>
      <w:lang w:eastAsia="en-US" w:bidi="en-US"/>
    </w:rPr>
  </w:style>
  <w:style w:type="paragraph" w:customStyle="1" w:styleId="560">
    <w:name w:val="type2"/>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61">
    <w:name w:val="_Style 560"/>
    <w:basedOn w:val="2"/>
    <w:next w:val="1"/>
    <w:qFormat/>
    <w:uiPriority w:val="39"/>
    <w:pPr>
      <w:keepLines/>
      <w:spacing w:before="480" w:line="276" w:lineRule="auto"/>
      <w:jc w:val="left"/>
      <w:outlineLvl w:val="9"/>
    </w:pPr>
    <w:rPr>
      <w:rFonts w:ascii="Cambria" w:hAnsi="Cambria" w:eastAsia="SimSun"/>
      <w:b w:val="0"/>
      <w:bCs w:val="0"/>
      <w:color w:val="365F91"/>
      <w:sz w:val="28"/>
      <w:szCs w:val="28"/>
      <w:lang w:val="en-US" w:eastAsia="en-US"/>
    </w:rPr>
  </w:style>
  <w:style w:type="paragraph" w:customStyle="1" w:styleId="562">
    <w:name w:val="logo_rodape_itmidia1"/>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63">
    <w:name w:val="listitens1"/>
    <w:basedOn w:val="1"/>
    <w:qFormat/>
    <w:uiPriority w:val="0"/>
    <w:pPr>
      <w:spacing w:after="100" w:afterAutospacing="1" w:line="360" w:lineRule="auto"/>
    </w:pPr>
    <w:rPr>
      <w:rFonts w:ascii="Calibri" w:hAnsi="Calibri" w:eastAsia="SimSun"/>
      <w:sz w:val="18"/>
      <w:szCs w:val="18"/>
      <w:lang w:eastAsia="en-US" w:bidi="en-US"/>
    </w:rPr>
  </w:style>
  <w:style w:type="paragraph" w:customStyle="1" w:styleId="564">
    <w:name w:val="ultimas_noticias"/>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65">
    <w:name w:val="logo_rodape_peabirus1"/>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66">
    <w:name w:val="ft_nossaslojas1"/>
    <w:basedOn w:val="1"/>
    <w:qFormat/>
    <w:uiPriority w:val="0"/>
    <w:pPr>
      <w:spacing w:before="100" w:beforeAutospacing="1" w:after="100" w:afterAutospacing="1" w:line="165" w:lineRule="atLeast"/>
      <w:ind w:left="60"/>
    </w:pPr>
    <w:rPr>
      <w:rFonts w:ascii="Trebuchet MS" w:hAnsi="Trebuchet MS" w:eastAsia="SimSun"/>
      <w:color w:val="666666"/>
      <w:sz w:val="17"/>
      <w:szCs w:val="17"/>
      <w:lang w:eastAsia="en-US" w:bidi="en-US"/>
    </w:rPr>
  </w:style>
  <w:style w:type="paragraph" w:customStyle="1" w:styleId="567">
    <w:name w:val="hidetxt"/>
    <w:basedOn w:val="1"/>
    <w:qFormat/>
    <w:uiPriority w:val="0"/>
    <w:pPr>
      <w:spacing w:before="100" w:beforeAutospacing="1" w:after="100" w:afterAutospacing="1" w:line="0" w:lineRule="auto"/>
      <w:ind w:firstLine="7343"/>
    </w:pPr>
    <w:rPr>
      <w:rFonts w:ascii="Calibri" w:hAnsi="Calibri" w:eastAsia="SimSun"/>
      <w:sz w:val="2"/>
      <w:szCs w:val="2"/>
      <w:lang w:eastAsia="en-US" w:bidi="en-US"/>
    </w:rPr>
  </w:style>
  <w:style w:type="paragraph" w:customStyle="1" w:styleId="568">
    <w:name w:val="medicina_tipo"/>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69">
    <w:name w:val="Normal + 8 pt"/>
    <w:basedOn w:val="1"/>
    <w:qFormat/>
    <w:uiPriority w:val="0"/>
    <w:pPr>
      <w:spacing w:after="200" w:line="276" w:lineRule="auto"/>
    </w:pPr>
    <w:rPr>
      <w:rFonts w:ascii="Arial" w:hAnsi="Arial" w:eastAsia="SimSun" w:cs="Arial"/>
      <w:b/>
      <w:color w:val="008000"/>
      <w:sz w:val="16"/>
      <w:szCs w:val="16"/>
      <w:lang w:eastAsia="en-US" w:bidi="en-US"/>
    </w:rPr>
  </w:style>
  <w:style w:type="paragraph" w:customStyle="1" w:styleId="570">
    <w:name w:val="tit1"/>
    <w:basedOn w:val="1"/>
    <w:qFormat/>
    <w:uiPriority w:val="0"/>
    <w:pPr>
      <w:spacing w:before="100" w:beforeAutospacing="1" w:after="100" w:afterAutospacing="1" w:line="276" w:lineRule="auto"/>
    </w:pPr>
    <w:rPr>
      <w:rFonts w:ascii="Calibri" w:hAnsi="Calibri" w:eastAsia="SimSun"/>
      <w:b/>
      <w:bCs/>
      <w:color w:val="004851"/>
      <w:sz w:val="22"/>
      <w:szCs w:val="22"/>
      <w:lang w:eastAsia="en-US" w:bidi="en-US"/>
    </w:rPr>
  </w:style>
  <w:style w:type="paragraph" w:customStyle="1" w:styleId="571">
    <w:name w:val="ultimas_noticias1"/>
    <w:basedOn w:val="1"/>
    <w:qFormat/>
    <w:uiPriority w:val="0"/>
    <w:pPr>
      <w:spacing w:before="100" w:beforeAutospacing="1" w:after="300" w:line="276" w:lineRule="auto"/>
    </w:pPr>
    <w:rPr>
      <w:rFonts w:ascii="Calibri" w:hAnsi="Calibri" w:eastAsia="SimSun"/>
      <w:sz w:val="22"/>
      <w:szCs w:val="22"/>
      <w:lang w:eastAsia="en-US" w:bidi="en-US"/>
    </w:rPr>
  </w:style>
  <w:style w:type="paragraph" w:customStyle="1" w:styleId="572">
    <w:name w:val="Normal + Antes:  5 pt"/>
    <w:basedOn w:val="1"/>
    <w:qFormat/>
    <w:uiPriority w:val="0"/>
    <w:pPr>
      <w:widowControl w:val="0"/>
      <w:autoSpaceDE w:val="0"/>
      <w:autoSpaceDN w:val="0"/>
      <w:adjustRightInd w:val="0"/>
      <w:spacing w:after="150" w:line="180" w:lineRule="exact"/>
    </w:pPr>
    <w:rPr>
      <w:rFonts w:ascii="Helvetica" w:hAnsi="Helvetica" w:eastAsia="SimSun" w:cs="Helvetica"/>
      <w:color w:val="000000"/>
      <w:sz w:val="20"/>
      <w:szCs w:val="20"/>
    </w:rPr>
  </w:style>
  <w:style w:type="paragraph" w:customStyle="1" w:styleId="573">
    <w:name w:val="wpeq21"/>
    <w:basedOn w:val="1"/>
    <w:qFormat/>
    <w:uiPriority w:val="0"/>
    <w:pPr>
      <w:spacing w:before="100" w:beforeAutospacing="1" w:after="100" w:afterAutospacing="1" w:line="276" w:lineRule="auto"/>
      <w:ind w:right="75"/>
    </w:pPr>
    <w:rPr>
      <w:rFonts w:ascii="Calibri" w:hAnsi="Calibri" w:eastAsia="SimSun"/>
      <w:sz w:val="22"/>
      <w:szCs w:val="22"/>
      <w:lang w:eastAsia="en-US" w:bidi="en-US"/>
    </w:rPr>
  </w:style>
  <w:style w:type="paragraph" w:customStyle="1" w:styleId="574">
    <w:name w:val="ecxmsonormal"/>
    <w:basedOn w:val="1"/>
    <w:qFormat/>
    <w:uiPriority w:val="0"/>
    <w:rPr>
      <w:rFonts w:eastAsia="SimSun"/>
      <w:sz w:val="24"/>
      <w:szCs w:val="24"/>
    </w:rPr>
  </w:style>
  <w:style w:type="paragraph" w:customStyle="1" w:styleId="575">
    <w:name w:val="wmed1"/>
    <w:basedOn w:val="1"/>
    <w:qFormat/>
    <w:uiPriority w:val="0"/>
    <w:pPr>
      <w:spacing w:before="100" w:beforeAutospacing="1" w:after="100" w:afterAutospacing="1" w:line="276" w:lineRule="auto"/>
      <w:ind w:right="75"/>
    </w:pPr>
    <w:rPr>
      <w:rFonts w:ascii="Calibri" w:hAnsi="Calibri" w:eastAsia="SimSun"/>
      <w:sz w:val="22"/>
      <w:szCs w:val="22"/>
      <w:lang w:eastAsia="en-US" w:bidi="en-US"/>
    </w:rPr>
  </w:style>
  <w:style w:type="paragraph" w:customStyle="1" w:styleId="576">
    <w:name w:val="enttxt1"/>
    <w:basedOn w:val="1"/>
    <w:qFormat/>
    <w:uiPriority w:val="0"/>
    <w:pPr>
      <w:pBdr>
        <w:top w:val="single" w:color="007784" w:sz="12" w:space="0"/>
        <w:left w:val="single" w:color="007784" w:sz="12" w:space="0"/>
        <w:bottom w:val="single" w:color="007784" w:sz="12" w:space="0"/>
        <w:right w:val="single" w:color="007784" w:sz="12" w:space="0"/>
      </w:pBdr>
      <w:spacing w:before="100" w:beforeAutospacing="1" w:after="100" w:afterAutospacing="1" w:line="276" w:lineRule="auto"/>
    </w:pPr>
    <w:rPr>
      <w:rFonts w:ascii="Calibri" w:hAnsi="Calibri" w:eastAsia="SimSun"/>
      <w:color w:val="666666"/>
      <w:sz w:val="22"/>
      <w:szCs w:val="22"/>
      <w:lang w:eastAsia="en-US" w:bidi="en-US"/>
    </w:rPr>
  </w:style>
  <w:style w:type="paragraph" w:customStyle="1" w:styleId="577">
    <w:name w:val="jscrollpanedrag"/>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78">
    <w:name w:val="logo_rodape_itmidia"/>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79">
    <w:name w:val="link_cinza1"/>
    <w:basedOn w:val="1"/>
    <w:qFormat/>
    <w:uiPriority w:val="0"/>
    <w:pPr>
      <w:spacing w:before="100" w:beforeAutospacing="1" w:after="100" w:afterAutospacing="1" w:line="276" w:lineRule="auto"/>
    </w:pPr>
    <w:rPr>
      <w:rFonts w:ascii="Calibri" w:hAnsi="Calibri" w:eastAsia="SimSun"/>
      <w:color w:val="666666"/>
      <w:sz w:val="22"/>
      <w:szCs w:val="22"/>
      <w:lang w:eastAsia="en-US" w:bidi="en-US"/>
    </w:rPr>
  </w:style>
  <w:style w:type="paragraph" w:customStyle="1" w:styleId="580">
    <w:name w:val="logo_rodape_twitter1"/>
    <w:basedOn w:val="1"/>
    <w:qFormat/>
    <w:uiPriority w:val="0"/>
    <w:pPr>
      <w:spacing w:before="100" w:beforeAutospacing="1" w:after="100" w:afterAutospacing="1" w:line="276" w:lineRule="auto"/>
    </w:pPr>
    <w:rPr>
      <w:rFonts w:ascii="Calibri" w:hAnsi="Calibri" w:eastAsia="SimSun"/>
      <w:sz w:val="22"/>
      <w:szCs w:val="22"/>
      <w:lang w:eastAsia="en-US" w:bidi="en-US"/>
    </w:rPr>
  </w:style>
  <w:style w:type="paragraph" w:customStyle="1" w:styleId="581">
    <w:name w:val="Style"/>
    <w:qFormat/>
    <w:uiPriority w:val="0"/>
    <w:pPr>
      <w:widowControl w:val="0"/>
      <w:autoSpaceDE w:val="0"/>
      <w:autoSpaceDN w:val="0"/>
      <w:adjustRightInd w:val="0"/>
    </w:pPr>
    <w:rPr>
      <w:rFonts w:ascii="TimesNewRomanPSMT" w:hAnsi="TimesNewRomanPSMT" w:eastAsia="SimSun" w:cs="TimesNewRomanPSMT"/>
      <w:sz w:val="24"/>
      <w:szCs w:val="24"/>
      <w:lang w:val="pt-BR" w:eastAsia="zh-CN" w:bidi="ar-SA"/>
    </w:rPr>
  </w:style>
  <w:style w:type="paragraph" w:customStyle="1" w:styleId="582">
    <w:name w:val="normal-p-p0"/>
    <w:basedOn w:val="1"/>
    <w:qFormat/>
    <w:uiPriority w:val="0"/>
    <w:pPr>
      <w:jc w:val="both"/>
    </w:pPr>
    <w:rPr>
      <w:rFonts w:eastAsia="SimSun"/>
      <w:color w:val="000000"/>
      <w:sz w:val="24"/>
      <w:szCs w:val="24"/>
    </w:rPr>
  </w:style>
  <w:style w:type="paragraph" w:customStyle="1" w:styleId="583">
    <w:name w:val="Style3"/>
    <w:basedOn w:val="1"/>
    <w:qFormat/>
    <w:uiPriority w:val="99"/>
    <w:pPr>
      <w:widowControl w:val="0"/>
      <w:autoSpaceDE w:val="0"/>
      <w:autoSpaceDN w:val="0"/>
      <w:adjustRightInd w:val="0"/>
    </w:pPr>
    <w:rPr>
      <w:rFonts w:ascii="Arial" w:hAnsi="Arial" w:eastAsia="SimSun" w:cs="Arial"/>
      <w:sz w:val="24"/>
      <w:szCs w:val="24"/>
    </w:rPr>
  </w:style>
  <w:style w:type="table" w:customStyle="1" w:styleId="584">
    <w:name w:val="Tabela com grade1"/>
    <w:basedOn w:val="12"/>
    <w:qFormat/>
    <w:uiPriority w:val="59"/>
    <w:rPr>
      <w:rFonts w:ascii="Calibri" w:hAnsi="Calibri" w:eastAsia="Calibri"/>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6697A7E-72E1-4B2E-88AD-0C9F74A028DC}">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28318</Words>
  <Characters>161698</Characters>
  <Lines>1372</Lines>
  <Paragraphs>389</Paragraphs>
  <TotalTime>1</TotalTime>
  <ScaleCrop>false</ScaleCrop>
  <LinksUpToDate>false</LinksUpToDate>
  <CharactersWithSpaces>189347</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2019-08-05T13:54:00Z</dcterms:created>
  <dc:creator>CIBELE</dc:creator>
  <cp:lastModifiedBy>User</cp:lastModifiedBy>
  <cp:lastPrinted>2023-03-16T12:05:00Z</cp:lastPrinted>
  <dcterms:modified xsi:type="dcterms:W3CDTF">2023-11-10T12:38:45Z</dcterms:modified>
  <dc:title>EDITAL DE PREGÃO PRESENCIAL Nº 048/2007/SAD</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1046-12.2.0.13306</vt:lpwstr>
  </property>
  <property fmtid="{D5CDD505-2E9C-101B-9397-08002B2CF9AE}" pid="3" name="ICV">
    <vt:lpwstr>272DCE6F5E7F4394A137D13FD8503514</vt:lpwstr>
  </property>
</Properties>
</file>