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017/2022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2045/2022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339"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EXECUTIVO MUNICIPAL</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DA OBRA DE CONSTRUÇÃO DA </w:t>
                  </w:r>
                  <w:r>
                    <w:rPr>
                      <w:rFonts w:hint="default" w:ascii="Arial" w:hAnsi="Arial" w:cs="Arial"/>
                      <w:b/>
                      <w:bCs/>
                      <w:sz w:val="20"/>
                      <w:szCs w:val="20"/>
                      <w:u w:val="single"/>
                      <w:lang w:val="pt-BR"/>
                    </w:rPr>
                    <w:t>6ª COMPANHIA INDEPENDENTE BOMBEIRO MILITAR “6ª CIBM”</w:t>
                  </w:r>
                  <w:r>
                    <w:rPr>
                      <w:rFonts w:hint="default" w:ascii="Arial" w:hAnsi="Arial" w:cs="Arial"/>
                      <w:sz w:val="20"/>
                      <w:szCs w:val="20"/>
                      <w:lang w:val="pt-BR"/>
                    </w:rPr>
                    <w:t xml:space="preserve">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18/05/2023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21"/>
                      <w:szCs w:val="21"/>
                    </w:rPr>
                    <w:t>Comissão Permane</w:t>
                  </w:r>
                  <w:r>
                    <w:rPr>
                      <w:rFonts w:hint="default" w:ascii="Arial" w:hAnsi="Arial" w:cs="Arial"/>
                      <w:sz w:val="21"/>
                      <w:szCs w:val="21"/>
                      <w:lang w:val="pt-BR"/>
                    </w:rPr>
                    <w:t>n</w:t>
                  </w:r>
                  <w:r>
                    <w:rPr>
                      <w:rFonts w:ascii="Arial" w:hAnsi="Arial" w:cs="Arial"/>
                      <w:sz w:val="21"/>
                      <w:szCs w:val="21"/>
                    </w:rPr>
                    <w:t>te de Licitação – Setor de Licitações - Telefone: (66) 3498-3333 Ramal 215. Atendimento: 07hs ás 1</w:t>
                  </w:r>
                  <w:r>
                    <w:rPr>
                      <w:rFonts w:hint="default" w:ascii="Arial" w:hAnsi="Arial" w:cs="Arial"/>
                      <w:sz w:val="21"/>
                      <w:szCs w:val="21"/>
                      <w:lang w:val="pt-BR"/>
                    </w:rPr>
                    <w:t>3</w:t>
                  </w:r>
                  <w:r>
                    <w:rPr>
                      <w:rFonts w:ascii="Arial" w:hAnsi="Arial" w:cs="Arial"/>
                      <w:sz w:val="21"/>
                      <w:szCs w:val="21"/>
                    </w:rPr>
                    <w:t xml:space="preserve">hs.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017/2022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2045/2022</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lang w:val="pt-BR"/>
        </w:rPr>
        <w:t>EXECUTIVO MUNICIPAL</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024</w:t>
      </w:r>
      <w:r>
        <w:rPr>
          <w:highlight w:val="none"/>
        </w:rPr>
        <w:t>/20</w:t>
      </w:r>
      <w:r>
        <w:rPr>
          <w:rFonts w:hint="default"/>
          <w:highlight w:val="none"/>
          <w:lang w:val="pt-BR"/>
        </w:rPr>
        <w:t>23</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23</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EXECUTIVO MUNICIPAL</w:t>
      </w:r>
      <w:r>
        <w:t xml:space="preserve">, conforme consta no Processo Administrativo nº </w:t>
      </w:r>
      <w:r>
        <w:rPr>
          <w:rFonts w:hint="default"/>
          <w:lang w:val="pt-BR"/>
        </w:rPr>
        <w:t>2045</w:t>
      </w:r>
      <w:r>
        <w:rPr>
          <w:lang w:val="pt-BR"/>
        </w:rPr>
        <w:t>/2022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18/05/2023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R$ 3.965.075,76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w:t>
      </w:r>
      <w:r>
        <w:rPr>
          <w:rFonts w:hint="default"/>
        </w:rPr>
        <w:t>Frustrar ou fraudar, com o intuito de obter para si ou para outrem vantagem decorrente da adjudicação do objeto da licitação, o caráter competitivo do processo licitatório:</w:t>
      </w:r>
      <w:r>
        <w:rPr>
          <w:rFonts w:hint="default"/>
          <w:lang w:val="pt-BR"/>
        </w:rPr>
        <w:t xml:space="preserve"> </w:t>
      </w:r>
      <w:r>
        <w:rPr>
          <w:rFonts w:hint="default"/>
        </w:rPr>
        <w:t>Pena - reclusão, de 4 (quatro) anos a 8 (oito) anos, e multa.</w:t>
      </w:r>
      <w:r>
        <w:t xml:space="preserve">, nos termos do artigo </w:t>
      </w:r>
      <w:r>
        <w:rPr>
          <w:rFonts w:hint="default"/>
          <w:lang w:val="pt-BR"/>
        </w:rPr>
        <w:t>337</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017/2022</w:t>
            </w:r>
            <w:r>
              <w:rPr>
                <w:rFonts w:hint="default" w:ascii="Arial" w:hAnsi="Arial" w:cs="Arial"/>
                <w:b/>
                <w:bCs/>
                <w:sz w:val="22"/>
                <w:szCs w:val="22"/>
              </w:rPr>
              <w:t xml:space="preserve"> PROCESSO Nº </w:t>
            </w:r>
            <w:r>
              <w:rPr>
                <w:rFonts w:hint="default" w:ascii="Arial" w:hAnsi="Arial" w:cs="Arial"/>
                <w:b/>
                <w:bCs/>
                <w:sz w:val="22"/>
                <w:szCs w:val="22"/>
                <w:lang w:val="pt-BR"/>
              </w:rPr>
              <w:t>2045/2022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18/05/2023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017/2022</w:t>
            </w:r>
            <w:r>
              <w:rPr>
                <w:rFonts w:hint="default" w:ascii="Arial" w:hAnsi="Arial" w:cs="Arial"/>
                <w:b/>
                <w:bCs/>
                <w:sz w:val="22"/>
                <w:szCs w:val="22"/>
              </w:rPr>
              <w:t xml:space="preserve"> PROCESSO Nº </w:t>
            </w:r>
            <w:r>
              <w:rPr>
                <w:rFonts w:hint="default" w:ascii="Arial" w:hAnsi="Arial" w:cs="Arial"/>
                <w:b/>
                <w:bCs/>
                <w:sz w:val="22"/>
                <w:szCs w:val="22"/>
                <w:lang w:val="pt-BR"/>
              </w:rPr>
              <w:t>2045/2022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18/05/2023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w:t>
      </w:r>
      <w:r>
        <w:rPr>
          <w:rFonts w:hint="default" w:ascii="Arial" w:hAnsi="Arial" w:cs="Arial"/>
          <w:b/>
          <w:sz w:val="22"/>
          <w:szCs w:val="22"/>
          <w:lang w:val="pt-BR"/>
        </w:rPr>
        <w:t xml:space="preserve">2)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lang w:val="pt-BR"/>
        </w:rPr>
      </w:pP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4232"/>
        <w:gridCol w:w="1036"/>
        <w:gridCol w:w="1214"/>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4232"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36"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214"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192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firstLine="90" w:firstLineChars="5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w:t>
            </w:r>
          </w:p>
        </w:tc>
        <w:tc>
          <w:tcPr>
            <w:tcW w:w="4232" w:type="dxa"/>
            <w:vAlign w:val="bottom"/>
          </w:tcPr>
          <w:p>
            <w:pPr>
              <w:keepNext w:val="0"/>
              <w:keepLines w:val="0"/>
              <w:widowControl/>
              <w:suppressLineNumbers w:val="0"/>
              <w:jc w:val="both"/>
              <w:textAlignment w:val="bottom"/>
              <w:rPr>
                <w:rFonts w:hint="default" w:ascii="Arial" w:hAnsi="Arial" w:eastAsia="Times New Roman" w:cs="Arial"/>
                <w:b w:val="0"/>
                <w:bCs/>
                <w:sz w:val="20"/>
                <w:szCs w:val="20"/>
                <w:lang w:val="pt-BR" w:eastAsia="pt-PT" w:bidi="ar-SA"/>
              </w:rPr>
            </w:pPr>
            <w:r>
              <w:rPr>
                <w:rFonts w:hint="default" w:ascii="Arial" w:hAnsi="Arial" w:eastAsia="Times New Roman" w:cs="Arial"/>
                <w:b w:val="0"/>
                <w:bCs/>
                <w:sz w:val="20"/>
                <w:szCs w:val="20"/>
                <w:lang w:val="en-US" w:eastAsia="zh-CN" w:bidi="ar-SA"/>
              </w:rPr>
              <w:t>ESTACA HÉLICE CONTÍNUA, DIÂMETRO DE 30 CM, INCLUSO CONCRETO FCK=30MPA E ARMADURA MÍNIMA (EXCLUSIVE MOBILIZAÇÃO, DESMOBILIZAÇÃO E BOMBEAMENTO). AF_12/2019</w:t>
            </w:r>
          </w:p>
        </w:tc>
        <w:tc>
          <w:tcPr>
            <w:tcW w:w="1036"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w:t>
            </w:r>
          </w:p>
        </w:tc>
        <w:tc>
          <w:tcPr>
            <w:tcW w:w="1214"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1.094,00</w:t>
            </w:r>
          </w:p>
        </w:tc>
        <w:tc>
          <w:tcPr>
            <w:tcW w:w="192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547,00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w:t>
            </w:r>
          </w:p>
        </w:tc>
        <w:tc>
          <w:tcPr>
            <w:tcW w:w="4232" w:type="dxa"/>
            <w:vAlign w:val="bottom"/>
          </w:tcPr>
          <w:p>
            <w:pPr>
              <w:keepNext w:val="0"/>
              <w:keepLines w:val="0"/>
              <w:widowControl/>
              <w:suppressLineNumbers w:val="0"/>
              <w:jc w:val="both"/>
              <w:textAlignment w:val="bottom"/>
              <w:rPr>
                <w:rFonts w:hint="default" w:ascii="Arial" w:hAnsi="Arial" w:eastAsia="Times New Roman" w:cs="Arial"/>
                <w:b w:val="0"/>
                <w:bCs/>
                <w:sz w:val="20"/>
                <w:szCs w:val="20"/>
                <w:lang w:val="pt-BR" w:eastAsia="pt-PT" w:bidi="ar-SA"/>
              </w:rPr>
            </w:pPr>
            <w:r>
              <w:rPr>
                <w:rFonts w:hint="default" w:ascii="Arial" w:hAnsi="Arial" w:eastAsia="Times New Roman" w:cs="Arial"/>
                <w:b w:val="0"/>
                <w:bCs/>
                <w:sz w:val="20"/>
                <w:szCs w:val="20"/>
                <w:lang w:val="en-US" w:eastAsia="zh-CN" w:bidi="ar-SA"/>
              </w:rPr>
              <w:t>FORNECIMENTO DE ESTRUTURA METÁLICA  COM UTILIZAÇÃO DE PERFIS EM AÇO ASTM A36</w:t>
            </w:r>
          </w:p>
        </w:tc>
        <w:tc>
          <w:tcPr>
            <w:tcW w:w="1036"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KG</w:t>
            </w:r>
          </w:p>
        </w:tc>
        <w:tc>
          <w:tcPr>
            <w:tcW w:w="1214"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20.964,91</w:t>
            </w:r>
          </w:p>
        </w:tc>
        <w:tc>
          <w:tcPr>
            <w:tcW w:w="192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10.482,00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w:t>
            </w:r>
          </w:p>
        </w:tc>
        <w:tc>
          <w:tcPr>
            <w:tcW w:w="4232" w:type="dxa"/>
            <w:vAlign w:val="bottom"/>
          </w:tcPr>
          <w:p>
            <w:pPr>
              <w:keepNext w:val="0"/>
              <w:keepLines w:val="0"/>
              <w:widowControl/>
              <w:suppressLineNumbers w:val="0"/>
              <w:jc w:val="both"/>
              <w:textAlignment w:val="bottom"/>
              <w:rPr>
                <w:rFonts w:hint="default" w:ascii="Arial" w:hAnsi="Arial" w:eastAsia="Times New Roman" w:cs="Arial"/>
                <w:b w:val="0"/>
                <w:bCs/>
                <w:sz w:val="20"/>
                <w:szCs w:val="20"/>
                <w:lang w:val="pt-BR" w:eastAsia="zh-CN" w:bidi="ar-SA"/>
              </w:rPr>
            </w:pPr>
            <w:r>
              <w:rPr>
                <w:rFonts w:hint="default" w:ascii="Arial" w:hAnsi="Arial" w:eastAsia="Times New Roman" w:cs="Arial"/>
                <w:b w:val="0"/>
                <w:bCs/>
                <w:sz w:val="20"/>
                <w:szCs w:val="20"/>
                <w:lang w:val="en-US" w:eastAsia="zh-CN" w:bidi="ar-SA"/>
              </w:rPr>
              <w:t>EXECUÇÃO DE PASSEIO (CALÇADA) OU PISO DE CONCRETO COM CONCRETO MOLDADO IN LOCO, USINADO, ACABAMENTO CONVENCIONAL, NÃO ARMADO. AF_07/2016</w:t>
            </w:r>
          </w:p>
        </w:tc>
        <w:tc>
          <w:tcPr>
            <w:tcW w:w="1036"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214"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2.330,04</w:t>
            </w:r>
          </w:p>
        </w:tc>
        <w:tc>
          <w:tcPr>
            <w:tcW w:w="192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1.165,00</w:t>
            </w:r>
          </w:p>
        </w:tc>
      </w:tr>
    </w:tbl>
    <w:p>
      <w:pPr>
        <w:pStyle w:val="21"/>
        <w:numPr>
          <w:ilvl w:val="0"/>
          <w:numId w:val="0"/>
        </w:numPr>
        <w:ind w:left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lang w:val="pt-BR"/>
        </w:rPr>
      </w:pPr>
      <w:r>
        <w:rPr>
          <w:rFonts w:hint="default"/>
          <w:b/>
          <w:bCs w:val="0"/>
          <w:lang w:val="pt-BR"/>
        </w:rPr>
        <w:t xml:space="preserve">14.14 </w:t>
      </w:r>
      <w:r>
        <w:rPr>
          <w:rFonts w:hint="default"/>
          <w:b w:val="0"/>
          <w:bCs/>
          <w:lang w:val="pt-BR"/>
        </w:rPr>
        <w:tab/>
      </w:r>
      <w:r>
        <w:rPr>
          <w:rFonts w:hint="default"/>
          <w:b w:val="0"/>
          <w:bCs/>
          <w:lang w:val="pt-BR"/>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lang w:val="pt-BR"/>
        </w:rPr>
      </w:pPr>
      <w:r>
        <w:rPr>
          <w:rFonts w:hint="default"/>
          <w:b/>
          <w:bCs w:val="0"/>
          <w:lang w:val="pt-BR"/>
        </w:rPr>
        <w:t>/</w:t>
      </w:r>
      <w:r>
        <w:rPr>
          <w:rFonts w:hint="default"/>
          <w:b w:val="0"/>
          <w:bCs/>
          <w:lang w:val="pt-BR"/>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lang w:val="pt-BR"/>
        </w:rPr>
      </w:pPr>
      <w:r>
        <w:rPr>
          <w:rFonts w:hint="default"/>
          <w:b w:val="0"/>
          <w:bCs/>
          <w:lang w:val="pt-BR"/>
        </w:rPr>
        <w:t>14.15. Se a proposta de preço não for aceitável, a Comissão de Licitação examinará a proposta subsequente, e, assim sucessivamente, na ordem de classificação;</w:t>
      </w:r>
    </w:p>
    <w:p>
      <w:pPr>
        <w:pStyle w:val="346"/>
        <w:keepNext w:val="0"/>
        <w:keepLines w:val="0"/>
        <w:pageBreakBefore w:val="0"/>
        <w:kinsoku/>
        <w:wordWrap/>
        <w:overflowPunct/>
        <w:topLinePunct w:val="0"/>
        <w:bidi w:val="0"/>
        <w:snapToGrid/>
        <w:spacing w:before="0" w:beforeAutospacing="0" w:after="120" w:afterAutospacing="0"/>
        <w:textAlignment w:val="auto"/>
        <w:rPr>
          <w:rFonts w:ascii="Arial" w:hAnsi="Arial" w:cs="Arial"/>
          <w:sz w:val="22"/>
          <w:szCs w:val="22"/>
        </w:rPr>
      </w:pPr>
      <w:r>
        <w:rPr>
          <w:rFonts w:hint="default"/>
          <w:b w:val="0"/>
          <w:bCs/>
          <w:lang w:val="pt-BR"/>
        </w:rPr>
        <w:t xml:space="preserve">14.16. Sempre que a proposta não for aceita, e antes de a Comissão de Licitação passar à subsequente, haverá nova verificação da eventual ocorrência do empate ficto, previsto nos </w:t>
      </w:r>
      <w:r>
        <w:rPr>
          <w:rFonts w:ascii="Arial" w:hAnsi="Arial" w:cs="Arial"/>
          <w:sz w:val="22"/>
          <w:szCs w:val="22"/>
        </w:rPr>
        <w:t>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widowControl w:val="0"/>
        <w:numPr>
          <w:ilvl w:val="0"/>
          <w:numId w:val="0"/>
        </w:numPr>
        <w:spacing w:after="120"/>
        <w:ind w:right="-17" w:rightChars="0"/>
        <w:jc w:val="both"/>
        <w:rPr>
          <w:rFonts w:ascii="Arial" w:hAnsi="Arial" w:cs="Arial"/>
          <w:b/>
          <w:color w:val="000000"/>
          <w:sz w:val="22"/>
          <w:szCs w:val="22"/>
        </w:rPr>
      </w:pPr>
    </w:p>
    <w:p>
      <w:pPr>
        <w:pStyle w:val="84"/>
        <w:widowControl w:val="0"/>
        <w:numPr>
          <w:ilvl w:val="0"/>
          <w:numId w:val="0"/>
        </w:numPr>
        <w:spacing w:after="120"/>
        <w:ind w:right="-17" w:rightChars="0"/>
        <w:jc w:val="both"/>
        <w:rPr>
          <w:rFonts w:ascii="Arial" w:hAnsi="Arial" w:cs="Arial"/>
          <w:b/>
          <w:sz w:val="22"/>
          <w:szCs w:val="22"/>
        </w:rPr>
      </w:pPr>
      <w:r>
        <w:rPr>
          <w:rFonts w:hint="default" w:ascii="Arial" w:hAnsi="Arial" w:cs="Arial"/>
          <w:b/>
          <w:color w:val="000000"/>
          <w:sz w:val="22"/>
          <w:szCs w:val="22"/>
          <w:lang w:val="pt-BR"/>
        </w:rPr>
        <w:t xml:space="preserve">19.2. </w:t>
      </w:r>
      <w:r>
        <w:rPr>
          <w:rFonts w:ascii="Arial" w:hAnsi="Arial" w:cs="Arial"/>
          <w:b/>
          <w:color w:val="000000"/>
          <w:sz w:val="22"/>
          <w:szCs w:val="22"/>
        </w:rPr>
        <w:t>CONTROLE E FISCALIZAÇÃO DA EXECUÇÃO</w:t>
      </w:r>
    </w:p>
    <w:p>
      <w:pPr>
        <w:pStyle w:val="346"/>
        <w:numPr>
          <w:ilvl w:val="0"/>
          <w:numId w:val="0"/>
        </w:numPr>
        <w:rPr>
          <w:b/>
        </w:rPr>
      </w:pPr>
      <w:r>
        <w:rPr>
          <w:rFonts w:hint="default" w:ascii="Arial" w:hAnsi="Arial" w:cs="Arial"/>
          <w:b/>
          <w:color w:val="000000"/>
          <w:sz w:val="22"/>
          <w:szCs w:val="22"/>
          <w:lang w:val="pt-BR"/>
        </w:rPr>
        <w:t>19.2.</w:t>
      </w:r>
      <w:r>
        <w:rPr>
          <w:rFonts w:hint="default" w:cs="Arial"/>
          <w:b/>
          <w:color w:val="000000"/>
          <w:sz w:val="22"/>
          <w:szCs w:val="22"/>
          <w:lang w:val="pt-BR"/>
        </w:rPr>
        <w:t xml:space="preserve">1. </w:t>
      </w: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rFonts w:hint="default" w:ascii="Arial" w:hAnsi="Arial" w:cs="Arial"/>
          <w:b/>
          <w:color w:val="000000"/>
          <w:sz w:val="22"/>
          <w:szCs w:val="22"/>
          <w:lang w:val="pt-BR"/>
        </w:rPr>
        <w:t>19.2.</w:t>
      </w:r>
      <w:r>
        <w:rPr>
          <w:rFonts w:hint="default" w:cs="Arial"/>
          <w:b/>
          <w:color w:val="000000"/>
          <w:sz w:val="22"/>
          <w:szCs w:val="22"/>
          <w:lang w:val="pt-BR"/>
        </w:rPr>
        <w:t xml:space="preserve">2. </w:t>
      </w:r>
      <w:r>
        <w:t>Eventuais alterações dos integrantes da Equipe de Fiscalização deverá ser realizada por meio de Portaria a ser publicada no Diário Oficial, dispensado o apostilamento.</w:t>
      </w:r>
    </w:p>
    <w:p>
      <w:pPr>
        <w:pStyle w:val="346"/>
        <w:rPr>
          <w:b/>
        </w:rPr>
      </w:pPr>
      <w:r>
        <w:rPr>
          <w:rFonts w:hint="default" w:ascii="Arial" w:hAnsi="Arial" w:cs="Arial"/>
          <w:b/>
          <w:color w:val="000000"/>
          <w:sz w:val="22"/>
          <w:szCs w:val="22"/>
          <w:lang w:val="pt-BR"/>
        </w:rPr>
        <w:t>19.2.</w:t>
      </w:r>
      <w:r>
        <w:rPr>
          <w:rFonts w:hint="default" w:cs="Arial"/>
          <w:b/>
          <w:color w:val="000000"/>
          <w:sz w:val="22"/>
          <w:szCs w:val="22"/>
          <w:lang w:val="pt-BR"/>
        </w:rPr>
        <w:t xml:space="preserve">3. </w:t>
      </w:r>
      <w:r>
        <w:t xml:space="preserve">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4</w:t>
      </w:r>
      <w:r>
        <w:rPr>
          <w:rFonts w:hint="default" w:cs="Arial"/>
          <w:b/>
          <w:color w:val="000000"/>
          <w:sz w:val="22"/>
          <w:szCs w:val="22"/>
          <w:lang w:val="pt-BR"/>
        </w:rPr>
        <w:t xml:space="preserve">. </w:t>
      </w:r>
      <w:r>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5</w:t>
      </w:r>
      <w:r>
        <w:rPr>
          <w:rFonts w:hint="default" w:cs="Arial"/>
          <w:b/>
          <w:color w:val="000000"/>
          <w:sz w:val="22"/>
          <w:szCs w:val="22"/>
          <w:lang w:val="pt-BR"/>
        </w:rPr>
        <w:t xml:space="preserve">. </w:t>
      </w:r>
      <w:r>
        <w:rPr>
          <w:rFonts w:ascii="Arial" w:hAnsi="Arial" w:cs="Arial"/>
          <w:color w:val="000000"/>
          <w:sz w:val="22"/>
          <w:szCs w:val="22"/>
        </w:rPr>
        <w:t xml:space="preserve">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6</w:t>
      </w:r>
      <w:r>
        <w:rPr>
          <w:rFonts w:hint="default" w:cs="Arial"/>
          <w:b/>
          <w:color w:val="000000"/>
          <w:sz w:val="22"/>
          <w:szCs w:val="22"/>
          <w:lang w:val="pt-BR"/>
        </w:rPr>
        <w:t xml:space="preserve">. </w:t>
      </w:r>
      <w:r>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7</w:t>
      </w:r>
      <w:r>
        <w:rPr>
          <w:rFonts w:hint="default" w:cs="Arial"/>
          <w:b/>
          <w:color w:val="000000"/>
          <w:sz w:val="22"/>
          <w:szCs w:val="22"/>
          <w:lang w:val="pt-BR"/>
        </w:rPr>
        <w:t xml:space="preserve">. </w:t>
      </w:r>
      <w:r>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8</w:t>
      </w:r>
      <w:r>
        <w:rPr>
          <w:rFonts w:hint="default" w:cs="Arial"/>
          <w:b/>
          <w:color w:val="000000"/>
          <w:sz w:val="22"/>
          <w:szCs w:val="22"/>
          <w:lang w:val="pt-BR"/>
        </w:rPr>
        <w:t xml:space="preserve">. </w:t>
      </w:r>
      <w:r>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9</w:t>
      </w:r>
      <w:r>
        <w:rPr>
          <w:rFonts w:hint="default" w:cs="Arial"/>
          <w:b/>
          <w:color w:val="000000"/>
          <w:sz w:val="22"/>
          <w:szCs w:val="22"/>
          <w:lang w:val="pt-BR"/>
        </w:rPr>
        <w:t xml:space="preserve">. </w:t>
      </w:r>
      <w:r>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10</w:t>
      </w:r>
      <w:r>
        <w:rPr>
          <w:rFonts w:hint="default" w:cs="Arial"/>
          <w:b/>
          <w:color w:val="000000"/>
          <w:sz w:val="22"/>
          <w:szCs w:val="22"/>
          <w:lang w:val="pt-BR"/>
        </w:rPr>
        <w:t xml:space="preserve">. </w:t>
      </w:r>
      <w:r>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11</w:t>
      </w:r>
      <w:r>
        <w:rPr>
          <w:rFonts w:hint="default" w:cs="Arial"/>
          <w:b/>
          <w:color w:val="000000"/>
          <w:sz w:val="22"/>
          <w:szCs w:val="22"/>
          <w:lang w:val="pt-BR"/>
        </w:rPr>
        <w:t xml:space="preserve">. </w:t>
      </w:r>
      <w:r>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rPr>
          <w:rFonts w:hint="default"/>
          <w:lang w:val="pt-BR"/>
        </w:rPr>
        <w:t xml:space="preserve"> </w:t>
      </w: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 - o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II - o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III - a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IV - o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 - a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 - a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 - o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VIII - o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IX - a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 - a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 - a alteração social ou a modificação da finalidade ou da estrutura da empresa, que </w:t>
      </w:r>
      <w:r>
        <w:rPr>
          <w:rFonts w:hint="default" w:ascii="Arial" w:hAnsi="Arial" w:cs="Arial"/>
          <w:color w:val="000000"/>
          <w:sz w:val="22"/>
          <w:szCs w:val="22"/>
          <w:lang w:val="pt-BR"/>
        </w:rPr>
        <w:tab/>
      </w:r>
      <w:r>
        <w:rPr>
          <w:rFonts w:hint="default" w:ascii="Arial" w:hAnsi="Arial" w:cs="Arial"/>
          <w:color w:val="000000"/>
          <w:sz w:val="22"/>
          <w:szCs w:val="22"/>
        </w:rPr>
        <w:t>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 - razões de interesse público, de alta relevância e amplo conhecimento, justificadas e </w:t>
      </w:r>
      <w:r>
        <w:rPr>
          <w:rFonts w:hint="default" w:ascii="Arial" w:hAnsi="Arial" w:cs="Arial"/>
          <w:color w:val="000000"/>
          <w:sz w:val="22"/>
          <w:szCs w:val="22"/>
          <w:lang w:val="pt-BR"/>
        </w:rPr>
        <w:tab/>
      </w:r>
      <w:r>
        <w:rPr>
          <w:rFonts w:hint="default" w:ascii="Arial" w:hAnsi="Arial" w:cs="Arial"/>
          <w:color w:val="000000"/>
          <w:sz w:val="22"/>
          <w:szCs w:val="22"/>
        </w:rPr>
        <w:t xml:space="preserve">determinadas pela máxima autoridade da esfera administrativa a que está subordinado o </w:t>
      </w:r>
      <w:r>
        <w:rPr>
          <w:rFonts w:hint="default" w:ascii="Arial" w:hAnsi="Arial" w:cs="Arial"/>
          <w:color w:val="000000"/>
          <w:sz w:val="22"/>
          <w:szCs w:val="22"/>
          <w:lang w:val="pt-BR"/>
        </w:rPr>
        <w:tab/>
      </w:r>
      <w:r>
        <w:rPr>
          <w:rFonts w:hint="default" w:ascii="Arial" w:hAnsi="Arial" w:cs="Arial"/>
          <w:color w:val="000000"/>
          <w:sz w:val="22"/>
          <w:szCs w:val="22"/>
        </w:rPr>
        <w:t>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XIII - a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XIV - a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 - o atraso superior a 90 (noventa) dias dos pagamentos devidos pela Administração </w:t>
      </w:r>
      <w:r>
        <w:rPr>
          <w:rFonts w:hint="default" w:ascii="Arial" w:hAnsi="Arial" w:cs="Arial"/>
          <w:color w:val="000000"/>
          <w:sz w:val="22"/>
          <w:szCs w:val="22"/>
          <w:lang w:val="pt-BR"/>
        </w:rPr>
        <w:tab/>
      </w:r>
      <w:r>
        <w:rPr>
          <w:rFonts w:hint="default" w:ascii="Arial" w:hAnsi="Arial" w:cs="Arial"/>
          <w:color w:val="000000"/>
          <w:sz w:val="22"/>
          <w:szCs w:val="22"/>
        </w:rPr>
        <w:t xml:space="preserve">decorrentes de obras, serviços ou fornecimento, ou parcelas destes, já recebidos ou </w:t>
      </w:r>
      <w:r>
        <w:rPr>
          <w:rFonts w:hint="default" w:ascii="Arial" w:hAnsi="Arial" w:cs="Arial"/>
          <w:color w:val="000000"/>
          <w:sz w:val="22"/>
          <w:szCs w:val="22"/>
          <w:lang w:val="pt-BR"/>
        </w:rPr>
        <w:tab/>
      </w:r>
      <w:r>
        <w:rPr>
          <w:rFonts w:hint="default" w:ascii="Arial" w:hAnsi="Arial" w:cs="Arial"/>
          <w:color w:val="000000"/>
          <w:sz w:val="22"/>
          <w:szCs w:val="22"/>
        </w:rPr>
        <w:t xml:space="preserve">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 xml:space="preserve">ou guerra, 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 - a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XVII - a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XVIII – descumprimento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pStyle w:val="143"/>
      </w:pPr>
      <w:r>
        <w:rPr>
          <w:rFonts w:hint="default" w:cs="Arial"/>
          <w:color w:val="000000"/>
          <w:sz w:val="22"/>
          <w:szCs w:val="22"/>
          <w:lang w:val="pt-BR"/>
        </w:rPr>
        <w:t xml:space="preserve"> </w:t>
      </w:r>
      <w:r>
        <w:rPr>
          <w:rFonts w:ascii="Arial" w:hAnsi="Arial" w:cs="Arial"/>
          <w:color w:val="000000"/>
          <w:sz w:val="22"/>
          <w:szCs w:val="22"/>
        </w:rPr>
        <w:t>Indenizações e multas.</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rPr>
          <w:rFonts w:hint="default"/>
          <w:lang w:val="pt-BR"/>
        </w:rPr>
        <w:t xml:space="preserve"> </w:t>
      </w: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EXECUTIVO MUNICIPAL</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DA SEDE 6ª CIBM. </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76/2022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CONVÊNIO ESTADO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4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DA SEDE 6ª CIBM. </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77/2022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b/>
          <w:bCs/>
          <w:highlight w:val="none"/>
          <w:lang w:val="pt-BR"/>
        </w:rPr>
        <w:t>R$ 3.965.075,76 (Três milhões, novecentos e sessenta e cinco mil, setenta e cinco Reais e setenta e seis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017/2022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017/2022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16</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11</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William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017/2022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13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017/2022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EXECUTIVO MUNICIPAL</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EXECUTIVO MUNICIPAL</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017/2022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017/2022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017/2022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017/2022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017/2022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EXECUTIVO MUNICIPAL</w:t>
      </w: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017/2022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017/2022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EXECUTIVO MUNICIPAL</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017/2022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017/2022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017/2022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EXECUTIVO MUNICIPAL</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017/2022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017/2022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017/2022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2045/2022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EXECUTIVO MUNICIPAL</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EXECUTIVO MUNICIPAL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2045/2022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017/2022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017/2022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EXECUTIVO MUNICIPAL</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DA SEDE 6ª CIBM.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76/2022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CONVÊNIO ESTADO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4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DA SEDE 6ª CIBM. </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77/2022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RECURSO PRÓPRIO</w:t>
            </w: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017/2022.</w:t>
      </w:r>
    </w:p>
    <w:p>
      <w:pPr>
        <w:pStyle w:val="31"/>
        <w:widowControl w:val="0"/>
        <w:numPr>
          <w:ilvl w:val="1"/>
          <w:numId w:val="27"/>
        </w:numPr>
        <w:tabs>
          <w:tab w:val="left" w:pos="851"/>
        </w:tabs>
        <w:spacing w:before="0" w:beforeAutospacing="0" w:after="120" w:afterAutospacing="0"/>
        <w:ind w:right="49"/>
        <w:jc w:val="left"/>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017/2022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017/2022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200" w:leftChars="0" w:firstLine="0" w:firstLineChars="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200" w:leftChars="0" w:firstLine="0" w:firstLineChars="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200" w:leftChars="0" w:firstLine="0" w:firstLineChars="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200" w:leftChars="0" w:firstLine="0" w:firstLineChars="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200" w:leftChars="0" w:firstLine="0" w:firstLineChars="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917" w:leftChars="0" w:firstLine="0" w:firstLineChars="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917" w:leftChars="0" w:firstLine="0" w:firstLineChars="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200" w:leftChars="0" w:firstLine="0" w:firstLineChars="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w:t>
      </w:r>
      <w:r>
        <w:rPr>
          <w:rFonts w:hint="default" w:ascii="Arial" w:hAnsi="Arial" w:cs="Arial"/>
          <w:sz w:val="22"/>
          <w:szCs w:val="22"/>
          <w:lang w:val="pt-BR"/>
        </w:rPr>
        <w:t>u</w:t>
      </w:r>
      <w:r>
        <w:rPr>
          <w:rFonts w:ascii="Arial" w:hAnsi="Arial" w:cs="Arial"/>
          <w:sz w:val="22"/>
          <w:szCs w:val="22"/>
        </w:rPr>
        <w:t xml:space="preserve">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pStyle w:val="196"/>
      </w:pPr>
      <w:bookmarkStart w:id="61" w:name="_Toc513732670"/>
      <w:bookmarkStart w:id="62" w:name="_Toc514666377"/>
      <w:bookmarkStart w:id="63" w:name="_GoBack"/>
      <w:bookmarkEnd w:id="63"/>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017/2022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OBRA DE CONSTRUÇÃO DA 6ª COMPANHIA INDEPENDENTE BOMBEIRO MILITAR “6ª CIBM” ÁREA CONSTRUÍDA: 1.215,64 M2 - AV. CASCAVEL - PRIMAVERA II, PRIMAVERA DO LESTE - MT FORNECENDO OS MATERIAIS, MÃO DE OBRA, EQUIPAMENTOS, MAQUINÁRIOS E TUDO QUE SE FIZER NECESSÁRIO PARA A PERFEITA EXECUÇÃO DOS SERVIÇOS, CONFORME PROJETOS,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3</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017/2022</w:t>
    </w:r>
    <w:r>
      <w:rPr>
        <w:rFonts w:ascii="Arial" w:hAnsi="Arial" w:cs="Arial"/>
        <w:sz w:val="16"/>
        <w:szCs w:val="16"/>
      </w:rPr>
      <w:t xml:space="preserve"> – Processo nº </w:t>
    </w:r>
    <w:r>
      <w:rPr>
        <w:rFonts w:ascii="Arial" w:hAnsi="Arial" w:cs="Arial"/>
        <w:sz w:val="16"/>
        <w:szCs w:val="16"/>
        <w:lang w:val="pt-BR"/>
      </w:rPr>
      <w:t>2045/2022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736"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35E"/>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3F3C"/>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44BFA"/>
    <w:rsid w:val="02157805"/>
    <w:rsid w:val="03B32DD3"/>
    <w:rsid w:val="0404488B"/>
    <w:rsid w:val="040C1537"/>
    <w:rsid w:val="047A05CF"/>
    <w:rsid w:val="04AD0AB6"/>
    <w:rsid w:val="06D925FA"/>
    <w:rsid w:val="079B5F7E"/>
    <w:rsid w:val="094A079D"/>
    <w:rsid w:val="09DC13D6"/>
    <w:rsid w:val="09DF0678"/>
    <w:rsid w:val="0BB51B66"/>
    <w:rsid w:val="0BD96833"/>
    <w:rsid w:val="0DB33F32"/>
    <w:rsid w:val="0EAF1E47"/>
    <w:rsid w:val="0F1C7B80"/>
    <w:rsid w:val="0F3E2DDB"/>
    <w:rsid w:val="0F6516A4"/>
    <w:rsid w:val="103D5040"/>
    <w:rsid w:val="11ED6840"/>
    <w:rsid w:val="128C3910"/>
    <w:rsid w:val="12D732A6"/>
    <w:rsid w:val="1399427A"/>
    <w:rsid w:val="140734F8"/>
    <w:rsid w:val="1476080F"/>
    <w:rsid w:val="15380997"/>
    <w:rsid w:val="1589722F"/>
    <w:rsid w:val="16F51D2A"/>
    <w:rsid w:val="17173798"/>
    <w:rsid w:val="172117F9"/>
    <w:rsid w:val="178557B6"/>
    <w:rsid w:val="196F278F"/>
    <w:rsid w:val="19A552CC"/>
    <w:rsid w:val="19CC6001"/>
    <w:rsid w:val="19E5566E"/>
    <w:rsid w:val="1A4B6C59"/>
    <w:rsid w:val="1D5521F6"/>
    <w:rsid w:val="1EF82953"/>
    <w:rsid w:val="200A56DE"/>
    <w:rsid w:val="206B32C2"/>
    <w:rsid w:val="20884E46"/>
    <w:rsid w:val="20C12F85"/>
    <w:rsid w:val="20D92E3A"/>
    <w:rsid w:val="2103208A"/>
    <w:rsid w:val="214848AD"/>
    <w:rsid w:val="21AD35DB"/>
    <w:rsid w:val="22BA5D31"/>
    <w:rsid w:val="22C5027E"/>
    <w:rsid w:val="24DA7D48"/>
    <w:rsid w:val="253D1B30"/>
    <w:rsid w:val="2641293C"/>
    <w:rsid w:val="270D4335"/>
    <w:rsid w:val="27EE1947"/>
    <w:rsid w:val="27F7711A"/>
    <w:rsid w:val="2B096DA0"/>
    <w:rsid w:val="2E854B65"/>
    <w:rsid w:val="2EE04AA0"/>
    <w:rsid w:val="2F6A11CC"/>
    <w:rsid w:val="2F6D4185"/>
    <w:rsid w:val="324D4BAE"/>
    <w:rsid w:val="33BD50BA"/>
    <w:rsid w:val="374D6BA3"/>
    <w:rsid w:val="3862602B"/>
    <w:rsid w:val="38E41015"/>
    <w:rsid w:val="395E3F7E"/>
    <w:rsid w:val="3B39497E"/>
    <w:rsid w:val="3BC34051"/>
    <w:rsid w:val="3C9377CF"/>
    <w:rsid w:val="3CE56D52"/>
    <w:rsid w:val="3EE62549"/>
    <w:rsid w:val="4062086E"/>
    <w:rsid w:val="41A6308A"/>
    <w:rsid w:val="450C3C4E"/>
    <w:rsid w:val="47FD4ADF"/>
    <w:rsid w:val="48A406F3"/>
    <w:rsid w:val="48DA7C3F"/>
    <w:rsid w:val="495104E1"/>
    <w:rsid w:val="4A38162D"/>
    <w:rsid w:val="4EA63C80"/>
    <w:rsid w:val="4EC703E8"/>
    <w:rsid w:val="509D3D40"/>
    <w:rsid w:val="51420416"/>
    <w:rsid w:val="522C3F85"/>
    <w:rsid w:val="526C3763"/>
    <w:rsid w:val="53311227"/>
    <w:rsid w:val="533F3EB9"/>
    <w:rsid w:val="538801BB"/>
    <w:rsid w:val="564A3A4A"/>
    <w:rsid w:val="56C63407"/>
    <w:rsid w:val="56ED1457"/>
    <w:rsid w:val="57A4578D"/>
    <w:rsid w:val="57C72C43"/>
    <w:rsid w:val="582B2191"/>
    <w:rsid w:val="58951D01"/>
    <w:rsid w:val="59D15235"/>
    <w:rsid w:val="5C91043D"/>
    <w:rsid w:val="5CCC5732"/>
    <w:rsid w:val="5D3A2E77"/>
    <w:rsid w:val="5D475DAF"/>
    <w:rsid w:val="5DBE65FF"/>
    <w:rsid w:val="602E41B6"/>
    <w:rsid w:val="60CA3C9D"/>
    <w:rsid w:val="615A4E5B"/>
    <w:rsid w:val="63F347F2"/>
    <w:rsid w:val="65251205"/>
    <w:rsid w:val="67AE64B5"/>
    <w:rsid w:val="698D45E5"/>
    <w:rsid w:val="6A820692"/>
    <w:rsid w:val="6AB84390"/>
    <w:rsid w:val="6CC40102"/>
    <w:rsid w:val="6F5A4F08"/>
    <w:rsid w:val="70C74FB4"/>
    <w:rsid w:val="712F68AF"/>
    <w:rsid w:val="72215566"/>
    <w:rsid w:val="737F2285"/>
    <w:rsid w:val="74E43E05"/>
    <w:rsid w:val="764D49DD"/>
    <w:rsid w:val="76F450A2"/>
    <w:rsid w:val="77DD6B09"/>
    <w:rsid w:val="78131160"/>
    <w:rsid w:val="78C10EB1"/>
    <w:rsid w:val="793B3E92"/>
    <w:rsid w:val="797B67B2"/>
    <w:rsid w:val="7A655FB1"/>
    <w:rsid w:val="7B55620E"/>
    <w:rsid w:val="7CAD6314"/>
    <w:rsid w:val="7D5C184C"/>
    <w:rsid w:val="7DCC06B4"/>
    <w:rsid w:val="7DDD192C"/>
    <w:rsid w:val="7EB47EE6"/>
    <w:rsid w:val="7F027FC5"/>
    <w:rsid w:val="7F273F2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TotalTime>
  <ScaleCrop>false</ScaleCrop>
  <LinksUpToDate>false</LinksUpToDate>
  <CharactersWithSpaces>191558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2023-04-12T18:59:00Z</cp:lastPrinted>
  <dcterms:modified xsi:type="dcterms:W3CDTF">2023-04-17T18:11:49Z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8768C1E187974D65A8EF0E0656CBEDED</vt:lpwstr>
  </property>
</Properties>
</file>