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016/2022</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1557/2022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nº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4"/>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08"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lang w:val="pt-BR"/>
                    </w:rPr>
                    <w:t>EXECUTIVO MUNICIPAL</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Data da Abertura</w:t>
                  </w:r>
                  <w:r>
                    <w:rPr>
                      <w:rFonts w:ascii="Arial" w:hAnsi="Arial" w:cs="Arial"/>
                      <w:b/>
                      <w:sz w:val="21"/>
                      <w:szCs w:val="21"/>
                      <w:highlight w:val="none"/>
                    </w:rPr>
                    <w:t xml:space="preserve">: </w:t>
                  </w:r>
                  <w:r>
                    <w:rPr>
                      <w:rFonts w:hint="default" w:ascii="Arial" w:hAnsi="Arial" w:cs="Arial"/>
                      <w:b/>
                      <w:sz w:val="21"/>
                      <w:szCs w:val="21"/>
                      <w:highlight w:val="none"/>
                      <w:lang w:val="pt-BR"/>
                    </w:rPr>
                    <w:t>22/05/2023</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18"/>
                      <w:szCs w:val="18"/>
                    </w:rPr>
                    <w:t>O Edital completo</w:t>
                  </w:r>
                  <w:r>
                    <w:rPr>
                      <w:rFonts w:hint="default" w:ascii="Arial" w:hAnsi="Arial" w:cs="Arial"/>
                      <w:sz w:val="18"/>
                      <w:szCs w:val="18"/>
                      <w:lang w:val="pt-BR"/>
                    </w:rPr>
                    <w:t xml:space="preserve">, projetos e planilhas </w:t>
                  </w:r>
                  <w:r>
                    <w:rPr>
                      <w:rFonts w:ascii="Arial" w:hAnsi="Arial" w:cs="Arial"/>
                      <w:sz w:val="18"/>
                      <w:szCs w:val="18"/>
                    </w:rPr>
                    <w:t xml:space="preserve"> poder</w:t>
                  </w:r>
                  <w:r>
                    <w:rPr>
                      <w:rFonts w:hint="default" w:ascii="Arial" w:hAnsi="Arial" w:cs="Arial"/>
                      <w:sz w:val="18"/>
                      <w:szCs w:val="18"/>
                      <w:lang w:val="pt-BR"/>
                    </w:rPr>
                    <w:t>ão</w:t>
                  </w:r>
                  <w:r>
                    <w:rPr>
                      <w:rFonts w:ascii="Arial" w:hAnsi="Arial" w:cs="Arial"/>
                      <w:sz w:val="18"/>
                      <w:szCs w:val="18"/>
                    </w:rPr>
                    <w:t xml:space="preserve"> ser retirado</w:t>
                  </w:r>
                  <w:r>
                    <w:rPr>
                      <w:rFonts w:hint="default" w:ascii="Arial" w:hAnsi="Arial" w:cs="Arial"/>
                      <w:sz w:val="18"/>
                      <w:szCs w:val="18"/>
                      <w:lang w:val="pt-BR"/>
                    </w:rPr>
                    <w:t>s</w:t>
                  </w:r>
                  <w:r>
                    <w:rPr>
                      <w:rFonts w:ascii="Arial" w:hAnsi="Arial" w:cs="Arial"/>
                      <w:sz w:val="18"/>
                      <w:szCs w:val="18"/>
                    </w:rPr>
                    <w:t xml:space="preserve"> no site da Prefeitura Municipal de Primavera do Leste por meio do endereço: </w:t>
                  </w:r>
                  <w:r>
                    <w:rPr>
                      <w:sz w:val="18"/>
                      <w:szCs w:val="18"/>
                    </w:rPr>
                    <w:fldChar w:fldCharType="begin"/>
                  </w:r>
                  <w:r>
                    <w:rPr>
                      <w:sz w:val="18"/>
                      <w:szCs w:val="18"/>
                    </w:rPr>
                    <w:instrText xml:space="preserve"> HYPERLINK "http://www.pva.mt.gov.br/" </w:instrText>
                  </w:r>
                  <w:r>
                    <w:rPr>
                      <w:sz w:val="18"/>
                      <w:szCs w:val="18"/>
                    </w:rPr>
                    <w:fldChar w:fldCharType="separate"/>
                  </w:r>
                  <w:r>
                    <w:rPr>
                      <w:rStyle w:val="17"/>
                      <w:rFonts w:ascii="Arial" w:hAnsi="Arial" w:cs="Arial"/>
                      <w:bCs/>
                      <w:sz w:val="18"/>
                      <w:szCs w:val="18"/>
                    </w:rPr>
                    <w:t>http://www.primaveradoleste.mt.gov.br</w:t>
                  </w:r>
                  <w:r>
                    <w:rPr>
                      <w:rStyle w:val="17"/>
                      <w:rFonts w:ascii="Arial" w:hAnsi="Arial" w:cs="Arial"/>
                      <w:bCs/>
                      <w:sz w:val="18"/>
                      <w:szCs w:val="18"/>
                    </w:rPr>
                    <w:fldChar w:fldCharType="end"/>
                  </w:r>
                  <w:r>
                    <w:rPr>
                      <w:rFonts w:ascii="Arial" w:hAnsi="Arial" w:cs="Arial"/>
                      <w:sz w:val="18"/>
                      <w:szCs w:val="18"/>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18"/>
                      <w:szCs w:val="18"/>
                    </w:rPr>
                    <w:t>Comissão Permane</w:t>
                  </w:r>
                  <w:r>
                    <w:rPr>
                      <w:rFonts w:hint="default" w:ascii="Arial" w:hAnsi="Arial" w:cs="Arial"/>
                      <w:sz w:val="18"/>
                      <w:szCs w:val="18"/>
                      <w:lang w:val="pt-BR"/>
                    </w:rPr>
                    <w:t>n</w:t>
                  </w:r>
                  <w:r>
                    <w:rPr>
                      <w:rFonts w:ascii="Arial" w:hAnsi="Arial" w:cs="Arial"/>
                      <w:sz w:val="18"/>
                      <w:szCs w:val="18"/>
                    </w:rPr>
                    <w:t>te de Licitação – Setor de Licitações - Telefone: (66) 3498-3333 Ramal 215. Atendimento: 07hs ás 1</w:t>
                  </w:r>
                  <w:r>
                    <w:rPr>
                      <w:rFonts w:hint="default" w:ascii="Arial" w:hAnsi="Arial" w:cs="Arial"/>
                      <w:sz w:val="18"/>
                      <w:szCs w:val="18"/>
                      <w:lang w:val="pt-BR"/>
                    </w:rPr>
                    <w:t>3</w:t>
                  </w:r>
                  <w:r>
                    <w:rPr>
                      <w:rFonts w:ascii="Arial" w:hAnsi="Arial" w:cs="Arial"/>
                      <w:sz w:val="18"/>
                      <w:szCs w:val="18"/>
                    </w:rPr>
                    <w:t xml:space="preserve">hs. E-mail: </w:t>
                  </w:r>
                  <w:r>
                    <w:rPr>
                      <w:sz w:val="18"/>
                      <w:szCs w:val="18"/>
                    </w:rPr>
                    <w:fldChar w:fldCharType="begin"/>
                  </w:r>
                  <w:r>
                    <w:rPr>
                      <w:sz w:val="18"/>
                      <w:szCs w:val="18"/>
                    </w:rPr>
                    <w:instrText xml:space="preserve"> HYPERLINK "mailto:licita3@pva.mt.gov.br" </w:instrText>
                  </w:r>
                  <w:r>
                    <w:rPr>
                      <w:sz w:val="18"/>
                      <w:szCs w:val="18"/>
                    </w:rPr>
                    <w:fldChar w:fldCharType="separate"/>
                  </w:r>
                  <w:r>
                    <w:rPr>
                      <w:rStyle w:val="17"/>
                      <w:rFonts w:ascii="Arial" w:hAnsi="Arial" w:cs="Arial"/>
                      <w:sz w:val="18"/>
                      <w:szCs w:val="18"/>
                    </w:rPr>
                    <w:t>licita3@pva.mt.gov.br</w:t>
                  </w:r>
                  <w:r>
                    <w:rPr>
                      <w:rStyle w:val="17"/>
                      <w:rFonts w:ascii="Arial" w:hAnsi="Arial" w:cs="Arial"/>
                      <w:sz w:val="18"/>
                      <w:szCs w:val="18"/>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016/2022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1557/2022</w:t>
      </w:r>
    </w:p>
    <w:p>
      <w:bookmarkStart w:id="3" w:name="_Toc380557811"/>
    </w:p>
    <w:p>
      <w:pPr>
        <w:pStyle w:val="143"/>
      </w:pPr>
      <w:bookmarkStart w:id="4" w:name="_Toc514666328"/>
      <w:r>
        <w:t>PREÂMBULO</w:t>
      </w:r>
      <w:bookmarkEnd w:id="3"/>
      <w:bookmarkEnd w:id="4"/>
    </w:p>
    <w:p>
      <w:pPr>
        <w:pStyle w:val="346"/>
        <w:numPr>
          <w:ilvl w:val="1"/>
          <w:numId w:val="16"/>
        </w:numPr>
      </w:pPr>
      <w:r>
        <w:t xml:space="preserve">O Município de Primavera do Leste por intermédio da </w:t>
      </w:r>
      <w:r>
        <w:rPr>
          <w:bCs/>
          <w:i/>
          <w:lang w:val="pt-BR"/>
        </w:rPr>
        <w:t>EXECUTIVO MUNICIPAL</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024</w:t>
      </w:r>
      <w:r>
        <w:rPr>
          <w:highlight w:val="none"/>
        </w:rPr>
        <w:t>/20</w:t>
      </w:r>
      <w:r>
        <w:rPr>
          <w:rFonts w:hint="default"/>
          <w:highlight w:val="none"/>
          <w:lang w:val="pt-BR"/>
        </w:rPr>
        <w:t>23</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janeiro</w:t>
      </w:r>
      <w:r>
        <w:rPr>
          <w:highlight w:val="none"/>
        </w:rPr>
        <w:t xml:space="preserve"> de 20</w:t>
      </w:r>
      <w:r>
        <w:rPr>
          <w:rFonts w:hint="default"/>
          <w:highlight w:val="none"/>
          <w:lang w:val="pt-BR"/>
        </w:rPr>
        <w:t>23</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346"/>
        <w:numPr>
          <w:ilvl w:val="1"/>
          <w:numId w:val="16"/>
        </w:numPr>
      </w:pPr>
      <w:r>
        <w:t xml:space="preserve">O </w:t>
      </w:r>
      <w:r>
        <w:rPr>
          <w:rFonts w:hint="default"/>
          <w:lang w:val="pt-BR"/>
        </w:rPr>
        <w:t xml:space="preserve">original do edital </w:t>
      </w:r>
      <w:r>
        <w:t>deverá ser datado, rubricado em todas as folhas e assinado pela autoridade que o expedir, permanecendo no processo de licitação, e dele extraindo-se cópias integrais ou resumidas, para sua divulgação e fornecimento aos interessados.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EXECUTIVO MUNICIPAL</w:t>
      </w:r>
      <w:r>
        <w:t xml:space="preserve">, conforme consta no Processo Administrativo nº </w:t>
      </w:r>
      <w:r>
        <w:rPr>
          <w:rFonts w:hint="default"/>
          <w:lang w:val="pt-BR"/>
        </w:rPr>
        <w:t>1557/2022</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7"/>
        </w:numPr>
        <w:autoSpaceDE w:val="0"/>
        <w:autoSpaceDN w:val="0"/>
        <w:adjustRightInd w:val="0"/>
        <w:spacing w:line="276" w:lineRule="auto"/>
        <w:jc w:val="both"/>
        <w:rPr>
          <w:rFonts w:ascii="Arial" w:hAnsi="Arial" w:cs="Arial"/>
          <w:bCs/>
          <w:sz w:val="22"/>
          <w:szCs w:val="22"/>
          <w:highlight w:val="none"/>
        </w:rPr>
      </w:pPr>
      <w:r>
        <w:rPr>
          <w:rFonts w:ascii="Arial" w:hAnsi="Arial" w:cs="Arial"/>
          <w:b/>
          <w:bCs/>
          <w:sz w:val="22"/>
          <w:szCs w:val="22"/>
          <w:highlight w:val="none"/>
        </w:rPr>
        <w:t xml:space="preserve">DATA: </w:t>
      </w:r>
      <w:r>
        <w:rPr>
          <w:rFonts w:hint="default" w:ascii="Arial" w:hAnsi="Arial" w:cs="Arial"/>
          <w:b/>
          <w:bCs/>
          <w:sz w:val="22"/>
          <w:szCs w:val="22"/>
          <w:highlight w:val="none"/>
          <w:lang w:val="pt-BR"/>
        </w:rPr>
        <w:t>22/05/2023</w:t>
      </w:r>
      <w:r>
        <w:rPr>
          <w:rFonts w:ascii="Arial" w:hAnsi="Arial" w:cs="Arial"/>
          <w:bCs/>
          <w:sz w:val="22"/>
          <w:szCs w:val="22"/>
          <w:highlight w:val="none"/>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R$ 4.445.311,28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titular ou sócio participe com mais de 10% (dez por cento) do capital de outra empresa não beneficiada por esta Lei Complementar, desde que a receita bruta global ultrapasse o limite de que trata o inciso II 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sócio ou titular seja administrador ou equiparado de outra pessoa jurídica com fins lucrativos, desde que a receita bruta global ultrapasse o limite de que trata o inciso IIdo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eastAsia="SimSun" w:cs="Arial"/>
          <w:i w:val="0"/>
          <w:iCs w:val="0"/>
          <w:caps w:val="0"/>
          <w:color w:val="000000"/>
          <w:spacing w:val="0"/>
          <w:sz w:val="24"/>
          <w:szCs w:val="24"/>
          <w:lang w:val="pt-BR"/>
        </w:rPr>
        <w:t xml:space="preserve"> </w:t>
      </w:r>
      <w:r>
        <w:rPr>
          <w:rFonts w:hint="default" w:ascii="Arial" w:hAnsi="Arial" w:cs="Arial"/>
          <w:sz w:val="22"/>
          <w:szCs w:val="22"/>
          <w:lang w:val="pt-BR"/>
        </w:rPr>
        <w:t>C</w:t>
      </w:r>
      <w:r>
        <w:rPr>
          <w:rFonts w:ascii="Arial" w:hAnsi="Arial" w:cs="Arial"/>
          <w:sz w:val="22"/>
          <w:szCs w:val="22"/>
        </w:rPr>
        <w:t>ujos titulares ou sócios guardem, cumulativamente, com o contratante do serviço, relação de pessoalidade, subordinação e habitualidade.</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C</w:t>
      </w:r>
      <w:r>
        <w:rPr>
          <w:rFonts w:hint="default" w:ascii="Arial" w:hAnsi="Arial" w:cs="Arial"/>
          <w:sz w:val="22"/>
          <w:szCs w:val="22"/>
        </w:rPr>
        <w:t>ujo (s) titular (es) ou sócio (s) guarde (m), cumulativamente, com o contratante do serviço, relação de pessoalidade, subordinação e habitualidade.”</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w:t>
      </w:r>
      <w:r>
        <w:rPr>
          <w:rFonts w:hint="default"/>
        </w:rPr>
        <w:t>Frustrar ou fraudar, com o intuito de obter para si ou para outrem vantagem decorrente da adjudicação do objeto da licitação, o caráter competitivo do processo licitatório:</w:t>
      </w:r>
      <w:r>
        <w:rPr>
          <w:rFonts w:hint="default"/>
          <w:lang w:val="pt-BR"/>
        </w:rPr>
        <w:t xml:space="preserve"> </w:t>
      </w:r>
      <w:r>
        <w:rPr>
          <w:rFonts w:hint="default"/>
        </w:rPr>
        <w:t>Pena - reclusão, de 4 (quatro) anos a 8 (oito) anos, e multa.</w:t>
      </w:r>
      <w:r>
        <w:t xml:space="preserve">, nos termos do artigo </w:t>
      </w:r>
      <w:r>
        <w:rPr>
          <w:rFonts w:hint="default"/>
          <w:lang w:val="pt-BR"/>
        </w:rPr>
        <w:t>337</w:t>
      </w:r>
      <w:r>
        <w:t xml:space="preserve"> da Lei </w:t>
      </w:r>
      <w:r>
        <w:rPr>
          <w:rFonts w:hint="default"/>
          <w:lang w:val="pt-BR"/>
        </w:rPr>
        <w:t>14.133</w:t>
      </w:r>
      <w:r>
        <w:t>/</w:t>
      </w:r>
      <w:r>
        <w:rPr>
          <w:rFonts w:hint="default"/>
          <w:lang w:val="pt-BR"/>
        </w:rPr>
        <w:t>21</w:t>
      </w:r>
      <w:r>
        <w:t>;</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487720513"/>
      <w:bookmarkStart w:id="17" w:name="_Toc382989164"/>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spacing w:beforeLines="0" w:afterLines="0"/>
        <w:jc w:val="both"/>
        <w:rPr>
          <w:rFonts w:hint="default" w:ascii="Arial" w:hAnsi="Arial" w:eastAsia="Calibri"/>
          <w:b w:val="0"/>
          <w:bCs/>
          <w:sz w:val="24"/>
          <w:szCs w:val="24"/>
        </w:rPr>
      </w:pPr>
      <w:bookmarkStart w:id="19" w:name="_Toc514666336"/>
    </w:p>
    <w:p>
      <w:pPr>
        <w:pStyle w:val="143"/>
      </w:pPr>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9"/>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016/2022</w:t>
            </w:r>
            <w:r>
              <w:rPr>
                <w:rFonts w:hint="default" w:ascii="Arial" w:hAnsi="Arial" w:cs="Arial"/>
                <w:b/>
                <w:bCs/>
                <w:sz w:val="22"/>
                <w:szCs w:val="22"/>
              </w:rPr>
              <w:t xml:space="preserve"> PROCESSO Nº </w:t>
            </w:r>
            <w:r>
              <w:rPr>
                <w:rFonts w:hint="default" w:ascii="Arial" w:hAnsi="Arial" w:cs="Arial"/>
                <w:b/>
                <w:bCs/>
                <w:sz w:val="22"/>
                <w:szCs w:val="22"/>
                <w:lang w:val="pt-BR"/>
              </w:rPr>
              <w:t>1557/2022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22/05/2023</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016/2022</w:t>
            </w:r>
            <w:r>
              <w:rPr>
                <w:rFonts w:hint="default" w:ascii="Arial" w:hAnsi="Arial" w:cs="Arial"/>
                <w:b/>
                <w:bCs/>
                <w:sz w:val="22"/>
                <w:szCs w:val="22"/>
              </w:rPr>
              <w:t xml:space="preserve"> PROCESSO Nº </w:t>
            </w:r>
            <w:r>
              <w:rPr>
                <w:rFonts w:hint="default" w:ascii="Arial" w:hAnsi="Arial" w:cs="Arial"/>
                <w:b/>
                <w:bCs/>
                <w:sz w:val="22"/>
                <w:szCs w:val="22"/>
                <w:lang w:val="pt-BR"/>
              </w:rPr>
              <w:t>1557/2022</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22/05/2023</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w:t>
      </w:r>
      <w:r>
        <w:rPr>
          <w:rFonts w:hint="default" w:ascii="Arial" w:hAnsi="Arial" w:cs="Arial"/>
          <w:b/>
          <w:sz w:val="22"/>
          <w:szCs w:val="22"/>
          <w:lang w:val="pt-BR"/>
        </w:rPr>
        <w:t xml:space="preserve">2)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4"/>
          <w:szCs w:val="24"/>
          <w:lang w:val="pt-BR" w:eastAsia="pt-PT" w:bidi="pt-PT"/>
        </w:rPr>
      </w:pPr>
      <w:r>
        <w:rPr>
          <w:rFonts w:hint="default" w:ascii="Arial" w:hAnsi="Arial" w:eastAsia="Arial" w:cs="Arial"/>
          <w:sz w:val="24"/>
          <w:szCs w:val="24"/>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695"/>
        <w:gridCol w:w="99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69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9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0" w:beforeAutospacing="0" w:after="160" w:afterAutospacing="0" w:line="270" w:lineRule="exact"/>
              <w:ind w:left="121" w:right="121"/>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r>
              <w:rPr>
                <w:rFonts w:hint="default" w:ascii="Arial" w:hAnsi="Arial" w:cs="Arial"/>
                <w:color w:val="000009"/>
                <w:spacing w:val="6"/>
                <w:sz w:val="18"/>
                <w:szCs w:val="18"/>
                <w:highlight w:val="none"/>
                <w:lang w:val="pt-BR"/>
              </w:rPr>
              <w:t xml:space="preserv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160" w:afterAutospacing="0" w:line="256" w:lineRule="auto"/>
              <w:ind w:left="0" w:right="0" w:firstLine="90" w:firstLineChars="5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w:t>
            </w:r>
          </w:p>
        </w:tc>
        <w:tc>
          <w:tcPr>
            <w:tcW w:w="3695" w:type="dxa"/>
            <w:vAlign w:val="center"/>
          </w:tcPr>
          <w:p>
            <w:pPr>
              <w:keepNext w:val="0"/>
              <w:keepLines w:val="0"/>
              <w:widowControl/>
              <w:suppressLineNumbers w:val="0"/>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en-US" w:eastAsia="zh-CN" w:bidi="pt-PT"/>
              </w:rPr>
              <w:t>ALVENARIA DE VEDAÇÃO DE BLOCOS CERÂMICOS FURADOS NA HORIZONTAL DE 14X9X19 CM (ESPESSURA 14 CM, BLOCO DEITADO) E ARGAMASSA DE ASSENTAMENTO COM PREPARO EM BETONEIRA.</w:t>
            </w:r>
          </w:p>
        </w:tc>
        <w:tc>
          <w:tcPr>
            <w:tcW w:w="99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M2</w:t>
            </w:r>
          </w:p>
        </w:tc>
        <w:tc>
          <w:tcPr>
            <w:tcW w:w="1335"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2.395,49</w:t>
            </w:r>
          </w:p>
        </w:tc>
        <w:tc>
          <w:tcPr>
            <w:tcW w:w="2383" w:type="dxa"/>
            <w:vAlign w:val="top"/>
          </w:tcPr>
          <w:p>
            <w:pPr>
              <w:pStyle w:val="370"/>
              <w:keepNext w:val="0"/>
              <w:keepLines w:val="0"/>
              <w:suppressLineNumbers w:val="0"/>
              <w:spacing w:before="0" w:beforeAutospacing="0" w:after="160" w:afterAutospacing="0" w:line="270" w:lineRule="exact"/>
              <w:ind w:left="328" w:right="0"/>
              <w:jc w:val="center"/>
              <w:rPr>
                <w:rFonts w:hint="default" w:ascii="Arial" w:hAnsi="Arial" w:eastAsia="Arial" w:cs="Arial"/>
                <w:sz w:val="18"/>
                <w:szCs w:val="18"/>
                <w:lang w:val="pt-BR" w:eastAsia="pt-PT" w:bidi="pt-PT"/>
              </w:rPr>
            </w:pPr>
          </w:p>
          <w:p>
            <w:pPr>
              <w:pStyle w:val="370"/>
              <w:keepNext w:val="0"/>
              <w:keepLines w:val="0"/>
              <w:suppressLineNumbers w:val="0"/>
              <w:spacing w:before="0" w:beforeAutospacing="0" w:after="160" w:afterAutospacing="0" w:line="270" w:lineRule="exact"/>
              <w:ind w:left="328" w:right="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1197,70</w:t>
            </w:r>
          </w:p>
          <w:p>
            <w:pPr>
              <w:pStyle w:val="370"/>
              <w:keepNext w:val="0"/>
              <w:keepLines w:val="0"/>
              <w:suppressLineNumbers w:val="0"/>
              <w:spacing w:before="0" w:beforeAutospacing="0" w:after="160" w:afterAutospacing="0" w:line="270" w:lineRule="exact"/>
              <w:ind w:left="328" w:right="0"/>
              <w:jc w:val="center"/>
              <w:rPr>
                <w:rFonts w:hint="default" w:ascii="Arial" w:hAnsi="Arial" w:eastAsia="Arial" w:cs="Arial"/>
                <w:sz w:val="18"/>
                <w:szCs w:val="18"/>
                <w:lang w:val="pt-BR" w:eastAsia="pt-PT" w:bidi="pt-P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w:t>
            </w:r>
          </w:p>
        </w:tc>
        <w:tc>
          <w:tcPr>
            <w:tcW w:w="3695" w:type="dxa"/>
            <w:vAlign w:val="center"/>
          </w:tcPr>
          <w:p>
            <w:pPr>
              <w:keepNext w:val="0"/>
              <w:keepLines w:val="0"/>
              <w:widowControl/>
              <w:suppressLineNumbers w:val="0"/>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en-US" w:eastAsia="zh-CN" w:bidi="pt-PT"/>
              </w:rPr>
              <w:t>TELHAMENTO COM TELHA METÁLICA TERMOACÚSTICA E = 30 MM, COM ATÉ 2 ÁGUAS, INCLUSO IÇAMENTO. AF_07/2019</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M2</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989,55</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494,70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3</w:t>
            </w:r>
          </w:p>
        </w:tc>
        <w:tc>
          <w:tcPr>
            <w:tcW w:w="3695" w:type="dxa"/>
            <w:vAlign w:val="center"/>
          </w:tcPr>
          <w:p>
            <w:pPr>
              <w:keepNext w:val="0"/>
              <w:keepLines w:val="0"/>
              <w:widowControl/>
              <w:suppressLineNumbers w:val="0"/>
              <w:jc w:val="both"/>
              <w:textAlignment w:val="center"/>
              <w:rPr>
                <w:rFonts w:hint="default" w:ascii="Arial" w:hAnsi="Arial" w:eastAsia="Arial" w:cs="Arial"/>
                <w:sz w:val="16"/>
                <w:szCs w:val="16"/>
                <w:lang w:val="pt-BR" w:eastAsia="zh-CN" w:bidi="pt-PT"/>
              </w:rPr>
            </w:pPr>
            <w:r>
              <w:rPr>
                <w:rFonts w:hint="default" w:ascii="Arial" w:hAnsi="Arial" w:eastAsia="Arial" w:cs="Arial"/>
                <w:sz w:val="16"/>
                <w:szCs w:val="16"/>
                <w:lang w:val="en-US" w:eastAsia="zh-CN" w:bidi="pt-PT"/>
              </w:rPr>
              <w:t>EXECUÇÃO DE PAVIMENTO COM APLICAÇÃO DE PRÉ-MISTURADO A FRIO, CAMADA DE BINDER - EXCLUSIVE CARGA E TRANSPORTE. AF_11/2019</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M2</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101,03</w:t>
            </w:r>
          </w:p>
        </w:tc>
        <w:tc>
          <w:tcPr>
            <w:tcW w:w="2383" w:type="dxa"/>
            <w:vAlign w:val="top"/>
          </w:tcPr>
          <w:p>
            <w:pPr>
              <w:pStyle w:val="370"/>
              <w:keepNext w:val="0"/>
              <w:keepLines w:val="0"/>
              <w:suppressLineNumbers w:val="0"/>
              <w:spacing w:before="0" w:beforeAutospacing="0" w:after="160" w:afterAutospacing="0" w:line="270" w:lineRule="exact"/>
              <w:ind w:left="266" w:right="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50,50</w:t>
            </w:r>
          </w:p>
        </w:tc>
      </w:tr>
    </w:tbl>
    <w:p>
      <w:pPr>
        <w:pStyle w:val="21"/>
        <w:numPr>
          <w:ilvl w:val="0"/>
          <w:numId w:val="0"/>
        </w:numPr>
        <w:ind w:leftChars="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487720517"/>
      <w:bookmarkStart w:id="26" w:name="_Toc514666340"/>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3"/>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3"/>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14.20</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w:t>
      </w:r>
      <w:r>
        <w:rPr>
          <w:rFonts w:hint="default"/>
          <w:b w:val="0"/>
          <w:bCs w:val="0"/>
          <w:lang w:val="pt-BR"/>
        </w:rPr>
        <w:t>o</w:t>
      </w:r>
      <w:r>
        <w:rPr>
          <w:rFonts w:hint="default"/>
          <w:b w:val="0"/>
          <w:bCs w:val="0"/>
        </w:rPr>
        <w:t>l</w:t>
      </w:r>
      <w:r>
        <w:rPr>
          <w:rFonts w:hint="default"/>
          <w:b w:val="0"/>
          <w:bCs w:val="0"/>
          <w:lang w:val="pt-BR"/>
        </w:rPr>
        <w:t>í</w:t>
      </w:r>
      <w:r>
        <w:rPr>
          <w:rFonts w:hint="default"/>
          <w:b w:val="0"/>
          <w:bCs w:val="0"/>
        </w:rPr>
        <w:t>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en-US" w:eastAsia="pt-BR"/>
        </w:rPr>
      </w:pPr>
      <w:r>
        <w:rPr>
          <w:rFonts w:hint="default"/>
          <w:b/>
          <w:lang w:val="pt-BR" w:eastAsia="pt-BR"/>
        </w:rPr>
        <w:t xml:space="preserve">14.20. </w:t>
      </w:r>
      <w:r>
        <w:rPr>
          <w:rFonts w:hint="default"/>
          <w:b w:val="0"/>
          <w:bCs/>
          <w:lang w:val="en-US" w:eastAsia="pt-BR"/>
        </w:rPr>
        <w:t xml:space="preserve">A fim de cumprir o disposto no artigo 3º da Lei Municipal 1.953 de 27/05/2021, a prioridade de contratação com microempresas e empresas de pequeno porte sediadas local ou regionalmente, até o limite de 10% (dez porcento) do melhor preço válido, proporciona a esta, o direito de ofertar um preço menor do que aquela melhor classificada (empate ficto). </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pt-BR" w:eastAsia="pt-BR"/>
        </w:rPr>
      </w:pPr>
      <w:r>
        <w:rPr>
          <w:rFonts w:hint="default"/>
          <w:b/>
          <w:lang w:val="pt-BR" w:eastAsia="pt-BR"/>
        </w:rPr>
        <w:t xml:space="preserve">14.20.1 </w:t>
      </w:r>
      <w:r>
        <w:rPr>
          <w:rFonts w:hint="default"/>
          <w:b w:val="0"/>
          <w:bCs/>
          <w:lang w:val="pt-BR" w:eastAsia="pt-BR"/>
        </w:rPr>
        <w:tab/>
      </w:r>
      <w:r>
        <w:rPr>
          <w:rFonts w:hint="default"/>
          <w:b w:val="0"/>
          <w:bCs/>
          <w:lang w:val="pt-BR" w:eastAsia="pt-BR"/>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pt-BR" w:eastAsia="pt-BR"/>
        </w:rPr>
      </w:pPr>
      <w:r>
        <w:rPr>
          <w:rFonts w:hint="default"/>
          <w:b/>
          <w:lang w:val="pt-BR" w:eastAsia="pt-BR"/>
        </w:rPr>
        <w:t xml:space="preserve">14.20. </w:t>
      </w:r>
      <w:r>
        <w:rPr>
          <w:rFonts w:hint="default"/>
          <w:b w:val="0"/>
          <w:bCs/>
          <w:lang w:val="pt-BR" w:eastAsia="pt-BR"/>
        </w:rPr>
        <w:t>O resultado do certame será divulgado nos Diários Oficiais.</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highlight w:val="yellow"/>
        </w:rPr>
      </w:pPr>
      <w:r>
        <w:rPr>
          <w:rFonts w:ascii="Arial" w:hAnsi="Arial" w:cs="Arial"/>
          <w:b/>
          <w:sz w:val="22"/>
          <w:szCs w:val="22"/>
          <w:highlight w:val="yellow"/>
        </w:rPr>
        <w:t>18.1.</w:t>
      </w:r>
      <w:r>
        <w:rPr>
          <w:rFonts w:ascii="Arial" w:hAnsi="Arial" w:cs="Arial"/>
          <w:sz w:val="22"/>
          <w:szCs w:val="22"/>
          <w:highlight w:val="yellow"/>
        </w:rPr>
        <w:t xml:space="preserve"> O valor do contrato será fixo, porém poderá ser corrigido </w:t>
      </w:r>
      <w:r>
        <w:rPr>
          <w:rFonts w:hint="default" w:ascii="Arial" w:hAnsi="Arial" w:cs="Arial"/>
          <w:sz w:val="22"/>
          <w:szCs w:val="22"/>
          <w:highlight w:val="yellow"/>
          <w:lang w:val="pt-BR"/>
        </w:rPr>
        <w:t>a cada 12 meses</w:t>
      </w:r>
      <w:r>
        <w:rPr>
          <w:rFonts w:ascii="Arial" w:hAnsi="Arial" w:cs="Arial"/>
          <w:sz w:val="22"/>
          <w:szCs w:val="22"/>
          <w:highlight w:val="yellow"/>
        </w:rPr>
        <w:t xml:space="preserve"> mediante requerimento da contratada, após o interregno mínimo de um ano, contado a partir da data limite para a apresentação da proposta, pela variação do índice INCC (Índice Nacional de Custos da Construção)- Col</w:t>
      </w:r>
      <w:r>
        <w:rPr>
          <w:rFonts w:hint="default" w:ascii="Arial" w:hAnsi="Arial" w:cs="Arial"/>
          <w:sz w:val="22"/>
          <w:szCs w:val="22"/>
          <w:highlight w:val="yellow"/>
          <w:lang w:val="pt-BR"/>
        </w:rPr>
        <w:t>u</w:t>
      </w:r>
      <w:r>
        <w:rPr>
          <w:rFonts w:ascii="Arial" w:hAnsi="Arial" w:cs="Arial"/>
          <w:sz w:val="22"/>
          <w:szCs w:val="22"/>
          <w:highlight w:val="yellow"/>
        </w:rPr>
        <w:t xml:space="preserve">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widowControl w:val="0"/>
        <w:numPr>
          <w:ilvl w:val="0"/>
          <w:numId w:val="0"/>
        </w:numPr>
        <w:spacing w:after="120"/>
        <w:ind w:right="-17" w:rightChars="0"/>
        <w:jc w:val="both"/>
        <w:rPr>
          <w:rFonts w:ascii="Arial" w:hAnsi="Arial" w:cs="Arial"/>
          <w:b/>
          <w:color w:val="000000"/>
          <w:sz w:val="22"/>
          <w:szCs w:val="22"/>
        </w:rPr>
      </w:pPr>
    </w:p>
    <w:p>
      <w:pPr>
        <w:pStyle w:val="84"/>
        <w:widowControl w:val="0"/>
        <w:numPr>
          <w:ilvl w:val="0"/>
          <w:numId w:val="0"/>
        </w:numPr>
        <w:spacing w:after="120"/>
        <w:ind w:right="-17" w:rightChars="0"/>
        <w:jc w:val="both"/>
        <w:rPr>
          <w:rFonts w:ascii="Arial" w:hAnsi="Arial" w:cs="Arial"/>
          <w:b/>
          <w:sz w:val="22"/>
          <w:szCs w:val="22"/>
        </w:rPr>
      </w:pPr>
      <w:r>
        <w:rPr>
          <w:rFonts w:hint="default" w:ascii="Arial" w:hAnsi="Arial" w:cs="Arial"/>
          <w:b/>
          <w:color w:val="000000"/>
          <w:sz w:val="22"/>
          <w:szCs w:val="22"/>
          <w:lang w:val="pt-BR"/>
        </w:rPr>
        <w:t xml:space="preserve">19.2. </w:t>
      </w:r>
      <w:r>
        <w:rPr>
          <w:rFonts w:ascii="Arial" w:hAnsi="Arial" w:cs="Arial"/>
          <w:b/>
          <w:color w:val="000000"/>
          <w:sz w:val="22"/>
          <w:szCs w:val="22"/>
        </w:rPr>
        <w:t>CONTROLE E FISCALIZAÇÃO DA EXECUÇÃO</w:t>
      </w:r>
    </w:p>
    <w:p>
      <w:pPr>
        <w:pStyle w:val="346"/>
        <w:numPr>
          <w:ilvl w:val="0"/>
          <w:numId w:val="0"/>
        </w:numPr>
        <w:rPr>
          <w:b/>
        </w:rPr>
      </w:pPr>
      <w:r>
        <w:rPr>
          <w:rFonts w:hint="default" w:ascii="Arial" w:hAnsi="Arial" w:cs="Arial"/>
          <w:b/>
          <w:color w:val="000000"/>
          <w:sz w:val="22"/>
          <w:szCs w:val="22"/>
          <w:lang w:val="pt-BR"/>
        </w:rPr>
        <w:t>19.2.</w:t>
      </w:r>
      <w:r>
        <w:rPr>
          <w:rFonts w:hint="default" w:cs="Arial"/>
          <w:b/>
          <w:color w:val="000000"/>
          <w:sz w:val="22"/>
          <w:szCs w:val="22"/>
          <w:lang w:val="pt-BR"/>
        </w:rPr>
        <w:t xml:space="preserve">1. </w:t>
      </w: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Jonhnny alexandro dos reis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rFonts w:hint="default" w:ascii="Arial" w:hAnsi="Arial" w:cs="Arial"/>
          <w:b/>
          <w:color w:val="000000"/>
          <w:sz w:val="22"/>
          <w:szCs w:val="22"/>
          <w:lang w:val="pt-BR"/>
        </w:rPr>
        <w:t>19.2.</w:t>
      </w:r>
      <w:r>
        <w:rPr>
          <w:rFonts w:hint="default" w:cs="Arial"/>
          <w:b/>
          <w:color w:val="000000"/>
          <w:sz w:val="22"/>
          <w:szCs w:val="22"/>
          <w:lang w:val="pt-BR"/>
        </w:rPr>
        <w:t xml:space="preserve">2. </w:t>
      </w:r>
      <w:r>
        <w:t>Eventuais alterações dos integrantes da Equipe de Fiscalização deverá ser realizada por meio de Portaria a ser publicada no Diário Oficial, dispensado o apostilamento.</w:t>
      </w:r>
    </w:p>
    <w:p>
      <w:pPr>
        <w:pStyle w:val="346"/>
        <w:rPr>
          <w:b/>
        </w:rPr>
      </w:pPr>
      <w:r>
        <w:rPr>
          <w:rFonts w:hint="default" w:ascii="Arial" w:hAnsi="Arial" w:cs="Arial"/>
          <w:b/>
          <w:color w:val="000000"/>
          <w:sz w:val="22"/>
          <w:szCs w:val="22"/>
          <w:lang w:val="pt-BR"/>
        </w:rPr>
        <w:t>19.2.</w:t>
      </w:r>
      <w:r>
        <w:rPr>
          <w:rFonts w:hint="default" w:cs="Arial"/>
          <w:b/>
          <w:color w:val="000000"/>
          <w:sz w:val="22"/>
          <w:szCs w:val="22"/>
          <w:lang w:val="pt-BR"/>
        </w:rPr>
        <w:t xml:space="preserve">3. </w:t>
      </w:r>
      <w:r>
        <w:t xml:space="preserve">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4</w:t>
      </w:r>
      <w:r>
        <w:rPr>
          <w:rFonts w:hint="default" w:cs="Arial"/>
          <w:b/>
          <w:color w:val="000000"/>
          <w:sz w:val="22"/>
          <w:szCs w:val="22"/>
          <w:lang w:val="pt-BR"/>
        </w:rPr>
        <w:t xml:space="preserve">. </w:t>
      </w:r>
      <w:r>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5</w:t>
      </w:r>
      <w:r>
        <w:rPr>
          <w:rFonts w:hint="default" w:cs="Arial"/>
          <w:b/>
          <w:color w:val="000000"/>
          <w:sz w:val="22"/>
          <w:szCs w:val="22"/>
          <w:lang w:val="pt-BR"/>
        </w:rPr>
        <w:t xml:space="preserve">. </w:t>
      </w:r>
      <w:r>
        <w:rPr>
          <w:rFonts w:ascii="Arial" w:hAnsi="Arial" w:cs="Arial"/>
          <w:color w:val="000000"/>
          <w:sz w:val="22"/>
          <w:szCs w:val="22"/>
        </w:rPr>
        <w:t xml:space="preserve">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6</w:t>
      </w:r>
      <w:r>
        <w:rPr>
          <w:rFonts w:hint="default" w:cs="Arial"/>
          <w:b/>
          <w:color w:val="000000"/>
          <w:sz w:val="22"/>
          <w:szCs w:val="22"/>
          <w:lang w:val="pt-BR"/>
        </w:rPr>
        <w:t xml:space="preserve">. </w:t>
      </w:r>
      <w:r>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7</w:t>
      </w:r>
      <w:r>
        <w:rPr>
          <w:rFonts w:hint="default" w:cs="Arial"/>
          <w:b/>
          <w:color w:val="000000"/>
          <w:sz w:val="22"/>
          <w:szCs w:val="22"/>
          <w:lang w:val="pt-BR"/>
        </w:rPr>
        <w:t xml:space="preserve">. </w:t>
      </w:r>
      <w:r>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8</w:t>
      </w:r>
      <w:r>
        <w:rPr>
          <w:rFonts w:hint="default" w:cs="Arial"/>
          <w:b/>
          <w:color w:val="000000"/>
          <w:sz w:val="22"/>
          <w:szCs w:val="22"/>
          <w:lang w:val="pt-BR"/>
        </w:rPr>
        <w:t xml:space="preserve">. </w:t>
      </w:r>
      <w:r>
        <w:rPr>
          <w:rFonts w:ascii="Arial" w:hAnsi="Arial" w:cs="Arial"/>
          <w:color w:val="000000"/>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9</w:t>
      </w:r>
      <w:r>
        <w:rPr>
          <w:rFonts w:hint="default" w:cs="Arial"/>
          <w:b/>
          <w:color w:val="000000"/>
          <w:sz w:val="22"/>
          <w:szCs w:val="22"/>
          <w:lang w:val="pt-BR"/>
        </w:rPr>
        <w:t xml:space="preserve">. </w:t>
      </w:r>
      <w:r>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10</w:t>
      </w:r>
      <w:r>
        <w:rPr>
          <w:rFonts w:hint="default" w:cs="Arial"/>
          <w:b/>
          <w:color w:val="000000"/>
          <w:sz w:val="22"/>
          <w:szCs w:val="22"/>
          <w:lang w:val="pt-BR"/>
        </w:rPr>
        <w:t xml:space="preserve">. </w:t>
      </w:r>
      <w:r>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11</w:t>
      </w:r>
      <w:r>
        <w:rPr>
          <w:rFonts w:hint="default" w:cs="Arial"/>
          <w:b/>
          <w:color w:val="000000"/>
          <w:sz w:val="22"/>
          <w:szCs w:val="22"/>
          <w:lang w:val="pt-BR"/>
        </w:rPr>
        <w:t xml:space="preserve">. </w:t>
      </w:r>
      <w:r>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widowControl w:val="0"/>
        <w:spacing w:after="120"/>
        <w:jc w:val="both"/>
        <w:rPr>
          <w:rFonts w:ascii="Arial" w:hAnsi="Arial" w:cs="Arial"/>
          <w:color w:val="000000"/>
          <w:sz w:val="22"/>
          <w:szCs w:val="22"/>
        </w:rPr>
      </w:pP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pStyle w:val="84"/>
        <w:widowControl w:val="0"/>
        <w:numPr>
          <w:ilvl w:val="0"/>
          <w:numId w:val="0"/>
        </w:numPr>
        <w:spacing w:after="120"/>
        <w:jc w:val="both"/>
        <w:rPr>
          <w:rFonts w:hint="default" w:ascii="Arial" w:hAnsi="Arial" w:cs="Arial"/>
          <w:b/>
          <w:bCs/>
          <w:color w:val="000000"/>
          <w:sz w:val="22"/>
          <w:szCs w:val="22"/>
          <w:lang w:val="pt-BR"/>
        </w:rPr>
      </w:pP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 - o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II - o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III - a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IV - o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 - a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 - a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 - o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VIII - o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IX - a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 - a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 - a alteração social ou a modificação da finalidade ou da estrutura da empresa, que </w:t>
      </w:r>
      <w:r>
        <w:rPr>
          <w:rFonts w:hint="default" w:ascii="Arial" w:hAnsi="Arial" w:cs="Arial"/>
          <w:color w:val="000000"/>
          <w:sz w:val="22"/>
          <w:szCs w:val="22"/>
          <w:lang w:val="pt-BR"/>
        </w:rPr>
        <w:tab/>
      </w:r>
      <w:r>
        <w:rPr>
          <w:rFonts w:hint="default" w:ascii="Arial" w:hAnsi="Arial" w:cs="Arial"/>
          <w:color w:val="000000"/>
          <w:sz w:val="22"/>
          <w:szCs w:val="22"/>
        </w:rPr>
        <w:t>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 - razões de interesse público, de alta relevância e amplo conhecimento, justificadas e </w:t>
      </w:r>
      <w:r>
        <w:rPr>
          <w:rFonts w:hint="default" w:ascii="Arial" w:hAnsi="Arial" w:cs="Arial"/>
          <w:color w:val="000000"/>
          <w:sz w:val="22"/>
          <w:szCs w:val="22"/>
          <w:lang w:val="pt-BR"/>
        </w:rPr>
        <w:tab/>
      </w:r>
      <w:r>
        <w:rPr>
          <w:rFonts w:hint="default" w:ascii="Arial" w:hAnsi="Arial" w:cs="Arial"/>
          <w:color w:val="000000"/>
          <w:sz w:val="22"/>
          <w:szCs w:val="22"/>
        </w:rPr>
        <w:t xml:space="preserve">determinadas pela máxima autoridade da esfera administrativa a que está subordinado o </w:t>
      </w:r>
      <w:r>
        <w:rPr>
          <w:rFonts w:hint="default" w:ascii="Arial" w:hAnsi="Arial" w:cs="Arial"/>
          <w:color w:val="000000"/>
          <w:sz w:val="22"/>
          <w:szCs w:val="22"/>
          <w:lang w:val="pt-BR"/>
        </w:rPr>
        <w:tab/>
      </w:r>
      <w:r>
        <w:rPr>
          <w:rFonts w:hint="default" w:ascii="Arial" w:hAnsi="Arial" w:cs="Arial"/>
          <w:color w:val="000000"/>
          <w:sz w:val="22"/>
          <w:szCs w:val="22"/>
        </w:rPr>
        <w:t>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XIII - a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XIV - a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 - o atraso superior a 90 (noventa) dias dos pagamentos devidos pela Administração </w:t>
      </w:r>
      <w:r>
        <w:rPr>
          <w:rFonts w:hint="default" w:ascii="Arial" w:hAnsi="Arial" w:cs="Arial"/>
          <w:color w:val="000000"/>
          <w:sz w:val="22"/>
          <w:szCs w:val="22"/>
          <w:lang w:val="pt-BR"/>
        </w:rPr>
        <w:tab/>
      </w:r>
      <w:r>
        <w:rPr>
          <w:rFonts w:hint="default" w:ascii="Arial" w:hAnsi="Arial" w:cs="Arial"/>
          <w:color w:val="000000"/>
          <w:sz w:val="22"/>
          <w:szCs w:val="22"/>
        </w:rPr>
        <w:t xml:space="preserve">decorrentes de obras, serviços ou fornecimento, ou parcelas destes, já recebidos ou </w:t>
      </w:r>
      <w:r>
        <w:rPr>
          <w:rFonts w:hint="default" w:ascii="Arial" w:hAnsi="Arial" w:cs="Arial"/>
          <w:color w:val="000000"/>
          <w:sz w:val="22"/>
          <w:szCs w:val="22"/>
          <w:lang w:val="pt-BR"/>
        </w:rPr>
        <w:tab/>
      </w:r>
      <w:r>
        <w:rPr>
          <w:rFonts w:hint="default" w:ascii="Arial" w:hAnsi="Arial" w:cs="Arial"/>
          <w:color w:val="000000"/>
          <w:sz w:val="22"/>
          <w:szCs w:val="22"/>
        </w:rPr>
        <w:t xml:space="preserve">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 xml:space="preserve">ou guerra, 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 - a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XVII - a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XVIII – descumprimento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EXECUTIVO MUNICIPAL</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9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EXECUTIVO MUNICIPAL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02</w:t>
            </w:r>
            <w:r>
              <w:rPr>
                <w:rFonts w:hint="default" w:ascii="Arial" w:hAnsi="Arial" w:eastAsia="Times New Roman" w:cs="Arial"/>
                <w:b w:val="0"/>
                <w:bCs/>
                <w:kern w:val="0"/>
                <w:sz w:val="16"/>
                <w:szCs w:val="16"/>
                <w:highlight w:val="none"/>
                <w:lang w:val="pt-BR" w:eastAsia="zh-CN" w:bidi="ar"/>
              </w:rPr>
              <w:t>.00.</w:t>
            </w:r>
            <w:r>
              <w:rPr>
                <w:rFonts w:hint="default" w:ascii="Arial" w:hAnsi="Arial" w:cs="Arial"/>
                <w:b w:val="0"/>
                <w:bCs/>
                <w:kern w:val="0"/>
                <w:sz w:val="16"/>
                <w:szCs w:val="16"/>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02</w:t>
            </w:r>
            <w:r>
              <w:rPr>
                <w:rFonts w:hint="default" w:ascii="Arial" w:hAnsi="Arial" w:eastAsia="Times New Roman" w:cs="Arial"/>
                <w:b w:val="0"/>
                <w:bCs/>
                <w:kern w:val="0"/>
                <w:sz w:val="16"/>
                <w:szCs w:val="16"/>
                <w:highlight w:val="none"/>
                <w:lang w:val="pt-BR" w:eastAsia="zh-CN" w:bidi="ar"/>
              </w:rPr>
              <w:t>.00</w:t>
            </w:r>
            <w:r>
              <w:rPr>
                <w:rFonts w:hint="default" w:ascii="Arial" w:hAnsi="Arial" w:cs="Arial"/>
                <w:b w:val="0"/>
                <w:bCs/>
                <w:kern w:val="0"/>
                <w:sz w:val="16"/>
                <w:szCs w:val="16"/>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26.782.0027-</w:t>
            </w:r>
            <w:r>
              <w:rPr>
                <w:rFonts w:hint="default" w:ascii="Arial" w:hAnsi="Arial" w:cs="Arial"/>
                <w:b w:val="0"/>
                <w:bCs/>
                <w:kern w:val="0"/>
                <w:sz w:val="16"/>
                <w:szCs w:val="16"/>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 xml:space="preserve">CONSTRUÇÃO DO COMANDO REGIONAL DA PM-MT. </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1088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78</w:t>
            </w:r>
            <w:r>
              <w:rPr>
                <w:rFonts w:hint="default" w:ascii="Arial" w:hAnsi="Arial" w:eastAsia="Times New Roman" w:cs="Arial"/>
                <w:b w:val="0"/>
                <w:bCs/>
                <w:kern w:val="0"/>
                <w:sz w:val="16"/>
                <w:szCs w:val="16"/>
                <w:highlight w:val="none"/>
                <w:lang w:val="pt-BR" w:eastAsia="zh-CN" w:bidi="ar"/>
              </w:rPr>
              <w:t>/202</w:t>
            </w:r>
            <w:r>
              <w:rPr>
                <w:rFonts w:hint="default" w:ascii="Arial" w:hAnsi="Arial" w:cs="Arial"/>
                <w:b w:val="0"/>
                <w:bCs/>
                <w:kern w:val="0"/>
                <w:sz w:val="16"/>
                <w:szCs w:val="16"/>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CONVÊNIO ESTADO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sz w:val="21"/>
          <w:szCs w:val="21"/>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EXECUTIVO MUNICIPAL</w:t>
            </w:r>
          </w:p>
        </w:tc>
      </w:tr>
      <w:tr>
        <w:tblPrEx>
          <w:shd w:val="clear" w:color="auto" w:fill="auto"/>
          <w:tblCellMar>
            <w:top w:w="0" w:type="dxa"/>
            <w:left w:w="100" w:type="dxa"/>
            <w:bottom w:w="0" w:type="dxa"/>
            <w:right w:w="100" w:type="dxa"/>
          </w:tblCellMar>
        </w:tblPrEx>
        <w:trPr>
          <w:trHeight w:val="24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02</w:t>
            </w:r>
            <w:r>
              <w:rPr>
                <w:rFonts w:hint="default" w:ascii="Arial" w:hAnsi="Arial" w:eastAsia="Times New Roman" w:cs="Arial"/>
                <w:b w:val="0"/>
                <w:bCs/>
                <w:kern w:val="0"/>
                <w:sz w:val="16"/>
                <w:szCs w:val="16"/>
                <w:highlight w:val="none"/>
                <w:lang w:val="pt-BR" w:eastAsia="zh-CN" w:bidi="ar"/>
              </w:rPr>
              <w:t>.00.</w:t>
            </w:r>
            <w:r>
              <w:rPr>
                <w:rFonts w:hint="default" w:ascii="Arial" w:hAnsi="Arial" w:cs="Arial"/>
                <w:b w:val="0"/>
                <w:bCs/>
                <w:kern w:val="0"/>
                <w:sz w:val="16"/>
                <w:szCs w:val="16"/>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02</w:t>
            </w:r>
            <w:r>
              <w:rPr>
                <w:rFonts w:hint="default" w:ascii="Arial" w:hAnsi="Arial" w:eastAsia="Times New Roman" w:cs="Arial"/>
                <w:b w:val="0"/>
                <w:bCs/>
                <w:kern w:val="0"/>
                <w:sz w:val="16"/>
                <w:szCs w:val="16"/>
                <w:highlight w:val="none"/>
                <w:lang w:val="pt-BR" w:eastAsia="zh-CN" w:bidi="ar"/>
              </w:rPr>
              <w:t>.00</w:t>
            </w:r>
            <w:r>
              <w:rPr>
                <w:rFonts w:hint="default" w:ascii="Arial" w:hAnsi="Arial" w:cs="Arial"/>
                <w:b w:val="0"/>
                <w:bCs/>
                <w:kern w:val="0"/>
                <w:sz w:val="16"/>
                <w:szCs w:val="16"/>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CHEFIA DE GABINETE</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26.782.0027-</w:t>
            </w:r>
            <w:r>
              <w:rPr>
                <w:rFonts w:hint="default" w:ascii="Arial" w:hAnsi="Arial" w:cs="Arial"/>
                <w:b w:val="0"/>
                <w:bCs/>
                <w:kern w:val="0"/>
                <w:sz w:val="16"/>
                <w:szCs w:val="16"/>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 xml:space="preserve">CONSTRUÇÃO DO COMANDO REGIONAL DA PM-MT. </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1089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79</w:t>
            </w:r>
            <w:r>
              <w:rPr>
                <w:rFonts w:hint="default" w:ascii="Arial" w:hAnsi="Arial" w:eastAsia="Times New Roman" w:cs="Arial"/>
                <w:b w:val="0"/>
                <w:bCs/>
                <w:kern w:val="0"/>
                <w:sz w:val="16"/>
                <w:szCs w:val="16"/>
                <w:highlight w:val="none"/>
                <w:lang w:val="pt-BR" w:eastAsia="zh-CN" w:bidi="ar"/>
              </w:rPr>
              <w:t>/202</w:t>
            </w:r>
            <w:r>
              <w:rPr>
                <w:rFonts w:hint="default" w:ascii="Arial" w:hAnsi="Arial" w:cs="Arial"/>
                <w:b w:val="0"/>
                <w:bCs/>
                <w:kern w:val="0"/>
                <w:sz w:val="16"/>
                <w:szCs w:val="16"/>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6"/>
                <w:szCs w:val="16"/>
                <w:highlight w:val="none"/>
                <w:lang w:val="pt-BR"/>
              </w:rPr>
            </w:pPr>
            <w:r>
              <w:rPr>
                <w:rFonts w:hint="default" w:ascii="Arial" w:hAnsi="Arial" w:cs="Arial"/>
                <w:b w:val="0"/>
                <w:bCs/>
                <w:sz w:val="16"/>
                <w:szCs w:val="16"/>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b/>
          <w:bCs/>
          <w:highlight w:val="none"/>
          <w:lang w:val="pt-BR"/>
        </w:rPr>
        <w:t>R$ 4.445.311,28 (Quatro milhões, quatrocentos e quarenta e cinco mil, trezentos e onze Reais e vinte e oito centavo);</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016/2022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016/2022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18</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15</w:t>
      </w:r>
      <w:r>
        <w:rPr>
          <w:rFonts w:ascii="Arial" w:hAnsi="Arial" w:cs="Arial"/>
          <w:b/>
          <w:sz w:val="22"/>
          <w:szCs w:val="22"/>
        </w:rPr>
        <w:t>/</w:t>
      </w:r>
      <w:r>
        <w:rPr>
          <w:rFonts w:hint="default" w:ascii="Arial" w:hAnsi="Arial" w:cs="Arial"/>
          <w:b/>
          <w:sz w:val="22"/>
          <w:szCs w:val="22"/>
          <w:lang w:val="pt-BR"/>
        </w:rPr>
        <w:t>05</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3</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William Takao Haraki</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599"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99"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99"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016/2022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13 </w:t>
      </w:r>
      <w:r>
        <w:rPr>
          <w:rFonts w:ascii="Arial" w:hAnsi="Arial" w:cs="Arial"/>
          <w:sz w:val="22"/>
          <w:szCs w:val="22"/>
        </w:rPr>
        <w:t xml:space="preserve">de </w:t>
      </w:r>
      <w:r>
        <w:rPr>
          <w:rFonts w:hint="default" w:ascii="Arial" w:hAnsi="Arial" w:cs="Arial"/>
          <w:sz w:val="22"/>
          <w:szCs w:val="22"/>
          <w:lang w:val="pt-BR"/>
        </w:rPr>
        <w:t>abril</w:t>
      </w:r>
      <w:bookmarkStart w:id="63" w:name="_GoBack"/>
      <w:bookmarkEnd w:id="63"/>
      <w:r>
        <w:rPr>
          <w:rFonts w:hint="default" w:ascii="Arial" w:hAnsi="Arial" w:cs="Arial"/>
          <w:sz w:val="22"/>
          <w:szCs w:val="22"/>
          <w:lang w:val="pt-BR"/>
        </w:rPr>
        <w:t xml:space="preserve">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hint="default" w:ascii="Arial" w:hAnsi="Arial" w:cs="Arial"/>
          <w:b/>
          <w:sz w:val="22"/>
          <w:szCs w:val="22"/>
          <w:lang w:val="pt-BR"/>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p>
    <w:p>
      <w:pPr>
        <w:jc w:val="both"/>
        <w:rPr>
          <w:rFonts w:hint="default" w:ascii="Arial" w:hAnsi="Arial" w:cs="Arial"/>
          <w:b/>
          <w:bCs/>
          <w:sz w:val="20"/>
          <w:szCs w:val="20"/>
          <w:lang w:val="pt-BR"/>
        </w:rPr>
      </w:pPr>
    </w:p>
    <w:p>
      <w:pPr>
        <w:jc w:val="both"/>
        <w:rPr>
          <w:rFonts w:hint="default" w:ascii="Arial" w:hAnsi="Arial" w:cs="Arial"/>
          <w:b/>
          <w:sz w:val="18"/>
          <w:szCs w:val="18"/>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016/2022</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EXECUTIVO MUNICIPAL</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5"/>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5"/>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300 (trezentos )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EXECUTIVO MUNICIPAL</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016/2022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380557842"/>
      <w:bookmarkStart w:id="46" w:name="_Toc514666353"/>
      <w:bookmarkStart w:id="47" w:name="_Toc406483890"/>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016/2022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016/2022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514666356"/>
      <w:bookmarkStart w:id="53" w:name="_Toc409103972"/>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016/2022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016/2022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EXECUTIVO MUNICIPAL</w:t>
      </w:r>
    </w:p>
    <w:p>
      <w:pPr>
        <w:autoSpaceDE w:val="0"/>
        <w:autoSpaceDN w:val="0"/>
        <w:adjustRightInd w:val="0"/>
        <w:ind w:right="27"/>
        <w:jc w:val="both"/>
        <w:outlineLvl w:val="0"/>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016/2022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3732650"/>
      <w:bookmarkStart w:id="58" w:name="_Toc514666358"/>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016/2022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EXECUTIVO MUNICIPAL</w:t>
      </w: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016/2022</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016/2022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016/2022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EXECUTIVO MUNICIPAL</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016/2022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016/2022</w:t>
      </w:r>
      <w:r>
        <w:rPr>
          <w:rFonts w:ascii="Arial" w:hAnsi="Arial" w:cs="Arial"/>
          <w:sz w:val="22"/>
          <w:szCs w:val="22"/>
        </w:rPr>
        <w:t xml:space="preserve"> – Prefeitura de Primavera do Leste/MT. DECLARA, sob as penas da lei, que tem pleno conhecimento do Cronograma Financeiro de desembolso  e do prazo de execução da obra de </w:t>
      </w:r>
      <w:r>
        <w:rPr>
          <w:rFonts w:hint="default" w:ascii="Arial" w:hAnsi="Arial" w:cs="Arial"/>
          <w:sz w:val="22"/>
          <w:szCs w:val="22"/>
          <w:lang w:val="pt-BR"/>
        </w:rPr>
        <w:t>300 (trezentos)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016/2022</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1557/2022</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EXECUTIVO MUNICIPAL</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EXECUTIVO MUNICIPAL</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1557/2022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016/2022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8"/>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016/2022</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300 (trezentos)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390 </w:t>
      </w:r>
      <w:r>
        <w:rPr>
          <w:rFonts w:ascii="Arial" w:hAnsi="Arial" w:cs="Arial"/>
          <w:sz w:val="22"/>
          <w:szCs w:val="22"/>
        </w:rPr>
        <w:t>(</w:t>
      </w:r>
      <w:r>
        <w:rPr>
          <w:rFonts w:hint="default" w:ascii="Arial" w:hAnsi="Arial" w:cs="Arial"/>
          <w:sz w:val="22"/>
          <w:szCs w:val="22"/>
          <w:lang w:val="pt-BR"/>
        </w:rPr>
        <w:t>trezentos e noventa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8"/>
        </w:numPr>
        <w:spacing w:after="120"/>
        <w:jc w:val="both"/>
      </w:pPr>
      <w:r>
        <w:rPr>
          <w:rFonts w:ascii="Arial" w:hAnsi="Arial" w:cs="Arial"/>
          <w:b/>
          <w:sz w:val="22"/>
          <w:szCs w:val="22"/>
        </w:rPr>
        <w:t>CLÁUSULA QUARTA – DOTAÇÃO ORÇAMENTÁRIA</w:t>
      </w:r>
    </w:p>
    <w:p>
      <w:pPr>
        <w:pStyle w:val="84"/>
        <w:widowControl w:val="0"/>
        <w:numPr>
          <w:ilvl w:val="1"/>
          <w:numId w:val="28"/>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EXECUTIVO MUNICIPAL</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9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EXECUTIVO MUNICIPAL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w:t>
            </w:r>
            <w:r>
              <w:rPr>
                <w:rFonts w:hint="default" w:ascii="Arial" w:hAnsi="Arial" w:cs="Arial"/>
                <w:b w:val="0"/>
                <w:bCs/>
                <w:kern w:val="0"/>
                <w:sz w:val="18"/>
                <w:szCs w:val="18"/>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DO COMANDO REGIONAL DA PM-MT.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1088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78</w:t>
            </w:r>
            <w:r>
              <w:rPr>
                <w:rFonts w:hint="default" w:ascii="Arial" w:hAnsi="Arial" w:eastAsia="Times New Roman" w:cs="Arial"/>
                <w:b w:val="0"/>
                <w:bCs/>
                <w:kern w:val="0"/>
                <w:sz w:val="18"/>
                <w:szCs w:val="18"/>
                <w:highlight w:val="none"/>
                <w:lang w:val="pt-BR" w:eastAsia="zh-CN" w:bidi="ar"/>
              </w:rPr>
              <w:t>/202</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CONVÊNIO ESTADO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EXECUTIVO MUNICIPAL</w:t>
            </w:r>
          </w:p>
        </w:tc>
      </w:tr>
      <w:tr>
        <w:tblPrEx>
          <w:shd w:val="clear" w:color="auto" w:fill="auto"/>
        </w:tblPrEx>
        <w:trPr>
          <w:trHeight w:val="24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02</w:t>
            </w:r>
            <w:r>
              <w:rPr>
                <w:rFonts w:hint="default" w:ascii="Arial" w:hAnsi="Arial" w:eastAsia="Times New Roman" w:cs="Arial"/>
                <w:b w:val="0"/>
                <w:bCs/>
                <w:kern w:val="0"/>
                <w:sz w:val="18"/>
                <w:szCs w:val="18"/>
                <w:highlight w:val="none"/>
                <w:lang w:val="pt-BR" w:eastAsia="zh-CN" w:bidi="ar"/>
              </w:rPr>
              <w:t>.00</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CHEFIA DE GABINETE</w:t>
            </w:r>
          </w:p>
        </w:tc>
      </w:tr>
      <w:tr>
        <w:tblPrEx>
          <w:shd w:val="clear" w:color="auto" w:fill="auto"/>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26.782.0027-</w:t>
            </w:r>
            <w:r>
              <w:rPr>
                <w:rFonts w:hint="default" w:ascii="Arial" w:hAnsi="Arial" w:cs="Arial"/>
                <w:b w:val="0"/>
                <w:bCs/>
                <w:kern w:val="0"/>
                <w:sz w:val="18"/>
                <w:szCs w:val="18"/>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 xml:space="preserve">CONSTRUÇÃO DO COMANDO REGIONAL DA PM-MT.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1089</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eastAsia="Times New Roman" w:cs="Arial"/>
                <w:b w:val="0"/>
                <w:bCs/>
                <w:kern w:val="0"/>
                <w:sz w:val="18"/>
                <w:szCs w:val="18"/>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
              </w:rPr>
            </w:pPr>
            <w:r>
              <w:rPr>
                <w:rFonts w:hint="default" w:ascii="Arial" w:hAnsi="Arial" w:eastAsia="Times New Roman" w:cs="Arial"/>
                <w:b w:val="0"/>
                <w:bCs/>
                <w:kern w:val="0"/>
                <w:sz w:val="18"/>
                <w:szCs w:val="18"/>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8"/>
                <w:szCs w:val="18"/>
                <w:highlight w:val="none"/>
                <w:lang w:val="pt-BR"/>
              </w:rPr>
            </w:pPr>
            <w:r>
              <w:rPr>
                <w:rFonts w:hint="default" w:ascii="Arial" w:hAnsi="Arial" w:cs="Arial"/>
                <w:b w:val="0"/>
                <w:bCs/>
                <w:kern w:val="0"/>
                <w:sz w:val="18"/>
                <w:szCs w:val="18"/>
                <w:highlight w:val="none"/>
                <w:lang w:val="pt-BR" w:eastAsia="zh-CN" w:bidi="ar"/>
              </w:rPr>
              <w:t>79</w:t>
            </w:r>
            <w:r>
              <w:rPr>
                <w:rFonts w:hint="default" w:ascii="Arial" w:hAnsi="Arial" w:eastAsia="Times New Roman" w:cs="Arial"/>
                <w:b w:val="0"/>
                <w:bCs/>
                <w:kern w:val="0"/>
                <w:sz w:val="18"/>
                <w:szCs w:val="18"/>
                <w:highlight w:val="none"/>
                <w:lang w:val="pt-BR" w:eastAsia="zh-CN" w:bidi="ar"/>
              </w:rPr>
              <w:t>/202</w:t>
            </w:r>
            <w:r>
              <w:rPr>
                <w:rFonts w:hint="default" w:ascii="Arial" w:hAnsi="Arial" w:cs="Arial"/>
                <w:b w:val="0"/>
                <w:bCs/>
                <w:kern w:val="0"/>
                <w:sz w:val="18"/>
                <w:szCs w:val="18"/>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8"/>
                <w:szCs w:val="18"/>
                <w:highlight w:val="none"/>
                <w:lang w:val="pt-BR"/>
              </w:rPr>
            </w:pPr>
            <w:r>
              <w:rPr>
                <w:rFonts w:hint="default" w:ascii="Arial" w:hAnsi="Arial" w:cs="Arial"/>
                <w:b w:val="0"/>
                <w:bCs/>
                <w:sz w:val="18"/>
                <w:szCs w:val="18"/>
                <w:highlight w:val="none"/>
                <w:lang w:val="pt-BR"/>
              </w:rPr>
              <w:t>RECURSO PRÓPRIO</w:t>
            </w:r>
          </w:p>
        </w:tc>
      </w:tr>
    </w:tbl>
    <w:p>
      <w:pPr>
        <w:pStyle w:val="31"/>
        <w:widowControl w:val="0"/>
        <w:numPr>
          <w:ilvl w:val="0"/>
          <w:numId w:val="0"/>
        </w:numPr>
        <w:spacing w:before="0" w:beforeAutospacing="0" w:after="120" w:afterAutospacing="0"/>
        <w:ind w:right="0" w:rightChars="0"/>
        <w:rPr>
          <w:rFonts w:ascii="Arial" w:hAnsi="Arial" w:cs="Arial"/>
          <w:sz w:val="22"/>
          <w:szCs w:val="22"/>
        </w:rPr>
      </w:pPr>
    </w:p>
    <w:p>
      <w:pPr>
        <w:pStyle w:val="31"/>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016/2022.</w:t>
      </w:r>
    </w:p>
    <w:p>
      <w:pPr>
        <w:pStyle w:val="31"/>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Jonhnny alexandro dos reis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8"/>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8"/>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 (trezentos)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8"/>
        </w:numPr>
        <w:tabs>
          <w:tab w:val="left" w:pos="2268"/>
        </w:tabs>
        <w:spacing w:after="120"/>
        <w:ind w:left="0" w:leftChars="0" w:firstLineChars="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016/2022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016/2022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30"/>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30"/>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30"/>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30"/>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30"/>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w:t>
      </w:r>
      <w:r>
        <w:rPr>
          <w:rFonts w:hint="default" w:ascii="Arial" w:hAnsi="Arial" w:cs="Arial"/>
          <w:sz w:val="22"/>
          <w:szCs w:val="22"/>
          <w:lang w:val="pt-BR"/>
        </w:rPr>
        <w:t>, 78, 79 e 80 da Seção V, Da Inexecução e da Rescisão dos Contratos</w:t>
      </w:r>
      <w:r>
        <w:rPr>
          <w:rFonts w:ascii="Arial" w:hAnsi="Arial" w:cs="Arial"/>
          <w:sz w:val="22"/>
          <w:szCs w:val="22"/>
        </w:rPr>
        <w:t xml:space="preserve"> da Lei nº 8.666, de 1993.</w:t>
      </w:r>
    </w:p>
    <w:p>
      <w:pPr>
        <w:keepNext w:val="0"/>
        <w:keepLines w:val="0"/>
        <w:pageBreakBefore w:val="0"/>
        <w:widowControl w:val="0"/>
        <w:numPr>
          <w:ilvl w:val="1"/>
          <w:numId w:val="31"/>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1"/>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w:t>
      </w:r>
      <w:r>
        <w:rPr>
          <w:rFonts w:hint="default" w:ascii="Arial" w:hAnsi="Arial" w:cs="Arial"/>
          <w:sz w:val="22"/>
          <w:szCs w:val="22"/>
          <w:lang w:val="pt-BR"/>
        </w:rPr>
        <w:t>u</w:t>
      </w:r>
      <w:r>
        <w:rPr>
          <w:rFonts w:ascii="Arial" w:hAnsi="Arial" w:cs="Arial"/>
          <w:sz w:val="22"/>
          <w:szCs w:val="22"/>
        </w:rPr>
        <w:t xml:space="preserve">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016/2022</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DA OBRA DE CONSTRUÇÃO DO COMANDO REGIONAL DA POLICIA MILITAR; NA AVENIDA CASCAVEL ESQUINA COM AVENIDA PRIMAVERA, LOTE 13, QUADRAS 39 A 48, LOTEAMENTO CIDADE PRIMAVERA II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3</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2"/>
          <w:szCs w:val="22"/>
          <w:lang w:val="pt-BR"/>
        </w:rPr>
      </w:pPr>
      <w:r>
        <w:rPr>
          <w:rFonts w:hint="default" w:ascii="Arial" w:hAnsi="Arial" w:cs="Arial"/>
          <w:sz w:val="22"/>
          <w:szCs w:val="22"/>
          <w:lang w:val="pt-BR"/>
        </w:rPr>
        <w:t>Adriano Conceição de Paula</w:t>
      </w:r>
    </w:p>
    <w:p>
      <w:pPr>
        <w:jc w:val="center"/>
        <w:rPr>
          <w:rFonts w:ascii="Arial" w:hAnsi="Arial" w:cs="Arial"/>
          <w:sz w:val="22"/>
          <w:szCs w:val="22"/>
          <w:lang w:val="pt-BR"/>
        </w:rPr>
      </w:pPr>
      <w:r>
        <w:rPr>
          <w:rFonts w:ascii="Arial" w:hAnsi="Arial" w:cs="Arial"/>
          <w:b/>
          <w:sz w:val="22"/>
          <w:szCs w:val="22"/>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016/2022</w:t>
    </w:r>
    <w:r>
      <w:rPr>
        <w:rFonts w:ascii="Arial" w:hAnsi="Arial" w:cs="Arial"/>
        <w:sz w:val="16"/>
        <w:szCs w:val="16"/>
      </w:rPr>
      <w:t xml:space="preserve"> – Processo nº </w:t>
    </w:r>
    <w:r>
      <w:rPr>
        <w:rFonts w:ascii="Arial" w:hAnsi="Arial" w:cs="Arial"/>
        <w:sz w:val="16"/>
        <w:szCs w:val="16"/>
        <w:lang w:val="pt-BR"/>
      </w:rPr>
      <w:t>1557/2022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2B45AAAF"/>
    <w:multiLevelType w:val="multilevel"/>
    <w:tmpl w:val="2B45AAA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4">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5">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9">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2">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3">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4">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5">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6">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7">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8">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30">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3"/>
  </w:num>
  <w:num w:numId="17">
    <w:abstractNumId w:val="11"/>
  </w:num>
  <w:num w:numId="18">
    <w:abstractNumId w:val="23"/>
  </w:num>
  <w:num w:numId="19">
    <w:abstractNumId w:val="18"/>
  </w:num>
  <w:num w:numId="20">
    <w:abstractNumId w:val="12"/>
  </w:num>
  <w:num w:numId="21">
    <w:abstractNumId w:val="28"/>
  </w:num>
  <w:num w:numId="22">
    <w:abstractNumId w:val="27"/>
  </w:num>
  <w:num w:numId="23">
    <w:abstractNumId w:val="7"/>
  </w:num>
  <w:num w:numId="24">
    <w:abstractNumId w:val="15"/>
  </w:num>
  <w:num w:numId="25">
    <w:abstractNumId w:val="14"/>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35E"/>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44BFA"/>
    <w:rsid w:val="02157805"/>
    <w:rsid w:val="02571576"/>
    <w:rsid w:val="034B06AF"/>
    <w:rsid w:val="03B32DD3"/>
    <w:rsid w:val="0404488B"/>
    <w:rsid w:val="040C1537"/>
    <w:rsid w:val="047A05CF"/>
    <w:rsid w:val="04AD0AB6"/>
    <w:rsid w:val="06E36073"/>
    <w:rsid w:val="079B5F7E"/>
    <w:rsid w:val="08D6142E"/>
    <w:rsid w:val="094A079D"/>
    <w:rsid w:val="09DC13D6"/>
    <w:rsid w:val="09DF0678"/>
    <w:rsid w:val="0A506206"/>
    <w:rsid w:val="0AB5402B"/>
    <w:rsid w:val="0BD96833"/>
    <w:rsid w:val="0EAF1E47"/>
    <w:rsid w:val="0F1C7B80"/>
    <w:rsid w:val="0F3E2DDB"/>
    <w:rsid w:val="0F6516A4"/>
    <w:rsid w:val="103D5040"/>
    <w:rsid w:val="11ED6840"/>
    <w:rsid w:val="128C3910"/>
    <w:rsid w:val="12D732A6"/>
    <w:rsid w:val="137B68E7"/>
    <w:rsid w:val="140734F8"/>
    <w:rsid w:val="15380997"/>
    <w:rsid w:val="1589722F"/>
    <w:rsid w:val="16F51D2A"/>
    <w:rsid w:val="178557B6"/>
    <w:rsid w:val="19A552CC"/>
    <w:rsid w:val="19CC6001"/>
    <w:rsid w:val="1A4B6C59"/>
    <w:rsid w:val="1C0D0BCA"/>
    <w:rsid w:val="200A56DE"/>
    <w:rsid w:val="206B32C2"/>
    <w:rsid w:val="20884E46"/>
    <w:rsid w:val="20C12F85"/>
    <w:rsid w:val="2103208A"/>
    <w:rsid w:val="214848AD"/>
    <w:rsid w:val="21AD35DB"/>
    <w:rsid w:val="22BA5D31"/>
    <w:rsid w:val="253D1B30"/>
    <w:rsid w:val="255319AC"/>
    <w:rsid w:val="256E7947"/>
    <w:rsid w:val="260E7FC9"/>
    <w:rsid w:val="270D4335"/>
    <w:rsid w:val="27F7711A"/>
    <w:rsid w:val="28B94EF1"/>
    <w:rsid w:val="2B096DA0"/>
    <w:rsid w:val="2F6A11CC"/>
    <w:rsid w:val="2F6D4185"/>
    <w:rsid w:val="324D4BAE"/>
    <w:rsid w:val="33416ADE"/>
    <w:rsid w:val="33BD50BA"/>
    <w:rsid w:val="346C4846"/>
    <w:rsid w:val="346C6642"/>
    <w:rsid w:val="374D6BA3"/>
    <w:rsid w:val="3862602B"/>
    <w:rsid w:val="38E41015"/>
    <w:rsid w:val="395E3F7E"/>
    <w:rsid w:val="397F5B71"/>
    <w:rsid w:val="39F5707E"/>
    <w:rsid w:val="3B39497E"/>
    <w:rsid w:val="3C9377CF"/>
    <w:rsid w:val="3CE56D52"/>
    <w:rsid w:val="3DC86320"/>
    <w:rsid w:val="3EE62549"/>
    <w:rsid w:val="4062086E"/>
    <w:rsid w:val="41A6308A"/>
    <w:rsid w:val="435A7F52"/>
    <w:rsid w:val="450C3C4E"/>
    <w:rsid w:val="465E4517"/>
    <w:rsid w:val="47FD4ADF"/>
    <w:rsid w:val="48A406F3"/>
    <w:rsid w:val="48BE0390"/>
    <w:rsid w:val="48DA7C3F"/>
    <w:rsid w:val="4A14633A"/>
    <w:rsid w:val="4A38162D"/>
    <w:rsid w:val="4EA63C80"/>
    <w:rsid w:val="4EC703E8"/>
    <w:rsid w:val="4ED069DC"/>
    <w:rsid w:val="509D3D40"/>
    <w:rsid w:val="50AC6525"/>
    <w:rsid w:val="522C3F85"/>
    <w:rsid w:val="526C3763"/>
    <w:rsid w:val="52BD6C15"/>
    <w:rsid w:val="5326555A"/>
    <w:rsid w:val="53311227"/>
    <w:rsid w:val="538801BB"/>
    <w:rsid w:val="54817A35"/>
    <w:rsid w:val="564A3A4A"/>
    <w:rsid w:val="56C63407"/>
    <w:rsid w:val="56ED1457"/>
    <w:rsid w:val="57C72C43"/>
    <w:rsid w:val="58951D01"/>
    <w:rsid w:val="58DD4CF5"/>
    <w:rsid w:val="59D15235"/>
    <w:rsid w:val="5CCC5732"/>
    <w:rsid w:val="5D3A2E77"/>
    <w:rsid w:val="5D475DAF"/>
    <w:rsid w:val="5D91644B"/>
    <w:rsid w:val="5DBE65FF"/>
    <w:rsid w:val="5E0E5372"/>
    <w:rsid w:val="602E41B6"/>
    <w:rsid w:val="60CA3C9D"/>
    <w:rsid w:val="61DB76F5"/>
    <w:rsid w:val="61EE1729"/>
    <w:rsid w:val="634C6605"/>
    <w:rsid w:val="63F336C6"/>
    <w:rsid w:val="63F347F2"/>
    <w:rsid w:val="64AE2D46"/>
    <w:rsid w:val="65251205"/>
    <w:rsid w:val="67CF6D7D"/>
    <w:rsid w:val="698D45E5"/>
    <w:rsid w:val="6A820692"/>
    <w:rsid w:val="6AB84390"/>
    <w:rsid w:val="6C126EFE"/>
    <w:rsid w:val="6C164C53"/>
    <w:rsid w:val="6C245F1F"/>
    <w:rsid w:val="6CC40102"/>
    <w:rsid w:val="6CCB2A45"/>
    <w:rsid w:val="6F5A4F08"/>
    <w:rsid w:val="6FEA7587"/>
    <w:rsid w:val="712F68AF"/>
    <w:rsid w:val="72215566"/>
    <w:rsid w:val="73CA55CF"/>
    <w:rsid w:val="74E43E05"/>
    <w:rsid w:val="764D49DD"/>
    <w:rsid w:val="76CC4D56"/>
    <w:rsid w:val="76F450A2"/>
    <w:rsid w:val="77DD6B09"/>
    <w:rsid w:val="78131160"/>
    <w:rsid w:val="78981D74"/>
    <w:rsid w:val="78C10EB1"/>
    <w:rsid w:val="797B67B2"/>
    <w:rsid w:val="7A405B67"/>
    <w:rsid w:val="7A655FB1"/>
    <w:rsid w:val="7B55620E"/>
    <w:rsid w:val="7CAD6314"/>
    <w:rsid w:val="7D5C184C"/>
    <w:rsid w:val="7DCC06B4"/>
    <w:rsid w:val="7DDD192C"/>
    <w:rsid w:val="7EB47EE6"/>
    <w:rsid w:val="7F027FC5"/>
    <w:rsid w:val="7F273F2E"/>
    <w:rsid w:val="7F9F73C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81</Pages>
  <Words>28563</Words>
  <Characters>163684</Characters>
  <Lines>1352</Lines>
  <Paragraphs>383</Paragraphs>
  <TotalTime>4</TotalTime>
  <ScaleCrop>false</ScaleCrop>
  <LinksUpToDate>false</LinksUpToDate>
  <CharactersWithSpaces>191558</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2023-04-12T18:44:00Z</cp:lastPrinted>
  <dcterms:modified xsi:type="dcterms:W3CDTF">2023-04-17T17:26:51Z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8768C1E187974D65A8EF0E0656CBEDED</vt:lpwstr>
  </property>
</Properties>
</file>