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005/2022</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025/2022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07/03/2022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005/2022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025/2022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005/2022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025/2022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025/2022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07/03/2022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sz w:val="21"/>
                      <w:szCs w:val="21"/>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sz w:val="22"/>
                <w:szCs w:val="22"/>
                <w:lang w:val="pt-BR"/>
              </w:rPr>
              <w:t>518.688,59</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53"/>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7.1.2.2.</w:t>
      </w:r>
      <w:r>
        <w:rPr>
          <w:rFonts w:hint="default"/>
          <w:b w:val="0"/>
          <w:bCs/>
          <w:sz w:val="22"/>
          <w:szCs w:val="22"/>
          <w:lang w:val="pt-BR"/>
        </w:rPr>
        <w:t xml:space="preserve"> A Procuração, Termo de Credenciamento ou qualquer outro documento que requeira assinatura com ou sem reconhecimento de firma em cartório;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005/2022</w:t>
            </w:r>
            <w:r>
              <w:rPr>
                <w:rFonts w:ascii="Arial" w:hAnsi="Arial" w:cs="Arial"/>
                <w:b/>
                <w:bCs/>
              </w:rPr>
              <w:t xml:space="preserve"> PROCESSO Nº </w:t>
            </w:r>
            <w:r>
              <w:rPr>
                <w:rFonts w:ascii="Arial" w:hAnsi="Arial" w:cs="Arial"/>
                <w:b/>
                <w:bCs/>
                <w:lang w:val="pt-BR"/>
              </w:rPr>
              <w:t>025/2022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07/03/2022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005/2022</w:t>
            </w:r>
            <w:r>
              <w:rPr>
                <w:rFonts w:ascii="Arial" w:hAnsi="Arial" w:cs="Arial"/>
                <w:b/>
                <w:bCs/>
              </w:rPr>
              <w:t xml:space="preserve"> PROCESSO Nº </w:t>
            </w:r>
            <w:r>
              <w:rPr>
                <w:rFonts w:ascii="Arial" w:hAnsi="Arial" w:cs="Arial"/>
                <w:b/>
                <w:bCs/>
                <w:lang w:val="pt-BR"/>
              </w:rPr>
              <w:t>025/2022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07/03/2022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4687"/>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rPr>
            </w:pPr>
            <w:r>
              <w:rPr>
                <w:rFonts w:hint="default" w:ascii="Arial" w:hAnsi="Arial" w:cs="Arial"/>
                <w:color w:val="000009"/>
                <w:sz w:val="20"/>
                <w:szCs w:val="20"/>
                <w:highlight w:val="none"/>
              </w:rPr>
              <w:t>Item</w:t>
            </w:r>
          </w:p>
        </w:tc>
        <w:tc>
          <w:tcPr>
            <w:tcW w:w="46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20"/>
                <w:szCs w:val="20"/>
                <w:highlight w:val="none"/>
              </w:rPr>
            </w:pPr>
            <w:r>
              <w:rPr>
                <w:rFonts w:hint="default" w:ascii="Arial" w:hAnsi="Arial" w:cs="Arial"/>
                <w:color w:val="000009"/>
                <w:sz w:val="20"/>
                <w:szCs w:val="20"/>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20"/>
                <w:szCs w:val="20"/>
                <w:highlight w:val="none"/>
                <w:lang w:val="pt-BR"/>
              </w:rPr>
            </w:pPr>
            <w:r>
              <w:rPr>
                <w:rFonts w:hint="default" w:ascii="Arial" w:hAnsi="Arial" w:cs="Arial"/>
                <w:color w:val="000009"/>
                <w:spacing w:val="6"/>
                <w:sz w:val="20"/>
                <w:szCs w:val="20"/>
                <w:highlight w:val="none"/>
              </w:rPr>
              <w:t>Quantitativo</w:t>
            </w:r>
            <w:r>
              <w:rPr>
                <w:rFonts w:hint="default" w:ascii="Arial" w:hAnsi="Arial" w:cs="Arial"/>
                <w:color w:val="000009"/>
                <w:spacing w:val="6"/>
                <w:sz w:val="20"/>
                <w:szCs w:val="20"/>
                <w:highlight w:val="none"/>
                <w:lang w:val="pt-BR"/>
              </w:rPr>
              <w:t xml:space="preserve"> </w:t>
            </w:r>
            <w:r>
              <w:rPr>
                <w:rFonts w:hint="default" w:ascii="Arial" w:hAnsi="Arial" w:cs="Arial"/>
                <w:color w:val="000009"/>
                <w:sz w:val="20"/>
                <w:szCs w:val="20"/>
                <w:highlight w:val="none"/>
              </w:rPr>
              <w:t xml:space="preserve">a </w:t>
            </w:r>
            <w:r>
              <w:rPr>
                <w:rFonts w:hint="default" w:ascii="Arial" w:hAnsi="Arial" w:cs="Arial"/>
                <w:color w:val="000009"/>
                <w:spacing w:val="5"/>
                <w:sz w:val="20"/>
                <w:szCs w:val="20"/>
                <w:highlight w:val="none"/>
              </w:rPr>
              <w:t xml:space="preserve">ser </w:t>
            </w:r>
            <w:r>
              <w:rPr>
                <w:rFonts w:hint="default" w:ascii="Arial" w:hAnsi="Arial" w:cs="Arial"/>
                <w:color w:val="000009"/>
                <w:spacing w:val="6"/>
                <w:sz w:val="20"/>
                <w:szCs w:val="20"/>
                <w:highlight w:val="none"/>
              </w:rPr>
              <w:t>comprovado.</w:t>
            </w:r>
            <w:r>
              <w:rPr>
                <w:rFonts w:hint="default" w:ascii="Arial" w:hAnsi="Arial" w:cs="Arial"/>
                <w:color w:val="000009"/>
                <w:spacing w:val="6"/>
                <w:sz w:val="20"/>
                <w:szCs w:val="20"/>
                <w:highlight w:val="none"/>
                <w:lang w:val="pt-BR"/>
              </w:rPr>
              <w:t xml:space="preserve">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center"/>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cs="Arial"/>
                <w:sz w:val="20"/>
                <w:szCs w:val="20"/>
                <w:highlight w:val="none"/>
                <w:lang w:val="pt-BR"/>
              </w:rPr>
            </w:pPr>
            <w:r>
              <w:rPr>
                <w:rFonts w:hint="default" w:ascii="Arial" w:hAnsi="Arial" w:eastAsia="Tahoma" w:cs="Arial"/>
                <w:i w:val="0"/>
                <w:color w:val="000000"/>
                <w:kern w:val="0"/>
                <w:sz w:val="20"/>
                <w:szCs w:val="20"/>
                <w:u w:val="none"/>
                <w:lang w:val="en-US" w:eastAsia="zh-CN" w:bidi="ar"/>
              </w:rPr>
              <w:t>3.1</w:t>
            </w:r>
          </w:p>
        </w:tc>
        <w:tc>
          <w:tcPr>
            <w:tcW w:w="4687" w:type="dxa"/>
            <w:vAlign w:val="top"/>
          </w:tcPr>
          <w:p>
            <w:pPr>
              <w:pStyle w:val="370"/>
              <w:keepNext w:val="0"/>
              <w:keepLines w:val="0"/>
              <w:suppressLineNumbers w:val="0"/>
              <w:spacing w:before="0" w:beforeAutospacing="0" w:after="160" w:afterAutospacing="0" w:line="270" w:lineRule="exact"/>
              <w:ind w:left="0" w:right="1"/>
              <w:jc w:val="both"/>
              <w:rPr>
                <w:rFonts w:hint="default" w:ascii="Arial" w:hAnsi="Arial" w:cs="Arial"/>
                <w:sz w:val="20"/>
                <w:szCs w:val="20"/>
                <w:highlight w:val="none"/>
                <w:lang w:val="pt-BR"/>
              </w:rPr>
            </w:pPr>
            <w:r>
              <w:rPr>
                <w:rFonts w:hint="default" w:ascii="Arial" w:hAnsi="Arial" w:cs="Arial"/>
                <w:sz w:val="20"/>
                <w:szCs w:val="20"/>
                <w:highlight w:val="none"/>
                <w:lang w:val="pt-BR"/>
              </w:rPr>
              <w:t>Execução de Passeio em piso intertravado, com bloco retangular 20x10CM espessira 6CM</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20"/>
                <w:szCs w:val="20"/>
                <w:highlight w:val="none"/>
                <w:lang w:val="pt-BR"/>
              </w:rPr>
            </w:pPr>
            <w:r>
              <w:rPr>
                <w:rFonts w:hint="default" w:ascii="Arial" w:hAnsi="Arial" w:cs="Arial"/>
                <w:sz w:val="20"/>
                <w:szCs w:val="20"/>
                <w:highlight w:val="none"/>
                <w:lang w:val="pt-BR"/>
              </w:rPr>
              <w:t>926,10 M2</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0"/>
                <w:szCs w:val="20"/>
                <w:highlight w:val="none"/>
                <w:lang w:val="pt-BR"/>
              </w:rPr>
            </w:pPr>
            <w:r>
              <w:rPr>
                <w:rFonts w:hint="default" w:ascii="Arial" w:hAnsi="Arial" w:cs="Arial"/>
                <w:b/>
                <w:bCs/>
                <w:sz w:val="20"/>
                <w:szCs w:val="20"/>
                <w:highlight w:val="none"/>
                <w:lang w:val="pt-BR"/>
              </w:rPr>
              <w:t>463 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20"/>
                <w:szCs w:val="20"/>
                <w:highlight w:val="none"/>
                <w:lang w:val="pt-BR"/>
              </w:rPr>
            </w:pPr>
          </w:p>
        </w:tc>
        <w:tc>
          <w:tcPr>
            <w:tcW w:w="4687" w:type="dxa"/>
            <w:vAlign w:val="top"/>
          </w:tcPr>
          <w:p>
            <w:pPr>
              <w:pStyle w:val="370"/>
              <w:keepNext w:val="0"/>
              <w:keepLines w:val="0"/>
              <w:suppressLineNumbers w:val="0"/>
              <w:spacing w:before="0" w:beforeAutospacing="0" w:after="160" w:afterAutospacing="0" w:line="270" w:lineRule="exact"/>
              <w:ind w:left="133" w:right="131"/>
              <w:jc w:val="both"/>
              <w:rPr>
                <w:rFonts w:hint="default" w:ascii="Arial" w:hAnsi="Arial" w:cs="Arial"/>
                <w:sz w:val="20"/>
                <w:szCs w:val="20"/>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20"/>
                <w:szCs w:val="20"/>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0"/>
                <w:szCs w:val="20"/>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20"/>
                <w:szCs w:val="20"/>
                <w:highlight w:val="none"/>
                <w:lang w:val="pt-BR"/>
              </w:rPr>
            </w:pPr>
            <w:r>
              <w:rPr>
                <w:rFonts w:hint="default" w:ascii="Arial" w:hAnsi="Arial" w:cs="Arial"/>
                <w:sz w:val="20"/>
                <w:szCs w:val="20"/>
                <w:highlight w:val="none"/>
                <w:lang w:val="pt-BR"/>
              </w:rPr>
              <w:t>13.1</w:t>
            </w:r>
          </w:p>
        </w:tc>
        <w:tc>
          <w:tcPr>
            <w:tcW w:w="4687" w:type="dxa"/>
            <w:vAlign w:val="top"/>
          </w:tcPr>
          <w:p>
            <w:pPr>
              <w:pStyle w:val="370"/>
              <w:keepNext w:val="0"/>
              <w:keepLines w:val="0"/>
              <w:suppressLineNumbers w:val="0"/>
              <w:spacing w:before="0" w:beforeAutospacing="0" w:after="160" w:afterAutospacing="0" w:line="270" w:lineRule="exact"/>
              <w:ind w:left="133" w:leftChars="0" w:right="131" w:rightChars="0"/>
              <w:jc w:val="both"/>
              <w:rPr>
                <w:rFonts w:hint="default" w:ascii="Arial" w:hAnsi="Arial" w:cs="Arial"/>
                <w:sz w:val="20"/>
                <w:szCs w:val="20"/>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20"/>
                <w:szCs w:val="20"/>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0"/>
                <w:szCs w:val="20"/>
                <w:highlight w:val="none"/>
                <w:lang w:val="pt-BR"/>
              </w:rPr>
            </w:pP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12.2.</w:t>
      </w:r>
      <w:r>
        <w:t xml:space="preserve"> O prazo para vistoria iniciar-se-á no dia útil seguinte ao da publicação do Edital, estendendo-se até o dia 3º dia útil anterior à data prevista para abertura dos envelopes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 </w:t>
      </w: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518.688,59 (Quinhentos e dezoito mil, seiscentos e oitenta e oito Reais e cinquenta e nove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005/2022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005/2022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03</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28</w:t>
      </w:r>
      <w:r>
        <w:rPr>
          <w:rFonts w:ascii="Arial" w:hAnsi="Arial" w:cs="Arial"/>
          <w:b/>
          <w:sz w:val="22"/>
          <w:szCs w:val="22"/>
        </w:rPr>
        <w:t>/</w:t>
      </w:r>
      <w:r>
        <w:rPr>
          <w:rFonts w:hint="default" w:ascii="Arial" w:hAnsi="Arial" w:cs="Arial"/>
          <w:b/>
          <w:sz w:val="22"/>
          <w:szCs w:val="22"/>
          <w:lang w:val="pt-BR"/>
        </w:rPr>
        <w:t>01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hint="default" w:ascii="Arial" w:hAnsi="Arial" w:cs="Arial"/>
                <w:sz w:val="22"/>
                <w:szCs w:val="22"/>
                <w:lang w:val="pt-BR"/>
              </w:rPr>
              <w:t xml:space="preserve">Suplente do </w:t>
            </w: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005/2022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15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005</w:t>
      </w:r>
      <w:r>
        <w:rPr>
          <w:rFonts w:ascii="Arial" w:hAnsi="Arial" w:cs="Arial"/>
          <w:b/>
          <w:sz w:val="18"/>
          <w:szCs w:val="18"/>
          <w:lang w:val="pt-BR"/>
        </w:rPr>
        <w:t>/202</w:t>
      </w:r>
      <w:r>
        <w:rPr>
          <w:rFonts w:hint="default" w:ascii="Arial" w:hAnsi="Arial" w:cs="Arial"/>
          <w:b/>
          <w:sz w:val="18"/>
          <w:szCs w:val="18"/>
          <w:lang w:val="pt-BR"/>
        </w:rPr>
        <w:t>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210 (Duzentos e dez)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005/2022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005/2022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005/2022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514666356"/>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005/2022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005/2022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005/2022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005/2022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005/2022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005/2022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005/2022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005/2022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005/2022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210 (Duzentos e dez) </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bookmarkStart w:id="61" w:name="_GoBack"/>
      <w:bookmarkEnd w:id="61"/>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005/2022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025/2022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025/2022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005/2022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1"/>
                <w:szCs w:val="21"/>
                <w:lang w:val="pt-BR"/>
              </w:rPr>
              <w:t>CONTRATAÇÃO DE EMPRESA ESPECIALIZADA PARA EXECUÇÃO DE CONSTRUÇÃO DE REDE DE DISTRIBUIÇÃO PRIMÁRIA COMPACTA 13,8 KV (2,373 KM), REDE DE DISTRIBUIÇÃO SECUNDÁRIA 220/127V (4,215 KM), PT 15 KVA (04 UNIDADES) E 184 LUMINÁRIAS LED 200W</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005/2022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210</w:t>
      </w:r>
      <w:r>
        <w:rPr>
          <w:rFonts w:ascii="Arial" w:hAnsi="Arial" w:cs="Arial"/>
          <w:sz w:val="22"/>
          <w:szCs w:val="22"/>
        </w:rPr>
        <w:t xml:space="preserve"> (</w:t>
      </w:r>
      <w:r>
        <w:rPr>
          <w:rFonts w:hint="default" w:ascii="Arial" w:hAnsi="Arial" w:cs="Arial"/>
          <w:sz w:val="22"/>
          <w:szCs w:val="22"/>
          <w:lang w:val="pt-BR"/>
        </w:rPr>
        <w:t>duzentos e dez</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005/2022.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210 (Duzentos e dez) </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005/2022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005/2022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005/2022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15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005/2022</w:t>
    </w:r>
    <w:r>
      <w:rPr>
        <w:rFonts w:ascii="Arial" w:hAnsi="Arial" w:cs="Arial"/>
        <w:sz w:val="16"/>
        <w:szCs w:val="16"/>
      </w:rPr>
      <w:t xml:space="preserve"> – Processo nº </w:t>
    </w:r>
    <w:r>
      <w:rPr>
        <w:rFonts w:ascii="Arial" w:hAnsi="Arial" w:cs="Arial"/>
        <w:sz w:val="16"/>
        <w:szCs w:val="16"/>
        <w:lang w:val="pt-BR"/>
      </w:rPr>
      <w:t>025/2022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753321B"/>
    <w:rsid w:val="08D74D78"/>
    <w:rsid w:val="09BD51FB"/>
    <w:rsid w:val="0A8715A7"/>
    <w:rsid w:val="0B261246"/>
    <w:rsid w:val="0BF6376D"/>
    <w:rsid w:val="0BFE6104"/>
    <w:rsid w:val="0C68195B"/>
    <w:rsid w:val="0C697691"/>
    <w:rsid w:val="0CE970EE"/>
    <w:rsid w:val="0DD11FE8"/>
    <w:rsid w:val="0E3C740D"/>
    <w:rsid w:val="0F2D4E93"/>
    <w:rsid w:val="10774888"/>
    <w:rsid w:val="113D2496"/>
    <w:rsid w:val="115300D0"/>
    <w:rsid w:val="128D66E5"/>
    <w:rsid w:val="12D33540"/>
    <w:rsid w:val="132A11B2"/>
    <w:rsid w:val="136C338E"/>
    <w:rsid w:val="14063CD2"/>
    <w:rsid w:val="14175551"/>
    <w:rsid w:val="158057A4"/>
    <w:rsid w:val="16F212BE"/>
    <w:rsid w:val="188F4D50"/>
    <w:rsid w:val="1968243D"/>
    <w:rsid w:val="19CD55BD"/>
    <w:rsid w:val="1A6431B3"/>
    <w:rsid w:val="1BC3436D"/>
    <w:rsid w:val="1C2D6798"/>
    <w:rsid w:val="1D4A1A8B"/>
    <w:rsid w:val="1E2A3959"/>
    <w:rsid w:val="1E587CAE"/>
    <w:rsid w:val="1F3A1BBD"/>
    <w:rsid w:val="1F9C3F81"/>
    <w:rsid w:val="1FFA75AB"/>
    <w:rsid w:val="20614BAA"/>
    <w:rsid w:val="22137FDB"/>
    <w:rsid w:val="22AC77B2"/>
    <w:rsid w:val="23CF3B42"/>
    <w:rsid w:val="24E811A0"/>
    <w:rsid w:val="26744675"/>
    <w:rsid w:val="2700080D"/>
    <w:rsid w:val="27A03DEC"/>
    <w:rsid w:val="27C17D0D"/>
    <w:rsid w:val="280C6912"/>
    <w:rsid w:val="2833270A"/>
    <w:rsid w:val="292B67CC"/>
    <w:rsid w:val="29756AB5"/>
    <w:rsid w:val="2A3C0EE1"/>
    <w:rsid w:val="2AF33546"/>
    <w:rsid w:val="2B487D7D"/>
    <w:rsid w:val="2BA0335E"/>
    <w:rsid w:val="2CE8427B"/>
    <w:rsid w:val="2E334383"/>
    <w:rsid w:val="2F9A1B8F"/>
    <w:rsid w:val="2FCC6418"/>
    <w:rsid w:val="30A44744"/>
    <w:rsid w:val="31814A20"/>
    <w:rsid w:val="321B4B43"/>
    <w:rsid w:val="32581845"/>
    <w:rsid w:val="327F39FC"/>
    <w:rsid w:val="346F2A77"/>
    <w:rsid w:val="352B37D1"/>
    <w:rsid w:val="35AF6480"/>
    <w:rsid w:val="35C620D1"/>
    <w:rsid w:val="36525742"/>
    <w:rsid w:val="36934F38"/>
    <w:rsid w:val="373077D9"/>
    <w:rsid w:val="375B7D29"/>
    <w:rsid w:val="37A66133"/>
    <w:rsid w:val="39997573"/>
    <w:rsid w:val="3C72611F"/>
    <w:rsid w:val="3C873AF0"/>
    <w:rsid w:val="3DA611BF"/>
    <w:rsid w:val="3DC36B5D"/>
    <w:rsid w:val="3E6B24FB"/>
    <w:rsid w:val="3E9203C8"/>
    <w:rsid w:val="3EA67DCA"/>
    <w:rsid w:val="3EB02887"/>
    <w:rsid w:val="40E63F9F"/>
    <w:rsid w:val="43745B5A"/>
    <w:rsid w:val="43A26A07"/>
    <w:rsid w:val="43AE2243"/>
    <w:rsid w:val="43B34E17"/>
    <w:rsid w:val="467F787B"/>
    <w:rsid w:val="46932D52"/>
    <w:rsid w:val="47370D53"/>
    <w:rsid w:val="47EC2CC3"/>
    <w:rsid w:val="4C23123A"/>
    <w:rsid w:val="4C2570C5"/>
    <w:rsid w:val="4C4D6776"/>
    <w:rsid w:val="4D0C492B"/>
    <w:rsid w:val="4E063CB2"/>
    <w:rsid w:val="4EAA2EDC"/>
    <w:rsid w:val="4EF51114"/>
    <w:rsid w:val="51655364"/>
    <w:rsid w:val="51A21F1A"/>
    <w:rsid w:val="5283057C"/>
    <w:rsid w:val="53396A1D"/>
    <w:rsid w:val="54473758"/>
    <w:rsid w:val="54B0514E"/>
    <w:rsid w:val="54F81488"/>
    <w:rsid w:val="55440236"/>
    <w:rsid w:val="556E0BC6"/>
    <w:rsid w:val="56BD51D9"/>
    <w:rsid w:val="56CD6945"/>
    <w:rsid w:val="57214DA0"/>
    <w:rsid w:val="58644C20"/>
    <w:rsid w:val="58B87F2D"/>
    <w:rsid w:val="596E33AD"/>
    <w:rsid w:val="5A0E3275"/>
    <w:rsid w:val="5B507138"/>
    <w:rsid w:val="5BDB1229"/>
    <w:rsid w:val="5C9C12BF"/>
    <w:rsid w:val="5D1529E5"/>
    <w:rsid w:val="5D972D13"/>
    <w:rsid w:val="5EAA040C"/>
    <w:rsid w:val="5EF20B03"/>
    <w:rsid w:val="60781307"/>
    <w:rsid w:val="610E0C69"/>
    <w:rsid w:val="623263D0"/>
    <w:rsid w:val="62D33282"/>
    <w:rsid w:val="631909D2"/>
    <w:rsid w:val="638852E5"/>
    <w:rsid w:val="63934206"/>
    <w:rsid w:val="639B49D2"/>
    <w:rsid w:val="64717055"/>
    <w:rsid w:val="655A5AC2"/>
    <w:rsid w:val="67056D2B"/>
    <w:rsid w:val="671A5B83"/>
    <w:rsid w:val="67882638"/>
    <w:rsid w:val="6797018A"/>
    <w:rsid w:val="68610D54"/>
    <w:rsid w:val="68A00A21"/>
    <w:rsid w:val="692B1013"/>
    <w:rsid w:val="693127D7"/>
    <w:rsid w:val="694B1B6E"/>
    <w:rsid w:val="6A446CA9"/>
    <w:rsid w:val="6A91453A"/>
    <w:rsid w:val="6ADC74BB"/>
    <w:rsid w:val="6B136C46"/>
    <w:rsid w:val="6CE8389F"/>
    <w:rsid w:val="6DA14B43"/>
    <w:rsid w:val="6DBE0B18"/>
    <w:rsid w:val="6E1B50DF"/>
    <w:rsid w:val="6F3E2761"/>
    <w:rsid w:val="6F5005FE"/>
    <w:rsid w:val="6F82063C"/>
    <w:rsid w:val="70257EDA"/>
    <w:rsid w:val="719D28D3"/>
    <w:rsid w:val="729429DD"/>
    <w:rsid w:val="72E118F0"/>
    <w:rsid w:val="742731CF"/>
    <w:rsid w:val="7537091A"/>
    <w:rsid w:val="75E878A2"/>
    <w:rsid w:val="76672BAF"/>
    <w:rsid w:val="776F0AA2"/>
    <w:rsid w:val="779C0A5C"/>
    <w:rsid w:val="799755EE"/>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6</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2022-02-15T21:26:00Z</cp:lastPrinted>
  <dcterms:modified xsi:type="dcterms:W3CDTF">2022-02-15T21:26:23Z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