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025/2021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2588/2021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180 (Cento e Oitenta)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lang w:val="pt-BR"/>
                    </w:rPr>
                    <w:t>Secretaria Municipal de Esporte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08/01/2022</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025/2021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2588/2021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025/2021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2588/2021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Esporte</w:t>
      </w:r>
      <w:r>
        <w:rPr>
          <w:rFonts w:hint="default"/>
          <w:i/>
          <w:lang w:val="pt-BR"/>
        </w:rPr>
        <w:t xml:space="preserve">, </w:t>
      </w:r>
      <w:r>
        <w:t xml:space="preserve">através da Comissão Permanente de Licitação, designada pela PORTARIA N° </w:t>
      </w:r>
      <w:r>
        <w:rPr>
          <w:rFonts w:hint="default"/>
          <w:lang w:val="pt-BR"/>
        </w:rPr>
        <w:t xml:space="preserve">774/2021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Esporte</w:t>
      </w:r>
      <w:r>
        <w:t xml:space="preserve">, conforme consta no Processo Administrativo nº </w:t>
      </w:r>
      <w:r>
        <w:rPr>
          <w:lang w:val="pt-BR"/>
        </w:rPr>
        <w:t>2588/2021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08/02/2022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2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08" w:type="dxa"/>
                </w:tcPr>
                <w:p>
                  <w:pPr>
                    <w:autoSpaceDE w:val="0"/>
                    <w:autoSpaceDN w:val="0"/>
                    <w:adjustRightInd w:val="0"/>
                    <w:jc w:val="both"/>
                    <w:rPr>
                      <w:rFonts w:hint="default" w:ascii="Arial" w:hAnsi="Arial" w:cs="Arial"/>
                      <w:sz w:val="20"/>
                      <w:szCs w:val="20"/>
                      <w:lang w:val="pt-BR"/>
                    </w:rPr>
                  </w:pPr>
                  <w:r>
                    <w:rPr>
                      <w:rFonts w:hint="default"/>
                      <w:sz w:val="21"/>
                      <w:szCs w:val="21"/>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1.007.161,02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025/2021</w:t>
            </w:r>
            <w:r>
              <w:rPr>
                <w:rFonts w:ascii="Arial" w:hAnsi="Arial" w:cs="Arial"/>
                <w:b/>
                <w:bCs/>
              </w:rPr>
              <w:t xml:space="preserve"> PROCESSO Nº </w:t>
            </w:r>
            <w:r>
              <w:rPr>
                <w:rFonts w:ascii="Arial" w:hAnsi="Arial" w:cs="Arial"/>
                <w:b/>
                <w:bCs/>
                <w:lang w:val="pt-BR"/>
              </w:rPr>
              <w:t>2588/2021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08/02/2022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025/2021</w:t>
            </w:r>
            <w:r>
              <w:rPr>
                <w:rFonts w:ascii="Arial" w:hAnsi="Arial" w:cs="Arial"/>
                <w:b/>
                <w:bCs/>
              </w:rPr>
              <w:t xml:space="preserve"> PROCESSO Nº </w:t>
            </w:r>
            <w:r>
              <w:rPr>
                <w:rFonts w:ascii="Arial" w:hAnsi="Arial" w:cs="Arial"/>
                <w:b/>
                <w:bCs/>
                <w:lang w:val="pt-BR"/>
              </w:rPr>
              <w:t>2588/2021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08/02/2022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Times New Roman" w:cs="Arial"/>
          <w:sz w:val="22"/>
          <w:szCs w:val="22"/>
          <w:lang w:val="pt-BR" w:eastAsia="pt-PT" w:bidi="ar-SA"/>
        </w:rPr>
      </w:pPr>
      <w:r>
        <w:rPr>
          <w:rFonts w:ascii="Arial" w:hAnsi="Arial" w:cs="Arial"/>
          <w:b/>
          <w:sz w:val="22"/>
          <w:szCs w:val="22"/>
        </w:rPr>
        <w:t>c</w:t>
      </w:r>
      <w:r>
        <w:rPr>
          <w:rFonts w:hint="default" w:ascii="Arial" w:hAnsi="Arial" w:eastAsia="Arial" w:cs="Arial"/>
          <w:sz w:val="24"/>
          <w:szCs w:val="24"/>
          <w:lang w:val="pt-BR" w:eastAsia="pt-PT" w:bidi="pt-PT"/>
        </w:rPr>
        <w:t xml:space="preserve">) </w:t>
      </w:r>
      <w:r>
        <w:rPr>
          <w:rFonts w:hint="default" w:ascii="Arial" w:hAnsi="Arial" w:eastAsia="Times New Roman" w:cs="Arial"/>
          <w:sz w:val="22"/>
          <w:szCs w:val="22"/>
          <w:lang w:val="pt-BR" w:eastAsia="pt-PT" w:bidi="ar-SA"/>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r>
        <w:rPr>
          <w:rFonts w:hint="default" w:ascii="Arial" w:hAnsi="Arial" w:cs="Arial"/>
          <w:sz w:val="22"/>
          <w:szCs w:val="22"/>
          <w:lang w:val="pt-BR" w:eastAsia="pt-PT" w:bidi="ar-SA"/>
        </w:rPr>
        <w:t>.</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02</w:t>
      </w:r>
      <w:r>
        <w:rPr>
          <w:b/>
        </w:rPr>
        <w:t>/</w:t>
      </w:r>
      <w:r>
        <w:rPr>
          <w:rFonts w:hint="default"/>
          <w:b/>
          <w:lang w:val="pt-BR"/>
        </w:rPr>
        <w:t>03</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bookmarkStart w:id="31" w:name="_Toc380557831"/>
      <w:r>
        <w:rPr>
          <w:b/>
        </w:rPr>
        <w:t>24.1.</w:t>
      </w:r>
      <w:r>
        <w:t xml:space="preserve"> As despesas para atender a esta licitação estão programadas em dotações orçamentárias abaixo relacionadas, prevista no orçamento do Município para o exercício de 20</w:t>
      </w:r>
      <w:r>
        <w:rPr>
          <w:rFonts w:hint="default"/>
          <w:lang w:val="pt-BR"/>
        </w:rPr>
        <w:t>22</w:t>
      </w:r>
      <w:r>
        <w:t xml:space="preserve"> repasses de Convênio AGÊNCIA 3927-6 CONTA CORRENTE 0066470693- Caixa Econômica Federal.</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ESPORTE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MELHORIA DE CENTROS ESPORTIVOS E POLIESPORTIVOS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150/2021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ESPORTE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MELHORIA DE CENTROS ESPORTIVOS E POLIESPORTIVOS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1167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118/2021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1.007.161,02 (Um milhão, sete mil, cento e sessenta e um Reais e dois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025/2021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025/2021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26</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025/2021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21 </w:t>
      </w:r>
      <w:r>
        <w:rPr>
          <w:rFonts w:ascii="Arial" w:hAnsi="Arial" w:cs="Arial"/>
          <w:sz w:val="22"/>
          <w:szCs w:val="22"/>
        </w:rPr>
        <w:t xml:space="preserve">de </w:t>
      </w:r>
      <w:r>
        <w:rPr>
          <w:rFonts w:hint="default" w:ascii="Arial" w:hAnsi="Arial" w:cs="Arial"/>
          <w:sz w:val="22"/>
          <w:szCs w:val="22"/>
          <w:lang w:val="pt-BR"/>
        </w:rPr>
        <w:t xml:space="preserve">janeiro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p>
    <w:p>
      <w:pPr>
        <w:jc w:val="both"/>
        <w:rPr>
          <w:rFonts w:hint="default" w:ascii="Arial" w:hAnsi="Arial" w:cs="Arial"/>
          <w:sz w:val="22"/>
          <w:szCs w:val="22"/>
          <w:lang w:val="pt-BR"/>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025/2021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180 (cento e oitenta) dias</w:t>
      </w:r>
      <w:r>
        <w:rPr>
          <w:rFonts w:ascii="Arial" w:hAnsi="Arial" w:cs="Arial"/>
          <w:sz w:val="18"/>
          <w:szCs w:val="18"/>
        </w:rPr>
        <w:t xml:space="preserve">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bookmarkStart w:id="61" w:name="_GoBack"/>
      <w:bookmarkEnd w:id="61"/>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025/2021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025/2021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025/2021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025/2021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025/2021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Esporte</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025/2021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025/2021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Esporte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025/2021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025/2021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025/2021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025/2021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025/2021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180 (cento e oitenta)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025/2021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2588/2021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Esporte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Esporte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2588/2021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025/2021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025/2021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rPr>
          <w:rFonts w:ascii="Arial" w:hAnsi="Arial" w:cs="Arial"/>
          <w:sz w:val="22"/>
          <w:szCs w:val="22"/>
        </w:rPr>
      </w:pPr>
      <w:r>
        <w:rPr>
          <w:rFonts w:ascii="Arial" w:hAnsi="Arial" w:cs="Arial"/>
          <w:b/>
          <w:sz w:val="22"/>
          <w:szCs w:val="22"/>
        </w:rPr>
        <w:t>CLÁUSULA QUARTA – DOTAÇÃO ORÇAMENTÁRIA</w:t>
      </w:r>
    </w:p>
    <w:p>
      <w:pPr>
        <w:widowControl w:val="0"/>
        <w:numPr>
          <w:ilvl w:val="0"/>
          <w:numId w:val="0"/>
        </w:numPr>
        <w:spacing w:after="120"/>
        <w:jc w:val="both"/>
        <w:rPr>
          <w:rFonts w:ascii="Arial" w:hAnsi="Arial" w:cs="Arial"/>
          <w:sz w:val="22"/>
          <w:szCs w:val="22"/>
        </w:rPr>
      </w:pPr>
      <w:r>
        <w:rPr>
          <w:rFonts w:ascii="Arial" w:hAnsi="Arial" w:cs="Arial"/>
          <w:sz w:val="22"/>
          <w:szCs w:val="22"/>
        </w:rPr>
        <w:t>As despesas para atender a esta licitação estão programadas em dotações orçamentárias abaixo relacionadas, prevista no orçamento do Município para o exercício de 2018 repasses de Convênio AGÊNCIA 3927-6 CONTA CORRENTE 0066470693- Caixa Econômica Federal.</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ESPORTE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MELHORIA DE CENTROS ESPORTIVOS E POLIESPORTIVOS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150/2021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ESPORTE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lang w:val="pt-BR"/>
              </w:rPr>
              <w:t>13</w:t>
            </w:r>
            <w:r>
              <w:rPr>
                <w:rFonts w:hint="default" w:ascii="Arial" w:hAnsi="Arial"/>
                <w:b/>
                <w:sz w:val="16"/>
              </w:rPr>
              <w:t>.00.</w:t>
            </w:r>
            <w:r>
              <w:rPr>
                <w:rFonts w:hint="default" w:ascii="Arial" w:hAnsi="Arial"/>
                <w:b/>
                <w:sz w:val="16"/>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b/>
                <w:sz w:val="16"/>
              </w:rPr>
              <w:t>MANUTENÇÃO SEÇÃO DE DESPORTO E LAZER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MELHORIA DE CENTROS ESPORTIVOS E POLIESPORTIVOS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1167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4.4.90.51.00 - 124</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118/2021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025/2021.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025/2021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025/2021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025/2021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ENGENHARIA DO REMANESCENTE DO COMPLEXO ESPORTIVO, EDUCACIONAL, RECREATIVO, E DE LAZER NO BAIRRO PRIMAVERA III,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janeiro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025/2021</w:t>
    </w:r>
    <w:r>
      <w:rPr>
        <w:rFonts w:ascii="Arial" w:hAnsi="Arial" w:cs="Arial"/>
        <w:sz w:val="16"/>
        <w:szCs w:val="16"/>
      </w:rPr>
      <w:t xml:space="preserve"> – Processo nº </w:t>
    </w:r>
    <w:r>
      <w:rPr>
        <w:rFonts w:ascii="Arial" w:hAnsi="Arial" w:cs="Arial"/>
        <w:sz w:val="16"/>
        <w:szCs w:val="16"/>
        <w:lang w:val="pt-BR"/>
      </w:rPr>
      <w:t>2588/2021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BAD"/>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612"/>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6CB29D8"/>
    <w:rsid w:val="07151D79"/>
    <w:rsid w:val="07484206"/>
    <w:rsid w:val="089B473E"/>
    <w:rsid w:val="09893462"/>
    <w:rsid w:val="09BD51FB"/>
    <w:rsid w:val="0A8715A7"/>
    <w:rsid w:val="0B960C12"/>
    <w:rsid w:val="0BAE2BEC"/>
    <w:rsid w:val="0BFE6104"/>
    <w:rsid w:val="0C68195B"/>
    <w:rsid w:val="0C697691"/>
    <w:rsid w:val="0CE970EE"/>
    <w:rsid w:val="0DD11FE8"/>
    <w:rsid w:val="0E3C740D"/>
    <w:rsid w:val="0F2D4E93"/>
    <w:rsid w:val="10774888"/>
    <w:rsid w:val="113D2496"/>
    <w:rsid w:val="115300D0"/>
    <w:rsid w:val="128D66E5"/>
    <w:rsid w:val="132A11B2"/>
    <w:rsid w:val="14063CD2"/>
    <w:rsid w:val="140B586F"/>
    <w:rsid w:val="14175551"/>
    <w:rsid w:val="14C9723D"/>
    <w:rsid w:val="158057A4"/>
    <w:rsid w:val="16CA3DC3"/>
    <w:rsid w:val="16F212BE"/>
    <w:rsid w:val="19061C4F"/>
    <w:rsid w:val="1968243D"/>
    <w:rsid w:val="19CD55BD"/>
    <w:rsid w:val="1A6431B3"/>
    <w:rsid w:val="1BC3436D"/>
    <w:rsid w:val="1C2D6798"/>
    <w:rsid w:val="1D4A1A8B"/>
    <w:rsid w:val="1E2A3959"/>
    <w:rsid w:val="1E587CAE"/>
    <w:rsid w:val="1F890F86"/>
    <w:rsid w:val="1F9C3F81"/>
    <w:rsid w:val="1FFA75AB"/>
    <w:rsid w:val="20614BAA"/>
    <w:rsid w:val="22AC77B2"/>
    <w:rsid w:val="233952A9"/>
    <w:rsid w:val="24E811A0"/>
    <w:rsid w:val="25452C5D"/>
    <w:rsid w:val="26744675"/>
    <w:rsid w:val="2700080D"/>
    <w:rsid w:val="27A03DEC"/>
    <w:rsid w:val="27C17D0D"/>
    <w:rsid w:val="2833270A"/>
    <w:rsid w:val="2ABF4311"/>
    <w:rsid w:val="2AF33546"/>
    <w:rsid w:val="2B487D7D"/>
    <w:rsid w:val="2BA0335E"/>
    <w:rsid w:val="2CE8427B"/>
    <w:rsid w:val="2E2620E4"/>
    <w:rsid w:val="2E334383"/>
    <w:rsid w:val="2F9A1B8F"/>
    <w:rsid w:val="30A44744"/>
    <w:rsid w:val="31814A20"/>
    <w:rsid w:val="321B4B43"/>
    <w:rsid w:val="32581845"/>
    <w:rsid w:val="327F39FC"/>
    <w:rsid w:val="346F2A77"/>
    <w:rsid w:val="35AF6480"/>
    <w:rsid w:val="35C620D1"/>
    <w:rsid w:val="36525742"/>
    <w:rsid w:val="36934F38"/>
    <w:rsid w:val="375B7D29"/>
    <w:rsid w:val="3C873AF0"/>
    <w:rsid w:val="3DA611BF"/>
    <w:rsid w:val="3DC36B5D"/>
    <w:rsid w:val="3E6B24FB"/>
    <w:rsid w:val="3E9203C8"/>
    <w:rsid w:val="3EA67DCA"/>
    <w:rsid w:val="3EB02887"/>
    <w:rsid w:val="405023A8"/>
    <w:rsid w:val="413B1D4A"/>
    <w:rsid w:val="43745B5A"/>
    <w:rsid w:val="43A26A07"/>
    <w:rsid w:val="43AE2243"/>
    <w:rsid w:val="43B34E17"/>
    <w:rsid w:val="44B43AA4"/>
    <w:rsid w:val="467F787B"/>
    <w:rsid w:val="47370D53"/>
    <w:rsid w:val="47EC2CC3"/>
    <w:rsid w:val="48F50AF7"/>
    <w:rsid w:val="4A7A1B78"/>
    <w:rsid w:val="4C23123A"/>
    <w:rsid w:val="4C4D6776"/>
    <w:rsid w:val="4D0C492B"/>
    <w:rsid w:val="4EAA2EDC"/>
    <w:rsid w:val="4EF51114"/>
    <w:rsid w:val="51655364"/>
    <w:rsid w:val="51A21F1A"/>
    <w:rsid w:val="5283057C"/>
    <w:rsid w:val="53396A1D"/>
    <w:rsid w:val="541F40DB"/>
    <w:rsid w:val="54F81488"/>
    <w:rsid w:val="55440236"/>
    <w:rsid w:val="556E0BC6"/>
    <w:rsid w:val="56BD51D9"/>
    <w:rsid w:val="56CD6945"/>
    <w:rsid w:val="58644C20"/>
    <w:rsid w:val="5A0E3275"/>
    <w:rsid w:val="5B061437"/>
    <w:rsid w:val="5B507138"/>
    <w:rsid w:val="5BDB1229"/>
    <w:rsid w:val="5C9C12BF"/>
    <w:rsid w:val="5D1529E5"/>
    <w:rsid w:val="5EAA040C"/>
    <w:rsid w:val="5F7C7B6C"/>
    <w:rsid w:val="60781307"/>
    <w:rsid w:val="610E0C69"/>
    <w:rsid w:val="631909D2"/>
    <w:rsid w:val="63782626"/>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B185F03"/>
    <w:rsid w:val="6DA14B43"/>
    <w:rsid w:val="6DBE0B18"/>
    <w:rsid w:val="6E1B50DF"/>
    <w:rsid w:val="6F5005FE"/>
    <w:rsid w:val="6F6651D7"/>
    <w:rsid w:val="6F82063C"/>
    <w:rsid w:val="70257EDA"/>
    <w:rsid w:val="719D28D3"/>
    <w:rsid w:val="72E118F0"/>
    <w:rsid w:val="742731CF"/>
    <w:rsid w:val="75221497"/>
    <w:rsid w:val="7537091A"/>
    <w:rsid w:val="76672BAF"/>
    <w:rsid w:val="776F0AA2"/>
    <w:rsid w:val="779C0A5C"/>
    <w:rsid w:val="79DC3D7C"/>
    <w:rsid w:val="7A607BA1"/>
    <w:rsid w:val="7A831530"/>
    <w:rsid w:val="7B322796"/>
    <w:rsid w:val="7C57590A"/>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6</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2022-01-21T15:56:38Z</cp:lastPrinted>
  <dcterms:modified xsi:type="dcterms:W3CDTF">2022-01-21T16:03:18Z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