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w:t>
                  </w:r>
                  <w:bookmarkStart w:id="61" w:name="_GoBack"/>
                  <w:bookmarkEnd w:id="61"/>
                  <w:r>
                    <w:rPr>
                      <w:rFonts w:ascii="Arial" w:hAnsi="Arial" w:cs="Arial"/>
                      <w:b/>
                      <w:sz w:val="22"/>
                      <w:szCs w:val="22"/>
                    </w:rPr>
                    <w:t>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020/2021</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1775/2021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3"/>
                  <w:shd w:val="clear" w:color="auto" w:fill="auto"/>
                  <w:vAlign w:val="center"/>
                </w:tcPr>
                <w:p>
                  <w:pPr>
                    <w:pStyle w:val="3"/>
                    <w:keepNext w:val="0"/>
                    <w:numPr>
                      <w:ilvl w:val="0"/>
                      <w:numId w:val="0"/>
                    </w:numPr>
                    <w:jc w:val="center"/>
                    <w:rPr>
                      <w:rFonts w:hint="default" w:cs="Arial"/>
                      <w:i w:val="0"/>
                      <w:sz w:val="18"/>
                      <w:szCs w:val="18"/>
                      <w:lang w:val="pt-BR"/>
                    </w:rPr>
                  </w:pPr>
                  <w:r>
                    <w:rPr>
                      <w:rFonts w:hint="default" w:cs="Arial"/>
                      <w:i w:val="0"/>
                      <w:sz w:val="18"/>
                      <w:szCs w:val="18"/>
                      <w:lang w:val="pt-BR"/>
                    </w:rPr>
                    <w:t>90 (NOVENTA)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ESIMADO</w:t>
                  </w:r>
                </w:p>
              </w:tc>
              <w:tc>
                <w:tcPr>
                  <w:tcW w:w="8083" w:type="dxa"/>
                  <w:gridSpan w:val="3"/>
                  <w:shd w:val="clear" w:color="auto" w:fill="auto"/>
                  <w:vAlign w:val="center"/>
                </w:tcPr>
                <w:p>
                  <w:pPr>
                    <w:pStyle w:val="3"/>
                    <w:keepNext w:val="0"/>
                    <w:numPr>
                      <w:ilvl w:val="0"/>
                      <w:numId w:val="0"/>
                    </w:numPr>
                    <w:jc w:val="center"/>
                    <w:rPr>
                      <w:rFonts w:hint="default" w:cs="Arial"/>
                      <w:i w:val="0"/>
                      <w:sz w:val="18"/>
                      <w:szCs w:val="18"/>
                      <w:lang w:val="pt-BR"/>
                    </w:rPr>
                  </w:pPr>
                  <w:r>
                    <w:rPr>
                      <w:rFonts w:hint="default" w:cs="Arial"/>
                      <w:i w:val="0"/>
                      <w:sz w:val="18"/>
                      <w:szCs w:val="18"/>
                      <w:lang w:val="pt-BR"/>
                    </w:rPr>
                    <w:t xml:space="preserve">R$ 689.482,78 </w:t>
                  </w:r>
                  <w:r>
                    <w:rPr>
                      <w:rFonts w:hint="default" w:cs="Arial"/>
                      <w:b w:val="0"/>
                      <w:bCs w:val="0"/>
                      <w:i w:val="0"/>
                      <w:sz w:val="18"/>
                      <w:szCs w:val="18"/>
                      <w:lang w:val="pt-BR"/>
                    </w:rPr>
                    <w:t>(Seiscentos e oitenta e nove mil, quatrocentos e oitenta e dois reais e setenta e oito centavos)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64"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lang w:val="pt-BR"/>
                    </w:rPr>
                    <w:t>SECRETARIA MUNICIPAL DE EDUCAÇÃO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pStyle w:val="346"/>
                    <w:rPr>
                      <w:sz w:val="21"/>
                      <w:szCs w:val="21"/>
                    </w:rPr>
                  </w:pPr>
                  <w:r>
                    <w:rPr>
                      <w:rFonts w:hint="default"/>
                      <w:sz w:val="21"/>
                      <w:szCs w:val="21"/>
                      <w:lang w:val="pt-BR"/>
                    </w:rPr>
                    <w:t>CONTRATAÇÃO DE EMPRESA ESPECIALIZADA PARA EXECUÇÃO DE REFORMA DA NOVA SEDE DA SECRETARIA MUNICIPAL DE EDUCAÇÃO, FORNECENDO OS MATERIAIS, MÃO DE OBRA, EQUIPAMENTOS, E TUDO QUE SE FIZER NECESSÁRIO PARA A PERFEITA EXECUÇÃO DOS SERVIÇOS, CONFORME PROJETO,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09/09/2021</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center"/>
        <w:rPr>
          <w:rFonts w:ascii="Arial" w:hAnsi="Arial" w:cs="Arial"/>
          <w:b/>
        </w:rPr>
      </w:pP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020/2021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1775/2021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REFORMA DA NOVA SEDE DA SECRETARIA MUNICIPAL DE EDUCAÇÃO,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020/2021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1775/2021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EDUCAÇÃO</w:t>
      </w:r>
      <w:r>
        <w:rPr>
          <w:rFonts w:hint="default"/>
          <w:i/>
          <w:lang w:val="pt-BR"/>
        </w:rPr>
        <w:t xml:space="preserve">, </w:t>
      </w:r>
      <w:r>
        <w:t xml:space="preserve">através da Comissão Permanente de Licitação, designada pela PORTARIA N° </w:t>
      </w:r>
      <w:r>
        <w:rPr>
          <w:rFonts w:hint="default"/>
          <w:lang w:val="pt-BR"/>
        </w:rPr>
        <w:t>560</w:t>
      </w:r>
      <w:r>
        <w:t>/</w:t>
      </w:r>
      <w:r>
        <w:rPr>
          <w:rFonts w:hint="default"/>
          <w:lang w:val="pt-BR"/>
        </w:rPr>
        <w:t xml:space="preserve">2021 </w:t>
      </w:r>
      <w:r>
        <w:t xml:space="preserve">de </w:t>
      </w:r>
      <w:r>
        <w:rPr>
          <w:rFonts w:hint="default"/>
          <w:lang w:val="pt-BR"/>
        </w:rPr>
        <w:t xml:space="preserve">08 </w:t>
      </w:r>
      <w:r>
        <w:t xml:space="preserve">de </w:t>
      </w:r>
      <w:r>
        <w:rPr>
          <w:rFonts w:hint="default"/>
          <w:lang w:val="pt-BR"/>
        </w:rPr>
        <w:t>julho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EDUCAÇÃO</w:t>
      </w:r>
      <w:r>
        <w:t xml:space="preserve">, conforme consta no Processo Administrativo nº </w:t>
      </w:r>
      <w:r>
        <w:rPr>
          <w:lang w:val="pt-BR"/>
        </w:rPr>
        <w:t>1775/2021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09/09/2021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REFORMA DA NOVA SEDE DA SECRETARIA MUNICIPAL DE EDUCAÇÃO,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338" w:type="dxa"/>
                </w:tcPr>
                <w:p>
                  <w:pPr>
                    <w:autoSpaceDE w:val="0"/>
                    <w:autoSpaceDN w:val="0"/>
                    <w:adjustRightInd w:val="0"/>
                    <w:jc w:val="both"/>
                    <w:rPr>
                      <w:rFonts w:hint="default" w:ascii="Arial" w:hAnsi="Arial" w:cs="Arial"/>
                      <w:sz w:val="22"/>
                      <w:szCs w:val="22"/>
                      <w:lang w:val="pt-BR"/>
                    </w:rPr>
                  </w:pPr>
                  <w:r>
                    <w:rPr>
                      <w:rFonts w:hint="default"/>
                      <w:sz w:val="20"/>
                      <w:szCs w:val="20"/>
                      <w:lang w:val="pt-BR"/>
                    </w:rPr>
                    <w:t>REFORMA DA NOVA SEDE DA SECRETARIA MUNICIPAL DE EDUCAÇÃO,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689.482,78</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020/2021</w:t>
            </w:r>
            <w:r>
              <w:rPr>
                <w:rFonts w:ascii="Arial" w:hAnsi="Arial" w:cs="Arial"/>
                <w:b/>
                <w:bCs/>
              </w:rPr>
              <w:t xml:space="preserve"> PROCESSO Nº </w:t>
            </w:r>
            <w:r>
              <w:rPr>
                <w:rFonts w:ascii="Arial" w:hAnsi="Arial" w:cs="Arial"/>
                <w:b/>
                <w:bCs/>
                <w:lang w:val="pt-BR"/>
              </w:rPr>
              <w:t>1775/2021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09/09/2021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020/2021</w:t>
            </w:r>
            <w:r>
              <w:rPr>
                <w:rFonts w:ascii="Arial" w:hAnsi="Arial" w:cs="Arial"/>
                <w:b/>
                <w:bCs/>
              </w:rPr>
              <w:t xml:space="preserve"> PROCESSO Nº </w:t>
            </w:r>
            <w:r>
              <w:rPr>
                <w:rFonts w:ascii="Arial" w:hAnsi="Arial" w:cs="Arial"/>
                <w:b/>
                <w:bCs/>
                <w:lang w:val="pt-BR"/>
              </w:rPr>
              <w:t>1775/2021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09/09/2021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lang w:val="pt-BR" w:eastAsia="pt-PT"/>
        </w:rPr>
      </w:pPr>
      <w:r>
        <w:rPr>
          <w:rFonts w:ascii="Arial" w:hAnsi="Arial" w:cs="Arial"/>
          <w:b w:val="0"/>
          <w:bCs/>
          <w:color w:val="000000"/>
          <w:sz w:val="22"/>
          <w:szCs w:val="22"/>
        </w:rPr>
        <w:t>c</w:t>
      </w:r>
      <w:r>
        <w:rPr>
          <w:rFonts w:hint="default" w:ascii="Arial" w:hAnsi="Arial" w:cs="Arial"/>
          <w:b w:val="0"/>
          <w:bCs/>
          <w:color w:val="000000"/>
          <w:sz w:val="22"/>
          <w:szCs w:val="22"/>
          <w:lang w:val="pt-BR" w:eastAsia="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bCs w:val="0"/>
                <w:color w:val="000000"/>
                <w:sz w:val="22"/>
                <w:szCs w:val="22"/>
              </w:rPr>
            </w:pPr>
            <w:r>
              <w:rPr>
                <w:rFonts w:hint="default" w:ascii="Arial" w:hAnsi="Arial" w:cs="Arial"/>
                <w:b/>
                <w:bCs w:val="0"/>
                <w:color w:val="000000"/>
                <w:sz w:val="22"/>
                <w:szCs w:val="22"/>
              </w:rPr>
              <w:t>COMPROVAÇÃO DE CAPACITAÇÃO TÉCNICA DA LICITANTE</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22"/>
                <w:szCs w:val="22"/>
              </w:rPr>
            </w:pPr>
            <w:r>
              <w:rPr>
                <w:rFonts w:hint="default" w:ascii="Arial" w:hAnsi="Arial" w:cs="Arial"/>
                <w:b/>
                <w:bCs w:val="0"/>
                <w:color w:val="000000"/>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18"/>
                <w:szCs w:val="18"/>
              </w:rPr>
            </w:pPr>
          </w:p>
        </w:tc>
        <w:tc>
          <w:tcPr>
            <w:tcW w:w="716"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18"/>
                <w:szCs w:val="18"/>
              </w:rPr>
            </w:pPr>
            <w:r>
              <w:rPr>
                <w:rFonts w:hint="default" w:ascii="Arial" w:hAnsi="Arial" w:cs="Arial"/>
                <w:b/>
                <w:bCs w:val="0"/>
                <w:color w:val="000000"/>
                <w:sz w:val="18"/>
                <w:szCs w:val="18"/>
              </w:rPr>
              <w:t>Item</w:t>
            </w:r>
          </w:p>
        </w:tc>
        <w:tc>
          <w:tcPr>
            <w:tcW w:w="341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18"/>
                <w:szCs w:val="18"/>
              </w:rPr>
            </w:pPr>
            <w:r>
              <w:rPr>
                <w:rFonts w:hint="default" w:ascii="Arial" w:hAnsi="Arial" w:cs="Arial"/>
                <w:b/>
                <w:bCs w:val="0"/>
                <w:color w:val="000000"/>
                <w:sz w:val="18"/>
                <w:szCs w:val="18"/>
              </w:rPr>
              <w:t>Discriminação</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18"/>
                <w:szCs w:val="18"/>
              </w:rPr>
            </w:pPr>
            <w:r>
              <w:rPr>
                <w:rFonts w:hint="default" w:ascii="Arial" w:hAnsi="Arial" w:cs="Arial"/>
                <w:b/>
                <w:bCs w:val="0"/>
                <w:color w:val="000000"/>
                <w:sz w:val="18"/>
                <w:szCs w:val="18"/>
              </w:rPr>
              <w:t>Unidade</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18"/>
                <w:szCs w:val="18"/>
              </w:rPr>
            </w:pPr>
            <w:r>
              <w:rPr>
                <w:rFonts w:hint="default" w:ascii="Arial" w:hAnsi="Arial" w:cs="Arial"/>
                <w:b/>
                <w:bCs w:val="0"/>
                <w:color w:val="000000"/>
                <w:sz w:val="18"/>
                <w:szCs w:val="18"/>
              </w:rPr>
              <w:t>Orçada</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18"/>
                <w:szCs w:val="18"/>
              </w:rPr>
            </w:pPr>
            <w:r>
              <w:rPr>
                <w:rFonts w:hint="default" w:ascii="Arial" w:hAnsi="Arial" w:cs="Arial"/>
                <w:b/>
                <w:bCs w:val="0"/>
                <w:color w:val="000000"/>
                <w:sz w:val="18"/>
                <w:szCs w:val="18"/>
              </w:rPr>
              <w:t>Quantitativo</w:t>
            </w:r>
            <w:r>
              <w:rPr>
                <w:rFonts w:hint="default" w:ascii="Arial" w:hAnsi="Arial" w:cs="Arial"/>
                <w:b/>
                <w:bCs w:val="0"/>
                <w:color w:val="000000"/>
                <w:sz w:val="18"/>
                <w:szCs w:val="18"/>
                <w:lang w:val="pt-BR"/>
              </w:rPr>
              <w:t xml:space="preserve"> </w:t>
            </w:r>
            <w:r>
              <w:rPr>
                <w:rFonts w:hint="default" w:ascii="Arial" w:hAnsi="Arial" w:cs="Arial"/>
                <w:b/>
                <w:bCs w:val="0"/>
                <w:color w:val="000000"/>
                <w:sz w:val="18"/>
                <w:szCs w:val="18"/>
              </w:rPr>
              <w:t>a ser 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18"/>
                <w:szCs w:val="18"/>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5.1</w:t>
            </w:r>
          </w:p>
        </w:tc>
        <w:tc>
          <w:tcPr>
            <w:tcW w:w="3415" w:type="dxa"/>
            <w:vAlign w:val="top"/>
          </w:tcPr>
          <w:p>
            <w:pPr>
              <w:keepNext w:val="0"/>
              <w:keepLines w:val="0"/>
              <w:widowControl/>
              <w:suppressLineNumbers w:val="0"/>
              <w:jc w:val="both"/>
              <w:textAlignment w:val="top"/>
              <w:rPr>
                <w:rFonts w:hint="default" w:ascii="Arial" w:hAnsi="Arial" w:cs="Arial"/>
                <w:b w:val="0"/>
                <w:bCs/>
                <w:color w:val="000000"/>
                <w:sz w:val="18"/>
                <w:szCs w:val="18"/>
                <w:lang w:val="pt-BR"/>
              </w:rPr>
            </w:pPr>
            <w:r>
              <w:rPr>
                <w:rFonts w:hint="default" w:ascii="Arial" w:hAnsi="Arial" w:eastAsia="SimSun" w:cs="Arial"/>
                <w:i w:val="0"/>
                <w:color w:val="000000"/>
                <w:kern w:val="0"/>
                <w:sz w:val="18"/>
                <w:szCs w:val="18"/>
                <w:u w:val="none"/>
                <w:lang w:val="en-US" w:eastAsia="zh-CN" w:bidi="ar"/>
              </w:rPr>
              <w:t xml:space="preserve">ESTRUTURA  DE COBERTURA, COM LIGAÇÕES SOLDADAS, MATERIAL,  MÃO DE OBRA E TRANSPORTE COM GUINDASTE - FORNECIMENTO E INSTALAÇÃO. </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KG</w:t>
            </w:r>
          </w:p>
        </w:tc>
        <w:tc>
          <w:tcPr>
            <w:tcW w:w="1335" w:type="dxa"/>
            <w:vAlign w:val="top"/>
          </w:tcPr>
          <w:p>
            <w:pPr>
              <w:keepNext w:val="0"/>
              <w:keepLines w:val="0"/>
              <w:widowControl/>
              <w:suppressLineNumbers w:val="0"/>
              <w:jc w:val="center"/>
              <w:textAlignment w:val="top"/>
              <w:rPr>
                <w:rFonts w:hint="default" w:ascii="Arial" w:hAnsi="Arial" w:cs="Arial"/>
                <w:b w:val="0"/>
                <w:bCs/>
                <w:color w:val="000000"/>
                <w:sz w:val="18"/>
                <w:szCs w:val="18"/>
                <w:lang w:val="pt-BR"/>
              </w:rPr>
            </w:pPr>
            <w:r>
              <w:rPr>
                <w:rFonts w:hint="default" w:ascii="Arial" w:hAnsi="Arial" w:eastAsia="SimSun" w:cs="Arial"/>
                <w:i w:val="0"/>
                <w:color w:val="000000"/>
                <w:kern w:val="0"/>
                <w:sz w:val="18"/>
                <w:szCs w:val="18"/>
                <w:u w:val="none"/>
                <w:lang w:val="en-US" w:eastAsia="zh-CN" w:bidi="ar"/>
              </w:rPr>
              <w:t>6</w:t>
            </w:r>
            <w:r>
              <w:rPr>
                <w:rFonts w:hint="default" w:ascii="Arial" w:hAnsi="Arial" w:eastAsia="SimSun" w:cs="Arial"/>
                <w:i w:val="0"/>
                <w:color w:val="000000"/>
                <w:kern w:val="0"/>
                <w:sz w:val="18"/>
                <w:szCs w:val="18"/>
                <w:u w:val="none"/>
                <w:lang w:val="pt-BR" w:eastAsia="zh-CN" w:bidi="ar"/>
              </w:rPr>
              <w:t>.</w:t>
            </w:r>
            <w:r>
              <w:rPr>
                <w:rFonts w:hint="default" w:ascii="Arial" w:hAnsi="Arial" w:eastAsia="SimSun" w:cs="Arial"/>
                <w:i w:val="0"/>
                <w:color w:val="000000"/>
                <w:kern w:val="0"/>
                <w:sz w:val="18"/>
                <w:szCs w:val="18"/>
                <w:u w:val="none"/>
                <w:lang w:val="en-US" w:eastAsia="zh-CN" w:bidi="ar"/>
              </w:rPr>
              <w:t>034,10</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3.017,00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18"/>
                <w:szCs w:val="18"/>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6.1</w:t>
            </w:r>
          </w:p>
        </w:tc>
        <w:tc>
          <w:tcPr>
            <w:tcW w:w="3415" w:type="dxa"/>
            <w:vAlign w:val="top"/>
          </w:tcPr>
          <w:p>
            <w:pPr>
              <w:keepNext w:val="0"/>
              <w:keepLines w:val="0"/>
              <w:widowControl/>
              <w:suppressLineNumbers w:val="0"/>
              <w:jc w:val="both"/>
              <w:textAlignment w:val="top"/>
              <w:rPr>
                <w:rFonts w:hint="default" w:ascii="Arial" w:hAnsi="Arial" w:cs="Arial"/>
                <w:b w:val="0"/>
                <w:bCs/>
                <w:color w:val="000000"/>
                <w:sz w:val="18"/>
                <w:szCs w:val="18"/>
                <w:lang w:val="pt-BR"/>
              </w:rPr>
            </w:pPr>
            <w:r>
              <w:rPr>
                <w:rFonts w:hint="default" w:ascii="Arial" w:hAnsi="Arial" w:eastAsia="SimSun" w:cs="Arial"/>
                <w:i w:val="0"/>
                <w:color w:val="000000"/>
                <w:kern w:val="0"/>
                <w:sz w:val="18"/>
                <w:szCs w:val="18"/>
                <w:u w:val="none"/>
                <w:lang w:val="en-US" w:eastAsia="zh-CN" w:bidi="ar"/>
              </w:rPr>
              <w:t>TELHAMENTO COM TELHA ONDULADA DE FIBROCIMENTO E = 6 MM, COM RECOBRIMENTO LATERAL DE 1 1/4 DE ONDA PARA TELHADO COM INCLINAÇÃO MÁXIMA DE 10°, COM ATÉ 2 ÁGUAS, INCLUSO IÇAMENTO. AF_07/2019</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M2</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710</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18"/>
                <w:szCs w:val="18"/>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8.5</w:t>
            </w:r>
          </w:p>
        </w:tc>
        <w:tc>
          <w:tcPr>
            <w:tcW w:w="3415" w:type="dxa"/>
            <w:vAlign w:val="top"/>
          </w:tcPr>
          <w:p>
            <w:pPr>
              <w:keepNext w:val="0"/>
              <w:keepLines w:val="0"/>
              <w:widowControl/>
              <w:suppressLineNumbers w:val="0"/>
              <w:jc w:val="both"/>
              <w:textAlignment w:val="top"/>
              <w:rPr>
                <w:rFonts w:hint="default" w:ascii="Arial" w:hAnsi="Arial" w:cs="Arial"/>
                <w:b w:val="0"/>
                <w:bCs/>
                <w:color w:val="000000"/>
                <w:sz w:val="18"/>
                <w:szCs w:val="18"/>
                <w:lang w:val="pt-BR"/>
              </w:rPr>
            </w:pPr>
            <w:r>
              <w:rPr>
                <w:rFonts w:hint="default" w:ascii="Arial" w:hAnsi="Arial" w:eastAsia="SimSun" w:cs="Arial"/>
                <w:i w:val="0"/>
                <w:color w:val="000000"/>
                <w:kern w:val="0"/>
                <w:sz w:val="18"/>
                <w:szCs w:val="18"/>
                <w:u w:val="none"/>
                <w:lang w:val="en-US" w:eastAsia="zh-CN" w:bidi="ar"/>
              </w:rPr>
              <w:t>FORRO DE PVC, LISO, PARA AMBIENTES COMERCIAIS, INCLUSIVE ESTRUTURA DE FIXAÇÃO.</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M2</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624</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312</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18"/>
          <w:szCs w:val="18"/>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02</w:t>
      </w:r>
      <w:r>
        <w:rPr>
          <w:b/>
        </w:rPr>
        <w:t>/</w:t>
      </w:r>
      <w:r>
        <w:rPr>
          <w:rFonts w:hint="default"/>
          <w:b/>
          <w:lang w:val="pt-BR"/>
        </w:rPr>
        <w:t>09</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vAlign w:val="center"/>
          </w:tcPr>
          <w:p>
            <w:pPr>
              <w:jc w:val="both"/>
              <w:rPr>
                <w:rFonts w:hint="default" w:ascii="Arial" w:hAnsi="Arial" w:cs="Arial"/>
                <w:b/>
                <w:sz w:val="18"/>
                <w:szCs w:val="18"/>
                <w:highlight w:val="yellow"/>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tcPr>
          <w:p>
            <w:pPr>
              <w:jc w:val="both"/>
              <w:rPr>
                <w:rFonts w:hint="default"/>
                <w:b/>
                <w:sz w:val="18"/>
                <w:szCs w:val="18"/>
                <w:highlight w:val="yellow"/>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tcPr>
          <w:p>
            <w:pPr>
              <w:jc w:val="both"/>
              <w:rPr>
                <w:rFonts w:hint="default"/>
                <w:b/>
                <w:sz w:val="18"/>
                <w:szCs w:val="18"/>
                <w:highlight w:val="yellow"/>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vAlign w:val="center"/>
          </w:tcPr>
          <w:p>
            <w:pPr>
              <w:jc w:val="both"/>
              <w:rPr>
                <w:rFonts w:hint="default" w:ascii="Arial" w:hAnsi="Arial" w:cs="Arial"/>
                <w:b/>
                <w:sz w:val="18"/>
                <w:szCs w:val="18"/>
                <w:highlight w:val="yellow"/>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tcPr>
          <w:p>
            <w:pPr>
              <w:jc w:val="both"/>
              <w:rPr>
                <w:b/>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tcPr>
          <w:p>
            <w:pPr>
              <w:jc w:val="both"/>
              <w:rPr>
                <w:b/>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vAlign w:val="center"/>
          </w:tcPr>
          <w:p>
            <w:pPr>
              <w:jc w:val="center"/>
              <w:rPr>
                <w:rFonts w:ascii="Arial" w:hAnsi="Arial" w:cs="Arial"/>
                <w:b/>
                <w:sz w:val="18"/>
                <w:szCs w:val="18"/>
                <w:highlight w:val="yellow"/>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highlight w:val="none"/>
          <w:lang w:val="pt-BR"/>
        </w:rPr>
        <w:t>R$ 689.482,78</w:t>
      </w:r>
      <w:r>
        <w:rPr>
          <w:rFonts w:hint="default"/>
          <w:highlight w:val="none"/>
          <w:lang w:val="pt-BR"/>
        </w:rPr>
        <w:t xml:space="preserve"> (Seiscentos e oitenta e nove mil, quatrocentos e oitenta e dois reais e setenta e oito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020/2021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020/2021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03</w:t>
      </w:r>
      <w:r>
        <w:rPr>
          <w:rFonts w:ascii="Arial" w:hAnsi="Arial" w:cs="Arial"/>
          <w:b/>
          <w:sz w:val="22"/>
          <w:szCs w:val="22"/>
        </w:rPr>
        <w:t>/</w:t>
      </w:r>
      <w:r>
        <w:rPr>
          <w:rFonts w:hint="default" w:ascii="Arial" w:hAnsi="Arial" w:cs="Arial"/>
          <w:b/>
          <w:sz w:val="22"/>
          <w:szCs w:val="22"/>
          <w:lang w:val="pt-BR"/>
        </w:rPr>
        <w:t>09</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31</w:t>
      </w:r>
      <w:r>
        <w:rPr>
          <w:rFonts w:ascii="Arial" w:hAnsi="Arial" w:cs="Arial"/>
          <w:b/>
          <w:sz w:val="22"/>
          <w:szCs w:val="22"/>
        </w:rPr>
        <w:t>/</w:t>
      </w:r>
      <w:r>
        <w:rPr>
          <w:rFonts w:hint="default" w:ascii="Arial" w:hAnsi="Arial" w:cs="Arial"/>
          <w:b/>
          <w:sz w:val="22"/>
          <w:szCs w:val="22"/>
          <w:lang w:val="pt-BR"/>
        </w:rPr>
        <w:t>07</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 xml:space="preserve">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020/2021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20 </w:t>
      </w:r>
      <w:r>
        <w:rPr>
          <w:rFonts w:ascii="Arial" w:hAnsi="Arial" w:cs="Arial"/>
          <w:sz w:val="22"/>
          <w:szCs w:val="22"/>
        </w:rPr>
        <w:t xml:space="preserve">de </w:t>
      </w:r>
      <w:r>
        <w:rPr>
          <w:rFonts w:hint="default" w:ascii="Arial" w:hAnsi="Arial" w:cs="Arial"/>
          <w:sz w:val="22"/>
          <w:szCs w:val="22"/>
          <w:lang w:val="pt-BR"/>
        </w:rPr>
        <w:t xml:space="preserve">agosto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DE REFORMA DA NOVA SEDE DA SECRETARIA MUNICIPAL DE EDUCAÇÃO, FORNECENDO OS MATERIAIS, MÃO DE OBRA, EQUIPAMENTOS, E TUDO QUE SE FIZER NECESSÁRIO PARA A PERFEITA EXECUÇÃO DOS SERVIÇOS, CONFORME PROJETO, MEMORIAL DESCRITIVO, EDITAL E SEUS ANEXOS.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020/2021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CONTRATAÇÃO DE EMPRESA ESPECIALIZADA PARA EXECUÇÃO DE REFORMA DA NOVA SEDE DA SECRETARIA MUNICIPAL DE EDUCAÇÃO, FORNECENDO OS MATERIAIS, MÃO DE OBRA, EQUIPAMENTOS,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90 (noventa)</w:t>
      </w:r>
      <w:r>
        <w:rPr>
          <w:rFonts w:ascii="Arial" w:hAnsi="Arial" w:cs="Arial"/>
          <w:sz w:val="18"/>
          <w:szCs w:val="18"/>
        </w:rPr>
        <w:t xml:space="preserve">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020/2021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514666353"/>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020/2021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020/2021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514666356"/>
      <w:bookmarkStart w:id="52" w:name="_Toc409103972"/>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020/2021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020/2021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020/2021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REFORMA DA NOVA SEDE DA SECRETARIA MUNICIPAL DE EDUCAÇÃO,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020/2021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REFORMA DA NOVA SEDE DA SECRETARIA MUNICIPAL DE EDUCAÇÃO,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020/2021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020/2021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020/2021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020/2021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020/2021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90 (noventa)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020/2021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1775/2021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REFORMA DA NOVA SEDE DA SECRETARIA MUNICIPAL DE EDUCAÇÃO,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EDUCAÇÃO</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1775/2021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020/2021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REFORMA DA NOVA SEDE DA SECRETARIA MUNICIPAL DE EDUCAÇÃO,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18"/>
                <w:szCs w:val="18"/>
                <w:lang w:val="pt-BR"/>
              </w:rPr>
              <w:t>CONTRATA敲O DE EMPRESA ESPECIALIZADA PARA EXECU敲O DE REFORMA DA NOVA SEDE DA SECRETARIA MUNICIPAL DE EDUCA敲O, FORNECENDO OS MATERIAIS, M肙 DE OBRA, EQUIPAMENTOS, E TUDO QUE SE FIZER NECESS罵IO PARA A PERFEITA EXECU敲O DOS SERVI荗S, CONFORME PROJETO,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020/2021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90 (noventa)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vAlign w:val="center"/>
          </w:tcPr>
          <w:p>
            <w:pPr>
              <w:jc w:val="both"/>
              <w:rPr>
                <w:rFonts w:hint="default" w:ascii="Arial" w:hAnsi="Arial" w:cs="Arial"/>
                <w:b/>
                <w:sz w:val="18"/>
                <w:szCs w:val="18"/>
                <w:highlight w:val="yellow"/>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tcPr>
          <w:p>
            <w:pPr>
              <w:jc w:val="both"/>
              <w:rPr>
                <w:rFonts w:hint="default"/>
                <w:b/>
                <w:sz w:val="18"/>
                <w:szCs w:val="18"/>
                <w:highlight w:val="yellow"/>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tcPr>
          <w:p>
            <w:pPr>
              <w:jc w:val="both"/>
              <w:rPr>
                <w:rFonts w:hint="default"/>
                <w:b/>
                <w:sz w:val="18"/>
                <w:szCs w:val="18"/>
                <w:highlight w:val="yellow"/>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vAlign w:val="center"/>
          </w:tcPr>
          <w:p>
            <w:pPr>
              <w:jc w:val="both"/>
              <w:rPr>
                <w:rFonts w:hint="default" w:ascii="Arial" w:hAnsi="Arial" w:cs="Arial"/>
                <w:b/>
                <w:sz w:val="18"/>
                <w:szCs w:val="18"/>
                <w:highlight w:val="yellow"/>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tcPr>
          <w:p>
            <w:pPr>
              <w:jc w:val="both"/>
              <w:rPr>
                <w:b/>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tcPr>
          <w:p>
            <w:pPr>
              <w:jc w:val="both"/>
              <w:rPr>
                <w:b/>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yellow"/>
              </w:rPr>
            </w:pPr>
          </w:p>
        </w:tc>
        <w:tc>
          <w:tcPr>
            <w:tcW w:w="2247" w:type="dxa"/>
            <w:vAlign w:val="center"/>
          </w:tcPr>
          <w:p>
            <w:pPr>
              <w:jc w:val="center"/>
              <w:rPr>
                <w:rFonts w:hint="default" w:ascii="Arial" w:hAnsi="Arial" w:cs="Arial"/>
                <w:b/>
                <w:sz w:val="16"/>
                <w:szCs w:val="16"/>
                <w:highlight w:val="yellow"/>
                <w:lang w:val="pt-BR"/>
              </w:rPr>
            </w:pPr>
          </w:p>
        </w:tc>
        <w:tc>
          <w:tcPr>
            <w:tcW w:w="4751" w:type="dxa"/>
            <w:vAlign w:val="center"/>
          </w:tcPr>
          <w:p>
            <w:pPr>
              <w:jc w:val="center"/>
              <w:rPr>
                <w:rFonts w:ascii="Arial" w:hAnsi="Arial" w:cs="Arial"/>
                <w:b/>
                <w:sz w:val="18"/>
                <w:szCs w:val="18"/>
                <w:highlight w:val="yellow"/>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020/2021.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90 (noventa)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90 (noventa)</w:t>
      </w:r>
      <w:r>
        <w:rPr>
          <w:rFonts w:ascii="Arial" w:hAnsi="Arial" w:cs="Arial"/>
          <w:sz w:val="22"/>
          <w:szCs w:val="22"/>
        </w:rPr>
        <w:t xml:space="preserve">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020/2021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020/2021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020/2021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DE REFORMA DA NOVA SEDE DA SECRETARIA MUNICIPAL DE EDUCAÇÃO,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020/2021</w:t>
    </w:r>
    <w:r>
      <w:rPr>
        <w:rFonts w:ascii="Arial" w:hAnsi="Arial" w:cs="Arial"/>
        <w:sz w:val="16"/>
        <w:szCs w:val="16"/>
      </w:rPr>
      <w:t xml:space="preserve"> – Processo nº </w:t>
    </w:r>
    <w:r>
      <w:rPr>
        <w:rFonts w:ascii="Arial" w:hAnsi="Arial" w:cs="Arial"/>
        <w:sz w:val="16"/>
        <w:szCs w:val="16"/>
        <w:lang w:val="pt-BR"/>
      </w:rPr>
      <w:t>1775/2021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1D330CE"/>
    <w:rsid w:val="027C5111"/>
    <w:rsid w:val="04043E73"/>
    <w:rsid w:val="04583467"/>
    <w:rsid w:val="06AE067E"/>
    <w:rsid w:val="07151D79"/>
    <w:rsid w:val="07484206"/>
    <w:rsid w:val="0753321B"/>
    <w:rsid w:val="09BD51FB"/>
    <w:rsid w:val="0A8715A7"/>
    <w:rsid w:val="0BFE6104"/>
    <w:rsid w:val="0C68195B"/>
    <w:rsid w:val="0C697691"/>
    <w:rsid w:val="0CE970EE"/>
    <w:rsid w:val="0DD11FE8"/>
    <w:rsid w:val="0E3C740D"/>
    <w:rsid w:val="0F2D4E93"/>
    <w:rsid w:val="10774888"/>
    <w:rsid w:val="113D2496"/>
    <w:rsid w:val="115300D0"/>
    <w:rsid w:val="128D66E5"/>
    <w:rsid w:val="132A11B2"/>
    <w:rsid w:val="136C338E"/>
    <w:rsid w:val="14063CD2"/>
    <w:rsid w:val="14175551"/>
    <w:rsid w:val="14D757E6"/>
    <w:rsid w:val="158057A4"/>
    <w:rsid w:val="16F212BE"/>
    <w:rsid w:val="188F4D50"/>
    <w:rsid w:val="1968243D"/>
    <w:rsid w:val="19CD55BD"/>
    <w:rsid w:val="1A6431B3"/>
    <w:rsid w:val="1B3F6240"/>
    <w:rsid w:val="1BC3436D"/>
    <w:rsid w:val="1C2D6798"/>
    <w:rsid w:val="1D4A1A8B"/>
    <w:rsid w:val="1E2A3959"/>
    <w:rsid w:val="1E587CAE"/>
    <w:rsid w:val="1F3A1BBD"/>
    <w:rsid w:val="1F9C3F81"/>
    <w:rsid w:val="1FFA75AB"/>
    <w:rsid w:val="20614BAA"/>
    <w:rsid w:val="2257458C"/>
    <w:rsid w:val="225D187D"/>
    <w:rsid w:val="22AC77B2"/>
    <w:rsid w:val="23CF3B42"/>
    <w:rsid w:val="24E811A0"/>
    <w:rsid w:val="254A3333"/>
    <w:rsid w:val="265B4C30"/>
    <w:rsid w:val="26744675"/>
    <w:rsid w:val="2700080D"/>
    <w:rsid w:val="27A03DEC"/>
    <w:rsid w:val="27C17D0D"/>
    <w:rsid w:val="2833270A"/>
    <w:rsid w:val="29756AB5"/>
    <w:rsid w:val="2A3C0EE1"/>
    <w:rsid w:val="2AF33546"/>
    <w:rsid w:val="2B487D7D"/>
    <w:rsid w:val="2BA0335E"/>
    <w:rsid w:val="2CE8427B"/>
    <w:rsid w:val="2E334383"/>
    <w:rsid w:val="2F9A1B8F"/>
    <w:rsid w:val="30A44744"/>
    <w:rsid w:val="31814A20"/>
    <w:rsid w:val="321B4B43"/>
    <w:rsid w:val="32581845"/>
    <w:rsid w:val="327F39FC"/>
    <w:rsid w:val="346F2A77"/>
    <w:rsid w:val="35AF6480"/>
    <w:rsid w:val="35C620D1"/>
    <w:rsid w:val="36525742"/>
    <w:rsid w:val="36934F38"/>
    <w:rsid w:val="375B7D29"/>
    <w:rsid w:val="39997573"/>
    <w:rsid w:val="3C873AF0"/>
    <w:rsid w:val="3DA611BF"/>
    <w:rsid w:val="3DC36B5D"/>
    <w:rsid w:val="3E6B24FB"/>
    <w:rsid w:val="3E9203C8"/>
    <w:rsid w:val="3EA67DCA"/>
    <w:rsid w:val="3EB02887"/>
    <w:rsid w:val="417835B0"/>
    <w:rsid w:val="43745B5A"/>
    <w:rsid w:val="43A26A07"/>
    <w:rsid w:val="43AE2243"/>
    <w:rsid w:val="43B34E17"/>
    <w:rsid w:val="467F787B"/>
    <w:rsid w:val="47370D53"/>
    <w:rsid w:val="47EC2CC3"/>
    <w:rsid w:val="4A5354F2"/>
    <w:rsid w:val="4C23123A"/>
    <w:rsid w:val="4C4D6776"/>
    <w:rsid w:val="4D0C492B"/>
    <w:rsid w:val="4EAA2EDC"/>
    <w:rsid w:val="4EF51114"/>
    <w:rsid w:val="500F0C3C"/>
    <w:rsid w:val="508742B2"/>
    <w:rsid w:val="50D947A9"/>
    <w:rsid w:val="51655364"/>
    <w:rsid w:val="51A21F1A"/>
    <w:rsid w:val="5283057C"/>
    <w:rsid w:val="53396A1D"/>
    <w:rsid w:val="54F81488"/>
    <w:rsid w:val="55440236"/>
    <w:rsid w:val="556E0BC6"/>
    <w:rsid w:val="56BD51D9"/>
    <w:rsid w:val="56CD6945"/>
    <w:rsid w:val="58644C20"/>
    <w:rsid w:val="5A0E3275"/>
    <w:rsid w:val="5B507138"/>
    <w:rsid w:val="5BDA568A"/>
    <w:rsid w:val="5BDB1229"/>
    <w:rsid w:val="5C9C12BF"/>
    <w:rsid w:val="5D1529E5"/>
    <w:rsid w:val="5D972D13"/>
    <w:rsid w:val="5DA505F2"/>
    <w:rsid w:val="5EAA040C"/>
    <w:rsid w:val="5EF20B03"/>
    <w:rsid w:val="60781307"/>
    <w:rsid w:val="610E0C69"/>
    <w:rsid w:val="623263D0"/>
    <w:rsid w:val="631909D2"/>
    <w:rsid w:val="638852E5"/>
    <w:rsid w:val="63934206"/>
    <w:rsid w:val="639B49D2"/>
    <w:rsid w:val="655A5AC2"/>
    <w:rsid w:val="671A5B83"/>
    <w:rsid w:val="67882638"/>
    <w:rsid w:val="6797018A"/>
    <w:rsid w:val="68610D54"/>
    <w:rsid w:val="68A00A21"/>
    <w:rsid w:val="693127D7"/>
    <w:rsid w:val="694B1B6E"/>
    <w:rsid w:val="6A446CA9"/>
    <w:rsid w:val="6A91453A"/>
    <w:rsid w:val="6ADC74BB"/>
    <w:rsid w:val="6B136C46"/>
    <w:rsid w:val="6DA14B43"/>
    <w:rsid w:val="6DBE0B18"/>
    <w:rsid w:val="6E1B50DF"/>
    <w:rsid w:val="6F5005FE"/>
    <w:rsid w:val="6F82063C"/>
    <w:rsid w:val="70257EDA"/>
    <w:rsid w:val="719D28D3"/>
    <w:rsid w:val="72E118F0"/>
    <w:rsid w:val="742731CF"/>
    <w:rsid w:val="7537091A"/>
    <w:rsid w:val="76672BAF"/>
    <w:rsid w:val="776F0AA2"/>
    <w:rsid w:val="779C0A5C"/>
    <w:rsid w:val="799755EE"/>
    <w:rsid w:val="79DC3D7C"/>
    <w:rsid w:val="7A831530"/>
    <w:rsid w:val="7D1F3F3E"/>
    <w:rsid w:val="7D4B55A5"/>
    <w:rsid w:val="7D5E55DC"/>
    <w:rsid w:val="7DEB43E1"/>
    <w:rsid w:val="7E066FE8"/>
    <w:rsid w:val="7E7868CF"/>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34</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2020-03-26T17:31:00Z</cp:lastPrinted>
  <dcterms:modified xsi:type="dcterms:W3CDTF">2021-08-20T18:24:02Z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